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center"/>
        <w:rPr>
          <w:rFonts w:ascii="宋体" w:hAnsi="宋体"/>
          <w:b/>
          <w:bCs/>
          <w:kern w:val="0"/>
          <w:sz w:val="36"/>
          <w:szCs w:val="36"/>
        </w:rPr>
      </w:pPr>
      <w:r>
        <w:rPr>
          <w:rFonts w:hint="eastAsia" w:ascii="宋体" w:hAnsi="宋体"/>
          <w:b/>
          <w:bCs/>
          <w:kern w:val="0"/>
          <w:sz w:val="36"/>
          <w:szCs w:val="36"/>
        </w:rPr>
        <w:t>江苏省南通卫生高等职业技术学校</w:t>
      </w:r>
    </w:p>
    <w:p>
      <w:pPr>
        <w:widowControl/>
        <w:spacing w:line="440" w:lineRule="exact"/>
        <w:jc w:val="center"/>
        <w:rPr>
          <w:rFonts w:ascii="宋体" w:hAnsi="宋体"/>
          <w:b/>
          <w:bCs/>
          <w:kern w:val="0"/>
          <w:sz w:val="36"/>
          <w:szCs w:val="36"/>
        </w:rPr>
      </w:pPr>
      <w:r>
        <w:rPr>
          <w:rFonts w:hint="eastAsia" w:ascii="宋体" w:hAnsi="宋体"/>
          <w:b/>
          <w:bCs/>
          <w:kern w:val="0"/>
          <w:sz w:val="36"/>
          <w:szCs w:val="36"/>
        </w:rPr>
        <w:t>2021年度工会传统节日慰问品采购招标公告</w:t>
      </w:r>
    </w:p>
    <w:p>
      <w:pPr>
        <w:widowControl/>
        <w:spacing w:line="440" w:lineRule="exact"/>
        <w:jc w:val="center"/>
        <w:rPr>
          <w:rFonts w:ascii="宋体" w:hAnsi="宋体"/>
          <w:b/>
          <w:bCs/>
          <w:kern w:val="0"/>
          <w:sz w:val="36"/>
          <w:szCs w:val="36"/>
        </w:rPr>
      </w:pPr>
    </w:p>
    <w:p>
      <w:pPr>
        <w:spacing w:line="400" w:lineRule="exact"/>
        <w:ind w:firstLine="498" w:firstLineChars="200"/>
        <w:rPr>
          <w:rFonts w:ascii="宋体" w:hAnsi="宋体"/>
          <w:b/>
          <w:bCs/>
          <w:color w:val="000000"/>
          <w:spacing w:val="4"/>
          <w:sz w:val="24"/>
        </w:rPr>
      </w:pPr>
      <w:r>
        <w:rPr>
          <w:rFonts w:hint="eastAsia" w:ascii="宋体" w:hAnsi="宋体"/>
          <w:b/>
          <w:bCs/>
          <w:color w:val="000000"/>
          <w:spacing w:val="4"/>
          <w:sz w:val="24"/>
        </w:rPr>
        <w:t>一、项目名称：2021年度南通卫生高职校工会会员慰问品采购</w:t>
      </w:r>
    </w:p>
    <w:p>
      <w:pPr>
        <w:spacing w:line="400" w:lineRule="exact"/>
        <w:ind w:firstLine="498" w:firstLineChars="200"/>
        <w:rPr>
          <w:rFonts w:ascii="宋体" w:hAnsi="宋体"/>
          <w:b/>
          <w:bCs/>
          <w:color w:val="000000"/>
          <w:spacing w:val="4"/>
          <w:sz w:val="24"/>
        </w:rPr>
      </w:pPr>
      <w:r>
        <w:rPr>
          <w:rFonts w:hint="eastAsia" w:ascii="宋体" w:hAnsi="宋体"/>
          <w:b/>
          <w:bCs/>
          <w:color w:val="000000"/>
          <w:spacing w:val="4"/>
          <w:sz w:val="24"/>
        </w:rPr>
        <w:t>二、项目编号：BS2020081</w:t>
      </w:r>
    </w:p>
    <w:p>
      <w:pPr>
        <w:spacing w:line="400" w:lineRule="exact"/>
        <w:ind w:firstLine="498" w:firstLineChars="200"/>
        <w:rPr>
          <w:rFonts w:ascii="宋体" w:hAnsi="宋体"/>
          <w:color w:val="000000"/>
          <w:spacing w:val="4"/>
          <w:sz w:val="24"/>
        </w:rPr>
      </w:pPr>
      <w:r>
        <w:rPr>
          <w:rFonts w:hint="eastAsia" w:ascii="宋体" w:hAnsi="宋体"/>
          <w:b/>
          <w:bCs/>
          <w:color w:val="000000"/>
          <w:spacing w:val="4"/>
          <w:sz w:val="24"/>
        </w:rPr>
        <w:t>三、预算金额：约58万元/年</w:t>
      </w:r>
    </w:p>
    <w:p>
      <w:pPr>
        <w:spacing w:line="400" w:lineRule="exact"/>
        <w:ind w:firstLine="496" w:firstLineChars="200"/>
        <w:rPr>
          <w:rFonts w:ascii="宋体" w:hAnsi="宋体"/>
          <w:color w:val="000000"/>
          <w:spacing w:val="4"/>
          <w:sz w:val="24"/>
        </w:rPr>
      </w:pPr>
      <w:r>
        <w:rPr>
          <w:rFonts w:hint="eastAsia" w:ascii="宋体" w:hAnsi="宋体"/>
          <w:color w:val="000000"/>
          <w:spacing w:val="4"/>
          <w:sz w:val="24"/>
        </w:rPr>
        <w:t>2021年度南通卫生高职校工会会员元旦、春节、端午、中秋慰问品或提货券。</w:t>
      </w:r>
    </w:p>
    <w:p>
      <w:pPr>
        <w:spacing w:line="400" w:lineRule="exact"/>
        <w:ind w:firstLine="496" w:firstLineChars="200"/>
        <w:rPr>
          <w:rFonts w:ascii="宋体" w:hAnsi="宋体"/>
          <w:color w:val="000000"/>
          <w:spacing w:val="4"/>
          <w:sz w:val="24"/>
        </w:rPr>
      </w:pPr>
      <w:r>
        <w:rPr>
          <w:rFonts w:hint="eastAsia" w:ascii="宋体" w:hAnsi="宋体"/>
          <w:color w:val="000000"/>
          <w:spacing w:val="4"/>
          <w:sz w:val="24"/>
        </w:rPr>
        <w:t>每张提货券实付金额设置：元旦400元、春节500元、端午节400元、中秋500元，总计1800元/人·年,约320份。</w:t>
      </w:r>
    </w:p>
    <w:p>
      <w:pPr>
        <w:spacing w:line="400" w:lineRule="exact"/>
        <w:ind w:firstLine="482" w:firstLineChars="200"/>
        <w:rPr>
          <w:rFonts w:ascii="宋体" w:hAnsi="宋体"/>
          <w:b/>
          <w:bCs/>
          <w:color w:val="000000"/>
          <w:spacing w:val="4"/>
          <w:sz w:val="24"/>
        </w:rPr>
      </w:pPr>
      <w:r>
        <w:rPr>
          <w:rFonts w:hint="eastAsia" w:ascii="宋体" w:hAnsi="宋体"/>
          <w:b/>
          <w:bCs/>
          <w:sz w:val="24"/>
        </w:rPr>
        <w:t>四、服务期限：一年</w:t>
      </w:r>
    </w:p>
    <w:p>
      <w:pPr>
        <w:spacing w:line="400" w:lineRule="exact"/>
        <w:ind w:firstLine="498" w:firstLineChars="200"/>
        <w:rPr>
          <w:rFonts w:ascii="宋体" w:hAnsi="宋体"/>
          <w:b/>
          <w:bCs/>
          <w:color w:val="000000"/>
          <w:spacing w:val="4"/>
          <w:sz w:val="24"/>
        </w:rPr>
      </w:pPr>
      <w:r>
        <w:rPr>
          <w:rFonts w:hint="eastAsia" w:ascii="宋体" w:hAnsi="宋体"/>
          <w:b/>
          <w:bCs/>
          <w:color w:val="000000"/>
          <w:spacing w:val="4"/>
          <w:sz w:val="24"/>
        </w:rPr>
        <w:t>五、评标办法：</w:t>
      </w:r>
    </w:p>
    <w:p>
      <w:pPr>
        <w:spacing w:line="400" w:lineRule="exact"/>
        <w:ind w:firstLine="496" w:firstLineChars="200"/>
        <w:rPr>
          <w:rFonts w:ascii="宋体" w:hAnsi="宋体"/>
          <w:color w:val="000000"/>
          <w:spacing w:val="4"/>
          <w:sz w:val="24"/>
        </w:rPr>
      </w:pPr>
      <w:r>
        <w:rPr>
          <w:rFonts w:hint="eastAsia" w:ascii="宋体" w:hAnsi="宋体"/>
          <w:color w:val="000000"/>
          <w:spacing w:val="4"/>
          <w:sz w:val="24"/>
        </w:rPr>
        <w:t>如果符合资格审核的投标人有三家，确定一家中标候选人，如果符合资格审核的投标人有四家及以上，确定两家中标候选人。</w:t>
      </w:r>
    </w:p>
    <w:p>
      <w:pPr>
        <w:spacing w:line="400" w:lineRule="exact"/>
        <w:ind w:firstLine="498" w:firstLineChars="200"/>
        <w:rPr>
          <w:rFonts w:ascii="宋体" w:hAnsi="宋体"/>
          <w:b/>
          <w:bCs/>
          <w:color w:val="000000"/>
          <w:spacing w:val="4"/>
          <w:sz w:val="24"/>
        </w:rPr>
      </w:pPr>
      <w:r>
        <w:rPr>
          <w:rFonts w:hint="eastAsia" w:ascii="宋体" w:hAnsi="宋体"/>
          <w:b/>
          <w:bCs/>
          <w:color w:val="000000"/>
          <w:spacing w:val="4"/>
          <w:sz w:val="24"/>
        </w:rPr>
        <w:t>六、</w:t>
      </w:r>
      <w:r>
        <w:rPr>
          <w:rFonts w:hint="eastAsia" w:ascii="宋体" w:hAnsi="宋体"/>
          <w:b/>
          <w:bCs/>
          <w:color w:val="000000"/>
          <w:sz w:val="24"/>
        </w:rPr>
        <w:t>合格的投标人</w:t>
      </w:r>
      <w:r>
        <w:rPr>
          <w:rFonts w:hint="eastAsia" w:ascii="宋体" w:hAnsi="宋体"/>
          <w:b/>
          <w:bCs/>
          <w:color w:val="000000"/>
          <w:spacing w:val="4"/>
          <w:sz w:val="24"/>
        </w:rPr>
        <w:t>：</w:t>
      </w:r>
    </w:p>
    <w:p>
      <w:pPr>
        <w:spacing w:line="400" w:lineRule="exact"/>
        <w:ind w:firstLine="496" w:firstLineChars="200"/>
        <w:rPr>
          <w:rFonts w:ascii="宋体" w:hAnsi="宋体"/>
          <w:bCs/>
          <w:color w:val="000000"/>
          <w:spacing w:val="4"/>
          <w:sz w:val="24"/>
        </w:rPr>
      </w:pPr>
      <w:r>
        <w:rPr>
          <w:rFonts w:ascii="宋体" w:hAnsi="宋体"/>
          <w:bCs/>
          <w:color w:val="000000"/>
          <w:spacing w:val="4"/>
          <w:sz w:val="24"/>
        </w:rPr>
        <w:t>1、营业执照副本（复印件）；</w:t>
      </w:r>
    </w:p>
    <w:p>
      <w:pPr>
        <w:spacing w:line="400" w:lineRule="exact"/>
        <w:ind w:firstLine="496" w:firstLineChars="200"/>
        <w:rPr>
          <w:rFonts w:cs="Calibri"/>
          <w:bCs/>
          <w:color w:val="000000"/>
          <w:sz w:val="24"/>
        </w:rPr>
      </w:pPr>
      <w:r>
        <w:rPr>
          <w:rFonts w:hint="eastAsia" w:ascii="宋体" w:hAnsi="宋体"/>
          <w:bCs/>
          <w:color w:val="000000"/>
          <w:spacing w:val="4"/>
          <w:sz w:val="24"/>
        </w:rPr>
        <w:t>2</w:t>
      </w:r>
      <w:r>
        <w:rPr>
          <w:rFonts w:ascii="宋体" w:hAnsi="宋体"/>
          <w:bCs/>
          <w:color w:val="000000"/>
          <w:spacing w:val="4"/>
          <w:sz w:val="24"/>
        </w:rPr>
        <w:t>、</w:t>
      </w:r>
      <w:r>
        <w:rPr>
          <w:rFonts w:hint="eastAsia" w:cs="Calibri"/>
          <w:bCs/>
          <w:color w:val="000000"/>
          <w:sz w:val="24"/>
        </w:rPr>
        <w:t>法人亲自参加的凭身份证原件即可，授权委托人必须出示本人身份证及法定代表人授权委托书（必须盖单位公章），准时参加开标，否则其投标文件将被拒绝；</w:t>
      </w:r>
    </w:p>
    <w:p>
      <w:pPr>
        <w:spacing w:line="400" w:lineRule="exact"/>
        <w:ind w:firstLine="480" w:firstLineChars="200"/>
        <w:rPr>
          <w:rFonts w:cs="Calibri"/>
          <w:bCs/>
          <w:color w:val="000000"/>
          <w:sz w:val="24"/>
        </w:rPr>
      </w:pPr>
      <w:r>
        <w:rPr>
          <w:rFonts w:hint="eastAsia" w:cs="Calibri"/>
          <w:bCs/>
          <w:color w:val="000000"/>
          <w:sz w:val="24"/>
        </w:rPr>
        <w:t>3、参与投标人是授权委托人的，受委托人必须为投标单位正式员工。须提供授权委托人在投标单位至少一年的</w:t>
      </w:r>
      <w:r>
        <w:rPr>
          <w:rFonts w:hint="eastAsia" w:cs="Calibri"/>
          <w:b/>
          <w:color w:val="000000"/>
          <w:sz w:val="24"/>
        </w:rPr>
        <w:t>社保记录</w:t>
      </w:r>
      <w:r>
        <w:rPr>
          <w:rFonts w:hint="eastAsia" w:cs="Calibri"/>
          <w:bCs/>
          <w:color w:val="000000"/>
          <w:sz w:val="24"/>
        </w:rPr>
        <w:t>（至开标日止</w:t>
      </w:r>
      <w:r>
        <w:rPr>
          <w:rFonts w:hint="eastAsia" w:cs="Calibri"/>
          <w:b/>
          <w:color w:val="000000"/>
          <w:sz w:val="24"/>
        </w:rPr>
        <w:t>连续十二个月以上</w:t>
      </w:r>
      <w:r>
        <w:rPr>
          <w:rFonts w:hint="eastAsia" w:cs="Calibri"/>
          <w:bCs/>
          <w:color w:val="000000"/>
          <w:sz w:val="24"/>
        </w:rPr>
        <w:t>）；</w:t>
      </w:r>
    </w:p>
    <w:p>
      <w:pPr>
        <w:spacing w:line="400" w:lineRule="exact"/>
        <w:ind w:firstLine="480" w:firstLineChars="200"/>
        <w:rPr>
          <w:rFonts w:cs="Calibri"/>
          <w:bCs/>
          <w:color w:val="000000"/>
          <w:sz w:val="24"/>
        </w:rPr>
      </w:pPr>
      <w:r>
        <w:rPr>
          <w:rFonts w:hint="eastAsia" w:cs="Calibri"/>
          <w:bCs/>
          <w:color w:val="000000"/>
          <w:sz w:val="24"/>
        </w:rPr>
        <w:t>4、近三年内公司无行贿违法记录承诺书（承诺书加盖公章）；</w:t>
      </w:r>
    </w:p>
    <w:p>
      <w:pPr>
        <w:spacing w:line="400" w:lineRule="exact"/>
        <w:ind w:firstLine="480" w:firstLineChars="200"/>
        <w:rPr>
          <w:rFonts w:cs="Calibri"/>
          <w:bCs/>
          <w:sz w:val="24"/>
        </w:rPr>
      </w:pPr>
      <w:r>
        <w:rPr>
          <w:rFonts w:cs="Calibri"/>
          <w:bCs/>
          <w:sz w:val="24"/>
        </w:rPr>
        <w:t>5</w:t>
      </w:r>
      <w:r>
        <w:rPr>
          <w:rFonts w:hint="eastAsia" w:cs="Calibri"/>
          <w:bCs/>
          <w:sz w:val="24"/>
        </w:rPr>
        <w:t>、本项目不接受任何形式的联合体投标。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w:t>
      </w:r>
    </w:p>
    <w:p>
      <w:pPr>
        <w:spacing w:line="400" w:lineRule="exact"/>
        <w:ind w:firstLine="480" w:firstLineChars="200"/>
        <w:rPr>
          <w:rFonts w:cs="Calibri"/>
          <w:bCs/>
          <w:color w:val="000000"/>
          <w:sz w:val="24"/>
          <w:u w:val="single"/>
          <w:shd w:val="clear" w:color="FFFFFF" w:fill="D9D9D9"/>
        </w:rPr>
      </w:pPr>
    </w:p>
    <w:p>
      <w:pPr>
        <w:spacing w:line="400" w:lineRule="exact"/>
        <w:ind w:firstLine="498" w:firstLineChars="200"/>
        <w:rPr>
          <w:rFonts w:ascii="宋体" w:hAnsi="宋体"/>
          <w:b/>
          <w:bCs/>
          <w:color w:val="000000"/>
          <w:spacing w:val="4"/>
          <w:sz w:val="24"/>
        </w:rPr>
      </w:pPr>
      <w:r>
        <w:rPr>
          <w:rFonts w:hint="eastAsia" w:ascii="宋体" w:hAnsi="宋体"/>
          <w:b/>
          <w:bCs/>
          <w:color w:val="000000"/>
          <w:spacing w:val="4"/>
          <w:sz w:val="24"/>
        </w:rPr>
        <w:t>六、投标保证金：</w:t>
      </w:r>
      <w:r>
        <w:rPr>
          <w:rFonts w:ascii="宋体" w:hAnsi="宋体"/>
          <w:b/>
          <w:bCs/>
          <w:color w:val="000000"/>
          <w:spacing w:val="4"/>
          <w:sz w:val="24"/>
        </w:rPr>
        <w:t>人民币</w:t>
      </w:r>
      <w:r>
        <w:rPr>
          <w:rFonts w:hint="eastAsia" w:ascii="宋体" w:hAnsi="宋体"/>
          <w:b/>
          <w:bCs/>
          <w:color w:val="000000"/>
          <w:spacing w:val="4"/>
          <w:sz w:val="24"/>
        </w:rPr>
        <w:t>壹万元。</w:t>
      </w:r>
    </w:p>
    <w:p>
      <w:pPr>
        <w:spacing w:line="400" w:lineRule="exact"/>
        <w:ind w:firstLine="480" w:firstLineChars="200"/>
        <w:rPr>
          <w:rFonts w:cs="Calibri"/>
          <w:bCs/>
          <w:sz w:val="24"/>
        </w:rPr>
      </w:pPr>
      <w:r>
        <w:rPr>
          <w:rFonts w:hint="eastAsia" w:cs="Calibri"/>
          <w:bCs/>
          <w:sz w:val="24"/>
        </w:rPr>
        <w:t>供应商交纳的保证金仅限现金、银行汇票、本票、电汇、网银的形式，将保证金凭证用信封密封装好带到开标现场，未中标当场退还，中标者转为履约保证金，待履约完成无息退还。</w:t>
      </w:r>
    </w:p>
    <w:p>
      <w:pPr>
        <w:spacing w:line="400" w:lineRule="exact"/>
        <w:ind w:firstLine="480" w:firstLineChars="200"/>
        <w:rPr>
          <w:rFonts w:cs="Calibri"/>
          <w:bCs/>
          <w:sz w:val="24"/>
        </w:rPr>
      </w:pPr>
      <w:r>
        <w:rPr>
          <w:rFonts w:hint="eastAsia" w:cs="Calibri"/>
          <w:bCs/>
          <w:sz w:val="24"/>
        </w:rPr>
        <w:t>收款户名：南通市财政局</w:t>
      </w:r>
    </w:p>
    <w:p>
      <w:pPr>
        <w:spacing w:line="400" w:lineRule="exact"/>
        <w:ind w:firstLine="480" w:firstLineChars="200"/>
        <w:rPr>
          <w:rFonts w:cs="Calibri"/>
          <w:bCs/>
          <w:sz w:val="24"/>
        </w:rPr>
      </w:pPr>
      <w:r>
        <w:rPr>
          <w:rFonts w:hint="eastAsia" w:cs="Calibri"/>
          <w:bCs/>
          <w:sz w:val="24"/>
        </w:rPr>
        <w:t>开户行：中国银行南通报业大厦支行</w:t>
      </w:r>
    </w:p>
    <w:p>
      <w:pPr>
        <w:spacing w:line="400" w:lineRule="exact"/>
        <w:ind w:firstLine="480" w:firstLineChars="200"/>
        <w:rPr>
          <w:rFonts w:cs="Calibri"/>
          <w:bCs/>
          <w:sz w:val="24"/>
        </w:rPr>
      </w:pPr>
      <w:r>
        <w:rPr>
          <w:rFonts w:hint="eastAsia" w:cs="Calibri"/>
          <w:bCs/>
          <w:sz w:val="24"/>
        </w:rPr>
        <w:t xml:space="preserve">收款账号：471558227682  </w:t>
      </w:r>
    </w:p>
    <w:p>
      <w:pPr>
        <w:spacing w:line="400" w:lineRule="exact"/>
        <w:ind w:firstLine="496" w:firstLineChars="200"/>
        <w:rPr>
          <w:rFonts w:ascii="宋体" w:hAnsi="宋体"/>
          <w:color w:val="000000"/>
          <w:spacing w:val="4"/>
          <w:sz w:val="24"/>
        </w:rPr>
      </w:pPr>
      <w:r>
        <w:rPr>
          <w:rFonts w:hint="eastAsia" w:ascii="宋体" w:hAnsi="宋体"/>
          <w:color w:val="000000"/>
          <w:spacing w:val="4"/>
          <w:sz w:val="24"/>
        </w:rPr>
        <w:t>七、投标时间及地点：</w:t>
      </w:r>
    </w:p>
    <w:p>
      <w:pPr>
        <w:spacing w:line="400" w:lineRule="exact"/>
        <w:ind w:firstLine="496" w:firstLineChars="200"/>
        <w:rPr>
          <w:rFonts w:ascii="宋体" w:hAnsi="宋体"/>
          <w:color w:val="000000"/>
          <w:spacing w:val="4"/>
          <w:sz w:val="24"/>
        </w:rPr>
      </w:pPr>
      <w:r>
        <w:rPr>
          <w:rFonts w:ascii="宋体" w:hAnsi="宋体"/>
          <w:color w:val="000000"/>
          <w:spacing w:val="4"/>
          <w:sz w:val="24"/>
        </w:rPr>
        <w:t>请投标人于20</w:t>
      </w:r>
      <w:r>
        <w:rPr>
          <w:rFonts w:hint="eastAsia" w:ascii="宋体" w:hAnsi="宋体"/>
          <w:color w:val="000000"/>
          <w:spacing w:val="4"/>
          <w:sz w:val="24"/>
        </w:rPr>
        <w:t>21</w:t>
      </w:r>
      <w:r>
        <w:rPr>
          <w:rFonts w:ascii="宋体" w:hAnsi="宋体"/>
          <w:color w:val="000000"/>
          <w:spacing w:val="4"/>
          <w:sz w:val="24"/>
        </w:rPr>
        <w:t>年</w:t>
      </w:r>
      <w:r>
        <w:rPr>
          <w:rFonts w:hint="eastAsia" w:ascii="宋体" w:hAnsi="宋体"/>
          <w:color w:val="000000"/>
          <w:spacing w:val="4"/>
          <w:sz w:val="24"/>
        </w:rPr>
        <w:t>12</w:t>
      </w:r>
      <w:r>
        <w:rPr>
          <w:rFonts w:ascii="宋体" w:hAnsi="宋体"/>
          <w:color w:val="000000"/>
          <w:spacing w:val="4"/>
          <w:sz w:val="24"/>
        </w:rPr>
        <w:t>月</w:t>
      </w:r>
      <w:r>
        <w:rPr>
          <w:rFonts w:hint="eastAsia" w:ascii="宋体" w:hAnsi="宋体"/>
          <w:color w:val="000000"/>
          <w:spacing w:val="4"/>
          <w:sz w:val="24"/>
        </w:rPr>
        <w:t>23</w:t>
      </w:r>
      <w:r>
        <w:rPr>
          <w:rFonts w:ascii="宋体" w:hAnsi="宋体"/>
          <w:color w:val="000000"/>
          <w:spacing w:val="4"/>
          <w:sz w:val="24"/>
        </w:rPr>
        <w:t>日</w:t>
      </w:r>
      <w:r>
        <w:rPr>
          <w:rFonts w:hint="eastAsia" w:ascii="宋体" w:hAnsi="宋体"/>
          <w:color w:val="000000"/>
          <w:spacing w:val="4"/>
          <w:sz w:val="24"/>
        </w:rPr>
        <w:t>下</w:t>
      </w:r>
      <w:r>
        <w:rPr>
          <w:rFonts w:ascii="宋体" w:hAnsi="宋体"/>
          <w:color w:val="000000"/>
          <w:spacing w:val="4"/>
          <w:sz w:val="24"/>
        </w:rPr>
        <w:t>午</w:t>
      </w:r>
      <w:r>
        <w:rPr>
          <w:rFonts w:hint="eastAsia" w:ascii="宋体" w:hAnsi="宋体"/>
          <w:color w:val="000000"/>
          <w:spacing w:val="4"/>
          <w:sz w:val="24"/>
        </w:rPr>
        <w:t>13</w:t>
      </w:r>
      <w:r>
        <w:rPr>
          <w:rFonts w:ascii="宋体" w:hAnsi="宋体"/>
          <w:color w:val="000000"/>
          <w:spacing w:val="4"/>
          <w:sz w:val="24"/>
        </w:rPr>
        <w:t>:</w:t>
      </w:r>
      <w:r>
        <w:rPr>
          <w:rFonts w:hint="eastAsia" w:ascii="宋体" w:hAnsi="宋体"/>
          <w:color w:val="000000"/>
          <w:spacing w:val="4"/>
          <w:sz w:val="24"/>
        </w:rPr>
        <w:t>0</w:t>
      </w:r>
      <w:r>
        <w:rPr>
          <w:rFonts w:ascii="宋体" w:hAnsi="宋体"/>
          <w:color w:val="000000"/>
          <w:spacing w:val="4"/>
          <w:sz w:val="24"/>
        </w:rPr>
        <w:t>0</w:t>
      </w:r>
      <w:r>
        <w:rPr>
          <w:rFonts w:hint="eastAsia" w:ascii="宋体" w:hAnsi="宋体"/>
          <w:color w:val="000000"/>
          <w:spacing w:val="4"/>
          <w:sz w:val="24"/>
        </w:rPr>
        <w:t>-14</w:t>
      </w:r>
      <w:r>
        <w:rPr>
          <w:rFonts w:ascii="宋体" w:hAnsi="宋体"/>
          <w:color w:val="000000"/>
          <w:spacing w:val="4"/>
          <w:sz w:val="24"/>
        </w:rPr>
        <w:t>:00之间，</w:t>
      </w:r>
      <w:r>
        <w:rPr>
          <w:rFonts w:hint="eastAsia" w:ascii="宋体" w:hAnsi="宋体"/>
          <w:bCs/>
          <w:color w:val="000000"/>
          <w:spacing w:val="4"/>
          <w:sz w:val="24"/>
        </w:rPr>
        <w:t>请</w:t>
      </w:r>
      <w:r>
        <w:rPr>
          <w:rFonts w:ascii="宋体" w:hAnsi="宋体"/>
          <w:color w:val="000000"/>
          <w:spacing w:val="4"/>
          <w:sz w:val="24"/>
        </w:rPr>
        <w:t>将</w:t>
      </w:r>
      <w:r>
        <w:rPr>
          <w:rFonts w:hint="eastAsia" w:ascii="宋体" w:hAnsi="宋体"/>
          <w:bCs/>
          <w:color w:val="000000"/>
          <w:spacing w:val="4"/>
          <w:sz w:val="24"/>
        </w:rPr>
        <w:t>样品和</w:t>
      </w:r>
      <w:r>
        <w:rPr>
          <w:rFonts w:ascii="宋体" w:hAnsi="宋体"/>
          <w:color w:val="000000"/>
          <w:spacing w:val="4"/>
          <w:sz w:val="24"/>
        </w:rPr>
        <w:t>密封好的标书</w:t>
      </w:r>
      <w:r>
        <w:rPr>
          <w:rFonts w:hint="eastAsia" w:ascii="宋体" w:hAnsi="宋体"/>
          <w:bCs/>
          <w:color w:val="000000"/>
          <w:spacing w:val="4"/>
          <w:sz w:val="24"/>
        </w:rPr>
        <w:t>送至振兴东路288</w:t>
      </w:r>
      <w:r>
        <w:rPr>
          <w:rFonts w:ascii="宋体" w:hAnsi="宋体"/>
          <w:color w:val="000000"/>
          <w:spacing w:val="4"/>
          <w:sz w:val="24"/>
        </w:rPr>
        <w:t>号南通卫生高职校</w:t>
      </w:r>
      <w:r>
        <w:rPr>
          <w:rFonts w:hint="eastAsia" w:ascii="宋体" w:hAnsi="宋体"/>
          <w:color w:val="000000"/>
          <w:spacing w:val="4"/>
          <w:sz w:val="24"/>
        </w:rPr>
        <w:t>行政楼1510室</w:t>
      </w:r>
      <w:r>
        <w:rPr>
          <w:rFonts w:ascii="宋体" w:hAnsi="宋体"/>
          <w:color w:val="000000"/>
          <w:spacing w:val="4"/>
          <w:sz w:val="24"/>
        </w:rPr>
        <w:t>。</w:t>
      </w:r>
    </w:p>
    <w:p>
      <w:pPr>
        <w:spacing w:line="400" w:lineRule="exact"/>
        <w:ind w:firstLine="496" w:firstLineChars="200"/>
        <w:rPr>
          <w:rFonts w:ascii="宋体" w:hAnsi="宋体"/>
          <w:color w:val="000000"/>
          <w:spacing w:val="4"/>
          <w:sz w:val="24"/>
        </w:rPr>
      </w:pPr>
      <w:r>
        <w:rPr>
          <w:rFonts w:hint="eastAsia" w:ascii="宋体" w:hAnsi="宋体"/>
          <w:color w:val="000000"/>
          <w:spacing w:val="4"/>
          <w:sz w:val="24"/>
        </w:rPr>
        <w:t>开标时间：2021年12月23日下午14：00。</w:t>
      </w:r>
    </w:p>
    <w:p>
      <w:pPr>
        <w:spacing w:line="400" w:lineRule="exact"/>
        <w:ind w:firstLine="496" w:firstLineChars="200"/>
        <w:rPr>
          <w:rFonts w:ascii="宋体" w:hAnsi="宋体"/>
          <w:color w:val="000000"/>
          <w:spacing w:val="4"/>
          <w:sz w:val="24"/>
        </w:rPr>
      </w:pPr>
      <w:r>
        <w:rPr>
          <w:rFonts w:hint="eastAsia" w:ascii="宋体" w:hAnsi="宋体"/>
          <w:color w:val="000000"/>
          <w:spacing w:val="4"/>
          <w:sz w:val="24"/>
        </w:rPr>
        <w:t>招标文件获取：投标人自行下载。</w:t>
      </w:r>
    </w:p>
    <w:p>
      <w:pPr>
        <w:spacing w:line="400" w:lineRule="exact"/>
        <w:ind w:firstLine="496" w:firstLineChars="200"/>
        <w:rPr>
          <w:rFonts w:ascii="宋体" w:hAnsi="宋体"/>
          <w:color w:val="000000"/>
          <w:spacing w:val="4"/>
          <w:sz w:val="24"/>
        </w:rPr>
      </w:pPr>
      <w:r>
        <w:rPr>
          <w:rFonts w:hint="eastAsia" w:ascii="宋体" w:hAnsi="宋体"/>
          <w:color w:val="000000"/>
          <w:spacing w:val="4"/>
          <w:sz w:val="24"/>
        </w:rPr>
        <w:t>联系人：单老师，联系电话：0513-51083173，13511591058</w:t>
      </w:r>
    </w:p>
    <w:p>
      <w:pPr>
        <w:spacing w:line="500" w:lineRule="exact"/>
        <w:jc w:val="center"/>
        <w:rPr>
          <w:rFonts w:ascii="宋体" w:hAnsi="宋体"/>
          <w:b/>
          <w:color w:val="000000"/>
          <w:sz w:val="24"/>
          <w:szCs w:val="22"/>
        </w:rPr>
      </w:pPr>
      <w:r>
        <w:rPr>
          <w:b/>
          <w:sz w:val="32"/>
          <w:szCs w:val="32"/>
        </w:rPr>
        <w:br w:type="page"/>
      </w:r>
      <w:r>
        <w:rPr>
          <w:rFonts w:hint="eastAsia" w:ascii="宋体" w:hAnsi="宋体"/>
          <w:b/>
          <w:color w:val="000000"/>
          <w:sz w:val="24"/>
          <w:szCs w:val="22"/>
        </w:rPr>
        <w:t>友情提醒</w:t>
      </w:r>
    </w:p>
    <w:p>
      <w:pPr>
        <w:tabs>
          <w:tab w:val="left" w:pos="5325"/>
        </w:tabs>
        <w:snapToGrid w:val="0"/>
        <w:spacing w:line="520" w:lineRule="exact"/>
        <w:ind w:firstLine="480" w:firstLineChars="200"/>
        <w:contextualSpacing/>
        <w:jc w:val="left"/>
        <w:rPr>
          <w:rFonts w:ascii="宋体" w:hAnsi="宋体"/>
          <w:color w:val="000000"/>
          <w:sz w:val="24"/>
        </w:rPr>
      </w:pPr>
      <w:r>
        <w:rPr>
          <w:rFonts w:hint="eastAsia" w:ascii="宋体" w:hAnsi="宋体"/>
          <w:color w:val="000000"/>
          <w:sz w:val="24"/>
        </w:rPr>
        <w:t>投标人下载招标文件后应仔细阅读招标文件的所有内容，如认为有内容残缺，或在资格要求、项目需求、技术参数等方面含有排它性表述的，应在投标截止时间三日前以书面形式提出询问或疑问，送达并签收。未在规定时间内提出询问或疑问的，视同投标人理解并接受本招标文件所有内容。投标人不得在招标结束后针对招标文件所有内容提出质疑事项。</w:t>
      </w:r>
    </w:p>
    <w:p>
      <w:pPr>
        <w:tabs>
          <w:tab w:val="left" w:pos="5325"/>
        </w:tabs>
        <w:snapToGrid w:val="0"/>
        <w:spacing w:line="520" w:lineRule="exact"/>
        <w:ind w:firstLine="480" w:firstLineChars="200"/>
        <w:contextualSpacing/>
        <w:jc w:val="left"/>
        <w:rPr>
          <w:rFonts w:ascii="宋体" w:hAnsi="宋体"/>
          <w:color w:val="000000"/>
          <w:sz w:val="24"/>
        </w:rPr>
      </w:pPr>
      <w:r>
        <w:rPr>
          <w:rFonts w:hint="eastAsia" w:ascii="宋体" w:hAnsi="宋体"/>
          <w:color w:val="000000"/>
          <w:sz w:val="24"/>
        </w:rPr>
        <w:t>投标人对本次招标有质疑的，须由投标单位法定代表人或委托代理人以书面形式送达并签收。不能提供佐证材料的、涉及商业秘密的、非书面形式的、匿名的质疑将不予受理。</w:t>
      </w:r>
    </w:p>
    <w:p>
      <w:pPr>
        <w:tabs>
          <w:tab w:val="left" w:pos="5325"/>
        </w:tabs>
        <w:snapToGrid w:val="0"/>
        <w:spacing w:line="520" w:lineRule="exact"/>
        <w:ind w:firstLine="480" w:firstLineChars="200"/>
        <w:contextualSpacing/>
        <w:jc w:val="left"/>
        <w:rPr>
          <w:rFonts w:ascii="宋体" w:hAnsi="宋体"/>
          <w:color w:val="000000"/>
          <w:sz w:val="24"/>
        </w:rPr>
      </w:pPr>
      <w:r>
        <w:rPr>
          <w:rFonts w:hint="eastAsia" w:ascii="宋体" w:hAnsi="宋体"/>
          <w:color w:val="000000"/>
          <w:sz w:val="24"/>
        </w:rPr>
        <w:t>凡质疑不成立，投标单位将被列入有不良行为记录名单,同时承担使用虚假材料或恶意方式质疑的法律责任。</w:t>
      </w:r>
    </w:p>
    <w:p>
      <w:pPr>
        <w:spacing w:line="360" w:lineRule="auto"/>
        <w:jc w:val="center"/>
        <w:rPr>
          <w:rFonts w:ascii="宋体" w:hAnsi="宋体"/>
          <w:color w:val="000000"/>
          <w:sz w:val="24"/>
          <w:szCs w:val="22"/>
        </w:rPr>
      </w:pPr>
    </w:p>
    <w:p>
      <w:pPr>
        <w:spacing w:line="360" w:lineRule="auto"/>
        <w:jc w:val="center"/>
        <w:rPr>
          <w:rFonts w:ascii="宋体" w:hAnsi="宋体"/>
          <w:color w:val="000000"/>
          <w:sz w:val="24"/>
          <w:szCs w:val="22"/>
        </w:rPr>
      </w:pPr>
    </w:p>
    <w:p>
      <w:pPr>
        <w:spacing w:line="360" w:lineRule="auto"/>
        <w:jc w:val="center"/>
        <w:rPr>
          <w:rFonts w:ascii="宋体" w:hAnsi="宋体"/>
          <w:color w:val="000000"/>
          <w:sz w:val="24"/>
          <w:szCs w:val="22"/>
        </w:rPr>
      </w:pPr>
    </w:p>
    <w:p>
      <w:pPr>
        <w:spacing w:line="360" w:lineRule="auto"/>
        <w:jc w:val="center"/>
        <w:rPr>
          <w:rFonts w:ascii="宋体" w:hAnsi="宋体"/>
          <w:color w:val="000000"/>
          <w:sz w:val="24"/>
          <w:szCs w:val="22"/>
        </w:rPr>
      </w:pPr>
    </w:p>
    <w:p>
      <w:pPr>
        <w:spacing w:line="360" w:lineRule="auto"/>
        <w:jc w:val="center"/>
        <w:rPr>
          <w:rFonts w:ascii="宋体" w:hAnsi="宋体"/>
          <w:color w:val="000000"/>
          <w:sz w:val="24"/>
          <w:szCs w:val="22"/>
        </w:rPr>
      </w:pPr>
    </w:p>
    <w:p>
      <w:pPr>
        <w:spacing w:line="360" w:lineRule="auto"/>
        <w:jc w:val="center"/>
        <w:rPr>
          <w:rFonts w:ascii="宋体" w:hAnsi="宋体"/>
          <w:color w:val="000000"/>
          <w:sz w:val="24"/>
          <w:szCs w:val="22"/>
        </w:rPr>
      </w:pPr>
    </w:p>
    <w:p>
      <w:pPr>
        <w:spacing w:line="360" w:lineRule="auto"/>
        <w:jc w:val="center"/>
        <w:rPr>
          <w:rFonts w:ascii="宋体" w:hAnsi="宋体"/>
          <w:color w:val="000000"/>
          <w:sz w:val="24"/>
          <w:szCs w:val="22"/>
        </w:rPr>
      </w:pPr>
    </w:p>
    <w:p>
      <w:pPr>
        <w:spacing w:line="360" w:lineRule="auto"/>
        <w:jc w:val="center"/>
        <w:rPr>
          <w:rFonts w:ascii="宋体" w:hAnsi="宋体"/>
          <w:color w:val="000000"/>
          <w:sz w:val="24"/>
          <w:szCs w:val="22"/>
        </w:rPr>
      </w:pPr>
    </w:p>
    <w:p>
      <w:pPr>
        <w:spacing w:line="360" w:lineRule="auto"/>
        <w:jc w:val="center"/>
        <w:rPr>
          <w:rFonts w:ascii="宋体" w:hAnsi="宋体"/>
          <w:color w:val="000000"/>
          <w:sz w:val="24"/>
          <w:szCs w:val="22"/>
        </w:rPr>
      </w:pPr>
    </w:p>
    <w:p>
      <w:pPr>
        <w:spacing w:line="360" w:lineRule="auto"/>
        <w:jc w:val="center"/>
        <w:rPr>
          <w:rFonts w:ascii="宋体" w:hAnsi="宋体"/>
          <w:color w:val="000000"/>
          <w:sz w:val="24"/>
          <w:szCs w:val="22"/>
        </w:rPr>
      </w:pPr>
    </w:p>
    <w:p>
      <w:pPr>
        <w:spacing w:line="360" w:lineRule="auto"/>
        <w:jc w:val="center"/>
        <w:rPr>
          <w:rFonts w:ascii="宋体" w:hAnsi="宋体"/>
          <w:color w:val="000000"/>
          <w:sz w:val="24"/>
          <w:szCs w:val="22"/>
        </w:rPr>
      </w:pPr>
    </w:p>
    <w:p>
      <w:pPr>
        <w:spacing w:line="360" w:lineRule="auto"/>
        <w:jc w:val="center"/>
        <w:rPr>
          <w:rFonts w:ascii="宋体" w:hAnsi="宋体"/>
          <w:color w:val="000000"/>
          <w:sz w:val="24"/>
          <w:szCs w:val="22"/>
        </w:rPr>
      </w:pPr>
    </w:p>
    <w:p>
      <w:pPr>
        <w:spacing w:line="360" w:lineRule="auto"/>
        <w:jc w:val="center"/>
        <w:rPr>
          <w:rFonts w:ascii="宋体" w:hAnsi="宋体"/>
          <w:color w:val="000000"/>
          <w:sz w:val="24"/>
          <w:szCs w:val="22"/>
        </w:rPr>
      </w:pPr>
    </w:p>
    <w:p>
      <w:pPr>
        <w:spacing w:line="360" w:lineRule="auto"/>
        <w:jc w:val="center"/>
        <w:rPr>
          <w:rFonts w:ascii="宋体" w:hAnsi="宋体"/>
          <w:color w:val="000000"/>
          <w:sz w:val="24"/>
          <w:szCs w:val="22"/>
        </w:rPr>
      </w:pPr>
    </w:p>
    <w:p>
      <w:pPr>
        <w:spacing w:line="360" w:lineRule="auto"/>
        <w:jc w:val="center"/>
        <w:rPr>
          <w:rFonts w:ascii="宋体" w:hAnsi="宋体"/>
          <w:color w:val="000000"/>
          <w:sz w:val="24"/>
          <w:szCs w:val="22"/>
        </w:rPr>
      </w:pPr>
    </w:p>
    <w:p>
      <w:pPr>
        <w:spacing w:line="360" w:lineRule="auto"/>
        <w:jc w:val="center"/>
        <w:rPr>
          <w:rFonts w:ascii="宋体" w:hAnsi="宋体"/>
          <w:color w:val="000000"/>
          <w:sz w:val="24"/>
          <w:szCs w:val="22"/>
        </w:rPr>
      </w:pPr>
    </w:p>
    <w:p>
      <w:pPr>
        <w:spacing w:line="360" w:lineRule="auto"/>
        <w:jc w:val="center"/>
        <w:rPr>
          <w:rFonts w:ascii="宋体" w:hAnsi="宋体"/>
          <w:color w:val="000000"/>
          <w:sz w:val="24"/>
          <w:szCs w:val="22"/>
        </w:rPr>
      </w:pPr>
    </w:p>
    <w:p>
      <w:pPr>
        <w:spacing w:line="360" w:lineRule="auto"/>
        <w:jc w:val="center"/>
        <w:rPr>
          <w:rFonts w:ascii="宋体" w:hAnsi="宋体"/>
          <w:color w:val="000000"/>
          <w:sz w:val="24"/>
          <w:szCs w:val="22"/>
        </w:rPr>
      </w:pPr>
    </w:p>
    <w:p>
      <w:pPr>
        <w:spacing w:line="360" w:lineRule="auto"/>
        <w:jc w:val="center"/>
        <w:rPr>
          <w:b/>
          <w:sz w:val="30"/>
          <w:szCs w:val="30"/>
        </w:rPr>
      </w:pPr>
      <w:r>
        <w:rPr>
          <w:rFonts w:hint="eastAsia"/>
          <w:b/>
          <w:sz w:val="30"/>
          <w:szCs w:val="30"/>
        </w:rPr>
        <w:t>招标文件</w:t>
      </w:r>
    </w:p>
    <w:p>
      <w:pPr>
        <w:adjustRightInd w:val="0"/>
        <w:snapToGrid w:val="0"/>
        <w:spacing w:beforeLines="30" w:line="360" w:lineRule="auto"/>
        <w:ind w:firstLine="460" w:firstLineChars="192"/>
        <w:rPr>
          <w:rFonts w:ascii="宋体" w:hAnsi="宋体"/>
          <w:sz w:val="24"/>
        </w:rPr>
      </w:pPr>
      <w:r>
        <w:rPr>
          <w:rFonts w:hint="eastAsia" w:ascii="宋体" w:hAnsi="宋体"/>
          <w:sz w:val="24"/>
        </w:rPr>
        <w:t>2021年度南通卫生高职校工会会员元旦、春节、端午、中秋慰问品采购实行公开招标方式。本次招标由学校招投标办公室组织评标专家小组评标，将按照招投标有关规定开展工作，请各投标人积极配合，认真阅读本招标文件，精心做好相应工作。投标有关事项规定如下：</w:t>
      </w:r>
    </w:p>
    <w:p>
      <w:pPr>
        <w:adjustRightInd w:val="0"/>
        <w:snapToGrid w:val="0"/>
        <w:spacing w:beforeLines="30" w:line="360" w:lineRule="auto"/>
        <w:ind w:firstLine="482" w:firstLineChars="200"/>
        <w:rPr>
          <w:rFonts w:ascii="宋体" w:hAnsi="宋体" w:cs="宋体"/>
          <w:b/>
          <w:sz w:val="24"/>
        </w:rPr>
      </w:pPr>
      <w:r>
        <w:rPr>
          <w:rFonts w:hint="eastAsia" w:ascii="宋体" w:hAnsi="宋体" w:cs="宋体"/>
          <w:b/>
          <w:sz w:val="24"/>
        </w:rPr>
        <w:t>一、总则</w:t>
      </w:r>
    </w:p>
    <w:p>
      <w:pPr>
        <w:adjustRightInd w:val="0"/>
        <w:snapToGrid w:val="0"/>
        <w:spacing w:beforeLines="30" w:line="360" w:lineRule="auto"/>
        <w:ind w:firstLine="460" w:firstLineChars="192"/>
        <w:rPr>
          <w:rFonts w:ascii="宋体" w:hAnsi="宋体"/>
          <w:sz w:val="24"/>
        </w:rPr>
      </w:pPr>
      <w:r>
        <w:rPr>
          <w:rFonts w:ascii="宋体" w:hAnsi="宋体"/>
          <w:sz w:val="24"/>
        </w:rPr>
        <w:t>1</w:t>
      </w:r>
      <w:r>
        <w:rPr>
          <w:rFonts w:hint="eastAsia" w:ascii="宋体" w:hAnsi="宋体"/>
          <w:sz w:val="24"/>
        </w:rPr>
        <w:t>、适用范围：本招标文件仅适合于本次招标。</w:t>
      </w:r>
    </w:p>
    <w:p>
      <w:pPr>
        <w:adjustRightInd w:val="0"/>
        <w:snapToGrid w:val="0"/>
        <w:spacing w:beforeLines="30" w:line="360" w:lineRule="auto"/>
        <w:ind w:firstLine="460" w:firstLineChars="192"/>
        <w:rPr>
          <w:rFonts w:ascii="宋体" w:hAnsi="宋体"/>
          <w:sz w:val="24"/>
        </w:rPr>
      </w:pPr>
      <w:r>
        <w:rPr>
          <w:rFonts w:ascii="宋体" w:hAnsi="宋体"/>
          <w:sz w:val="24"/>
        </w:rPr>
        <w:t>2</w:t>
      </w:r>
      <w:r>
        <w:rPr>
          <w:rFonts w:hint="eastAsia" w:ascii="宋体" w:hAnsi="宋体"/>
          <w:sz w:val="24"/>
        </w:rPr>
        <w:t>、招标文件的约束力：投标人一旦参加投标即被认为完全接受了招标文件的条件和规定。</w:t>
      </w:r>
    </w:p>
    <w:p>
      <w:pPr>
        <w:adjustRightInd w:val="0"/>
        <w:snapToGrid w:val="0"/>
        <w:spacing w:beforeLines="30" w:line="360" w:lineRule="auto"/>
        <w:ind w:firstLine="482" w:firstLineChars="200"/>
        <w:rPr>
          <w:rFonts w:ascii="宋体" w:hAnsi="宋体" w:cs="宋体"/>
          <w:b/>
          <w:sz w:val="24"/>
        </w:rPr>
      </w:pPr>
      <w:r>
        <w:rPr>
          <w:rFonts w:hint="eastAsia" w:ascii="宋体" w:hAnsi="宋体" w:cs="宋体"/>
          <w:b/>
          <w:sz w:val="24"/>
        </w:rPr>
        <w:t>二、项目描述</w:t>
      </w:r>
    </w:p>
    <w:p>
      <w:pPr>
        <w:adjustRightInd w:val="0"/>
        <w:snapToGrid w:val="0"/>
        <w:spacing w:beforeLines="30" w:line="360" w:lineRule="auto"/>
        <w:ind w:firstLine="480" w:firstLineChars="200"/>
        <w:rPr>
          <w:rFonts w:ascii="宋体" w:hAnsi="宋体"/>
          <w:sz w:val="24"/>
        </w:rPr>
      </w:pPr>
      <w:r>
        <w:rPr>
          <w:rFonts w:ascii="宋体" w:hAnsi="宋体"/>
          <w:sz w:val="24"/>
        </w:rPr>
        <w:t>1</w:t>
      </w:r>
      <w:r>
        <w:rPr>
          <w:rFonts w:hint="eastAsia" w:ascii="宋体" w:hAnsi="宋体"/>
          <w:sz w:val="24"/>
        </w:rPr>
        <w:t>、本招标文件适用于2021年度南通卫生高职校工会会员元旦、春节、端午、中秋慰问品采购招标活动。</w:t>
      </w:r>
    </w:p>
    <w:p>
      <w:pPr>
        <w:adjustRightInd w:val="0"/>
        <w:snapToGrid w:val="0"/>
        <w:spacing w:beforeLines="30" w:line="360" w:lineRule="auto"/>
        <w:ind w:firstLine="480" w:firstLineChars="200"/>
        <w:rPr>
          <w:rFonts w:ascii="宋体" w:hAnsi="宋体"/>
          <w:sz w:val="24"/>
        </w:rPr>
      </w:pPr>
      <w:r>
        <w:rPr>
          <w:rFonts w:hint="eastAsia" w:ascii="宋体" w:hAnsi="宋体"/>
          <w:color w:val="000000"/>
          <w:sz w:val="24"/>
        </w:rPr>
        <w:t>2、本项目的标的:</w:t>
      </w:r>
      <w:r>
        <w:rPr>
          <w:rFonts w:hint="eastAsia" w:ascii="宋体" w:hAnsi="宋体"/>
          <w:sz w:val="24"/>
        </w:rPr>
        <w:t xml:space="preserve"> 2021年度南通卫生高职校工会会员元旦、春节、端午、中秋慰问品提货券。每张提货券实付金额设置：</w:t>
      </w:r>
      <w:r>
        <w:rPr>
          <w:rFonts w:hint="eastAsia" w:ascii="宋体" w:hAnsi="宋体"/>
          <w:color w:val="000000"/>
          <w:spacing w:val="4"/>
          <w:sz w:val="24"/>
        </w:rPr>
        <w:t>元旦400元、春节500元、端午节400元、中秋500元</w:t>
      </w:r>
      <w:r>
        <w:rPr>
          <w:rFonts w:hint="eastAsia" w:ascii="宋体" w:hAnsi="宋体"/>
          <w:sz w:val="24"/>
        </w:rPr>
        <w:t>，总计1800元/人·年。</w:t>
      </w:r>
    </w:p>
    <w:p>
      <w:pPr>
        <w:adjustRightInd w:val="0"/>
        <w:snapToGrid w:val="0"/>
        <w:spacing w:beforeLines="30" w:line="360" w:lineRule="auto"/>
        <w:ind w:firstLine="480" w:firstLineChars="200"/>
        <w:rPr>
          <w:rFonts w:ascii="宋体" w:hAnsi="宋体"/>
          <w:sz w:val="24"/>
        </w:rPr>
      </w:pPr>
      <w:r>
        <w:rPr>
          <w:rFonts w:hint="eastAsia" w:ascii="宋体" w:hAnsi="宋体"/>
          <w:sz w:val="24"/>
        </w:rPr>
        <w:t>附注：2021年每次发放人数约为320人，中标人以实际收到的提货劵为结算依据。</w:t>
      </w:r>
    </w:p>
    <w:p>
      <w:pPr>
        <w:adjustRightInd w:val="0"/>
        <w:snapToGrid w:val="0"/>
        <w:spacing w:beforeLines="30" w:line="360" w:lineRule="auto"/>
        <w:ind w:firstLine="482" w:firstLineChars="200"/>
        <w:rPr>
          <w:rFonts w:ascii="宋体" w:hAnsi="宋体" w:cs="宋体"/>
          <w:b/>
          <w:sz w:val="24"/>
        </w:rPr>
      </w:pPr>
      <w:r>
        <w:rPr>
          <w:rFonts w:hint="eastAsia" w:ascii="宋体" w:hAnsi="宋体" w:cs="宋体"/>
          <w:b/>
          <w:sz w:val="24"/>
        </w:rPr>
        <w:t>三、投标人资质要求</w:t>
      </w:r>
    </w:p>
    <w:p>
      <w:pPr>
        <w:spacing w:line="400" w:lineRule="exact"/>
        <w:ind w:firstLine="496" w:firstLineChars="200"/>
        <w:rPr>
          <w:rFonts w:ascii="宋体" w:hAnsi="宋体"/>
          <w:bCs/>
          <w:color w:val="000000"/>
          <w:spacing w:val="4"/>
          <w:sz w:val="24"/>
        </w:rPr>
      </w:pPr>
      <w:r>
        <w:rPr>
          <w:rFonts w:ascii="宋体" w:hAnsi="宋体"/>
          <w:bCs/>
          <w:color w:val="000000"/>
          <w:spacing w:val="4"/>
          <w:sz w:val="24"/>
        </w:rPr>
        <w:t>1、营业执照副本（复印件）；</w:t>
      </w:r>
    </w:p>
    <w:p>
      <w:pPr>
        <w:spacing w:line="400" w:lineRule="exact"/>
        <w:ind w:firstLine="496" w:firstLineChars="200"/>
        <w:rPr>
          <w:rFonts w:cs="Calibri"/>
          <w:bCs/>
          <w:color w:val="000000"/>
          <w:sz w:val="24"/>
        </w:rPr>
      </w:pPr>
      <w:r>
        <w:rPr>
          <w:rFonts w:hint="eastAsia" w:ascii="宋体" w:hAnsi="宋体"/>
          <w:bCs/>
          <w:color w:val="000000"/>
          <w:spacing w:val="4"/>
          <w:sz w:val="24"/>
        </w:rPr>
        <w:t>2</w:t>
      </w:r>
      <w:r>
        <w:rPr>
          <w:rFonts w:ascii="宋体" w:hAnsi="宋体"/>
          <w:bCs/>
          <w:color w:val="000000"/>
          <w:spacing w:val="4"/>
          <w:sz w:val="24"/>
        </w:rPr>
        <w:t>、</w:t>
      </w:r>
      <w:r>
        <w:rPr>
          <w:rFonts w:hint="eastAsia" w:cs="Calibri"/>
          <w:bCs/>
          <w:color w:val="000000"/>
          <w:sz w:val="24"/>
        </w:rPr>
        <w:t>法人亲自参加的凭身份证原件即可，授权委托人必须出示本人身份证及法定代表人授权委托书（必须盖单位公章），准时参加开标，否则其投标文件将被拒绝；</w:t>
      </w:r>
    </w:p>
    <w:p>
      <w:pPr>
        <w:spacing w:line="400" w:lineRule="exact"/>
        <w:ind w:firstLine="480" w:firstLineChars="200"/>
        <w:rPr>
          <w:rFonts w:cs="Calibri"/>
          <w:bCs/>
          <w:color w:val="000000"/>
          <w:sz w:val="24"/>
        </w:rPr>
      </w:pPr>
      <w:r>
        <w:rPr>
          <w:rFonts w:hint="eastAsia" w:cs="Calibri"/>
          <w:bCs/>
          <w:color w:val="000000"/>
          <w:sz w:val="24"/>
        </w:rPr>
        <w:t>3、参与投标人是授权委托人的，受委托人必须为投标单位正式员工。须提供授权委托人在投标单位至少一年的</w:t>
      </w:r>
      <w:r>
        <w:rPr>
          <w:rFonts w:hint="eastAsia" w:cs="Calibri"/>
          <w:b/>
          <w:color w:val="000000"/>
          <w:sz w:val="24"/>
        </w:rPr>
        <w:t>社保记录</w:t>
      </w:r>
      <w:r>
        <w:rPr>
          <w:rFonts w:hint="eastAsia" w:cs="Calibri"/>
          <w:bCs/>
          <w:color w:val="000000"/>
          <w:sz w:val="24"/>
        </w:rPr>
        <w:t>（至开标日止</w:t>
      </w:r>
      <w:r>
        <w:rPr>
          <w:rFonts w:hint="eastAsia" w:cs="Calibri"/>
          <w:b/>
          <w:color w:val="000000"/>
          <w:sz w:val="24"/>
        </w:rPr>
        <w:t>连续十二个月以上</w:t>
      </w:r>
      <w:r>
        <w:rPr>
          <w:rFonts w:hint="eastAsia" w:cs="Calibri"/>
          <w:bCs/>
          <w:color w:val="000000"/>
          <w:sz w:val="24"/>
        </w:rPr>
        <w:t>）；</w:t>
      </w:r>
    </w:p>
    <w:p>
      <w:pPr>
        <w:spacing w:line="400" w:lineRule="exact"/>
        <w:ind w:firstLine="480" w:firstLineChars="200"/>
        <w:rPr>
          <w:rFonts w:cs="Calibri"/>
          <w:bCs/>
          <w:color w:val="000000"/>
          <w:sz w:val="24"/>
        </w:rPr>
      </w:pPr>
      <w:r>
        <w:rPr>
          <w:rFonts w:hint="eastAsia" w:cs="Calibri"/>
          <w:bCs/>
          <w:color w:val="000000"/>
          <w:sz w:val="24"/>
        </w:rPr>
        <w:t>4、近三年内公司无行贿违法记录承诺书（承诺书加盖公章）；</w:t>
      </w:r>
    </w:p>
    <w:p>
      <w:pPr>
        <w:spacing w:line="400" w:lineRule="exact"/>
        <w:ind w:firstLine="480" w:firstLineChars="200"/>
        <w:rPr>
          <w:rFonts w:cs="Calibri"/>
          <w:bCs/>
          <w:sz w:val="24"/>
        </w:rPr>
      </w:pPr>
      <w:r>
        <w:rPr>
          <w:rFonts w:cs="Calibri"/>
          <w:bCs/>
          <w:sz w:val="24"/>
        </w:rPr>
        <w:t>5</w:t>
      </w:r>
      <w:r>
        <w:rPr>
          <w:rFonts w:hint="eastAsia" w:cs="Calibri"/>
          <w:bCs/>
          <w:sz w:val="24"/>
        </w:rPr>
        <w:t>、本项目不接受任何形式的联合体投标。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w:t>
      </w:r>
    </w:p>
    <w:p>
      <w:pPr>
        <w:spacing w:line="400" w:lineRule="exact"/>
        <w:ind w:firstLine="496" w:firstLineChars="200"/>
        <w:rPr>
          <w:rFonts w:ascii="宋体" w:hAnsi="宋体"/>
          <w:color w:val="000000"/>
          <w:spacing w:val="4"/>
          <w:sz w:val="24"/>
        </w:rPr>
      </w:pPr>
      <w:r>
        <w:rPr>
          <w:rFonts w:ascii="宋体" w:hAnsi="宋体"/>
          <w:color w:val="000000"/>
          <w:spacing w:val="4"/>
          <w:sz w:val="24"/>
        </w:rPr>
        <w:t>注：</w:t>
      </w:r>
      <w:r>
        <w:rPr>
          <w:rFonts w:hint="eastAsia" w:ascii="宋体" w:hAnsi="宋体"/>
          <w:color w:val="000000"/>
          <w:spacing w:val="4"/>
          <w:sz w:val="24"/>
        </w:rPr>
        <w:t>以上资格证明文件的复印件均需加盖投标人公章，</w:t>
      </w:r>
      <w:r>
        <w:rPr>
          <w:rFonts w:ascii="宋体" w:hAnsi="宋体"/>
          <w:color w:val="000000"/>
          <w:spacing w:val="4"/>
          <w:sz w:val="24"/>
        </w:rPr>
        <w:t>原件</w:t>
      </w:r>
      <w:r>
        <w:rPr>
          <w:rFonts w:hint="eastAsia" w:ascii="宋体" w:hAnsi="宋体"/>
          <w:color w:val="000000"/>
          <w:spacing w:val="4"/>
          <w:sz w:val="24"/>
        </w:rPr>
        <w:t>带到评标现场备查。</w:t>
      </w:r>
    </w:p>
    <w:p>
      <w:pPr>
        <w:adjustRightInd w:val="0"/>
        <w:snapToGrid w:val="0"/>
        <w:spacing w:beforeLines="30" w:line="360" w:lineRule="auto"/>
        <w:ind w:firstLine="482" w:firstLineChars="200"/>
        <w:rPr>
          <w:rFonts w:ascii="宋体" w:hAnsi="宋体" w:cs="宋体"/>
          <w:b/>
          <w:sz w:val="24"/>
        </w:rPr>
      </w:pPr>
      <w:r>
        <w:rPr>
          <w:rFonts w:hint="eastAsia" w:ascii="宋体" w:hAnsi="宋体" w:cs="宋体"/>
          <w:b/>
          <w:sz w:val="24"/>
        </w:rPr>
        <w:t>四、投标人须知</w:t>
      </w:r>
    </w:p>
    <w:p>
      <w:pPr>
        <w:adjustRightInd w:val="0"/>
        <w:snapToGrid w:val="0"/>
        <w:spacing w:beforeLines="30" w:line="360" w:lineRule="auto"/>
        <w:ind w:firstLine="480" w:firstLineChars="200"/>
        <w:rPr>
          <w:rFonts w:ascii="宋体" w:hAnsi="宋体"/>
          <w:sz w:val="24"/>
        </w:rPr>
      </w:pPr>
      <w:r>
        <w:rPr>
          <w:rFonts w:ascii="宋体" w:hAnsi="宋体"/>
          <w:sz w:val="24"/>
        </w:rPr>
        <w:t>1</w:t>
      </w:r>
      <w:r>
        <w:rPr>
          <w:rFonts w:hint="eastAsia" w:ascii="宋体" w:hAnsi="宋体"/>
          <w:sz w:val="24"/>
        </w:rPr>
        <w:t>、</w:t>
      </w:r>
      <w:bookmarkStart w:id="0" w:name="OLE_LINK1"/>
      <w:bookmarkStart w:id="1" w:name="OLE_LINK2"/>
      <w:r>
        <w:rPr>
          <w:rFonts w:hint="eastAsia" w:ascii="宋体" w:hAnsi="宋体"/>
          <w:sz w:val="24"/>
        </w:rPr>
        <w:t>投标人</w:t>
      </w:r>
      <w:bookmarkEnd w:id="0"/>
      <w:bookmarkEnd w:id="1"/>
      <w:r>
        <w:rPr>
          <w:rFonts w:hint="eastAsia" w:ascii="宋体" w:hAnsi="宋体"/>
          <w:sz w:val="24"/>
        </w:rPr>
        <w:t>必须合法经营，遵守国家各项法律法规。</w:t>
      </w:r>
    </w:p>
    <w:p>
      <w:pPr>
        <w:adjustRightInd w:val="0"/>
        <w:snapToGrid w:val="0"/>
        <w:spacing w:beforeLines="30" w:line="360" w:lineRule="auto"/>
        <w:ind w:firstLine="480" w:firstLineChars="200"/>
        <w:rPr>
          <w:rFonts w:ascii="宋体" w:hAnsi="宋体"/>
          <w:color w:val="000000"/>
          <w:sz w:val="24"/>
        </w:rPr>
      </w:pPr>
      <w:r>
        <w:rPr>
          <w:rFonts w:hint="eastAsia" w:ascii="宋体" w:hAnsi="宋体"/>
          <w:color w:val="000000"/>
          <w:sz w:val="24"/>
        </w:rPr>
        <w:t>2、投标人保证所提供的提货券能在其经营场所内购买双方约定所有的商品</w:t>
      </w:r>
      <w:r>
        <w:rPr>
          <w:rFonts w:hint="eastAsia" w:ascii="宋体" w:hAnsi="宋体" w:cs="宋体"/>
          <w:b/>
          <w:sz w:val="24"/>
        </w:rPr>
        <w:t>。</w:t>
      </w:r>
    </w:p>
    <w:p>
      <w:pPr>
        <w:adjustRightInd w:val="0"/>
        <w:snapToGrid w:val="0"/>
        <w:spacing w:beforeLines="30" w:line="360" w:lineRule="auto"/>
        <w:ind w:firstLine="460" w:firstLineChars="192"/>
        <w:rPr>
          <w:rFonts w:ascii="宋体" w:hAnsi="宋体"/>
          <w:sz w:val="24"/>
        </w:rPr>
      </w:pPr>
      <w:r>
        <w:rPr>
          <w:rFonts w:hint="eastAsia" w:ascii="宋体" w:hAnsi="宋体"/>
          <w:sz w:val="24"/>
        </w:rPr>
        <w:t>3、投标人独立承担经营活动中所产生的债权、债务，独立承担经营活动所产生的工商、物价、税收、劳动、安全等方面的法律责任。</w:t>
      </w:r>
    </w:p>
    <w:p>
      <w:pPr>
        <w:adjustRightInd w:val="0"/>
        <w:snapToGrid w:val="0"/>
        <w:spacing w:beforeLines="30" w:line="360" w:lineRule="auto"/>
        <w:ind w:firstLine="460" w:firstLineChars="192"/>
        <w:rPr>
          <w:rFonts w:ascii="宋体" w:hAnsi="宋体"/>
          <w:sz w:val="24"/>
        </w:rPr>
      </w:pPr>
      <w:r>
        <w:rPr>
          <w:rFonts w:hint="eastAsia" w:ascii="宋体" w:hAnsi="宋体"/>
          <w:sz w:val="24"/>
        </w:rPr>
        <w:t>4、投标人中标后不得转让中标人资格，也不得以任何名义与他人进行分项合作经营，否则招标人有权取消投标人的中标资格，由此引起的一切后果由投标人承担。</w:t>
      </w:r>
    </w:p>
    <w:p>
      <w:pPr>
        <w:adjustRightInd w:val="0"/>
        <w:snapToGrid w:val="0"/>
        <w:spacing w:beforeLines="30" w:line="360" w:lineRule="auto"/>
        <w:ind w:firstLine="460" w:firstLineChars="192"/>
        <w:rPr>
          <w:rFonts w:ascii="宋体" w:hAnsi="宋体"/>
          <w:sz w:val="24"/>
        </w:rPr>
      </w:pPr>
      <w:r>
        <w:rPr>
          <w:rFonts w:hint="eastAsia" w:ascii="宋体" w:hAnsi="宋体"/>
          <w:sz w:val="24"/>
        </w:rPr>
        <w:t>5、有不良经营记录的投标人，招标人有权取消其投标资格。</w:t>
      </w:r>
    </w:p>
    <w:p>
      <w:pPr>
        <w:adjustRightInd w:val="0"/>
        <w:snapToGrid w:val="0"/>
        <w:spacing w:beforeLines="30" w:line="360" w:lineRule="auto"/>
        <w:ind w:firstLine="460" w:firstLineChars="192"/>
        <w:rPr>
          <w:rFonts w:ascii="宋体" w:hAnsi="宋体"/>
          <w:sz w:val="24"/>
        </w:rPr>
      </w:pPr>
      <w:r>
        <w:rPr>
          <w:rFonts w:hint="eastAsia" w:ascii="宋体" w:hAnsi="宋体"/>
          <w:sz w:val="24"/>
        </w:rPr>
        <w:t>6、与招标人存在利益关系的可能影响招标人公正招标的法人、其他组织或个人不得以任何形式参与投标。</w:t>
      </w:r>
    </w:p>
    <w:p>
      <w:pPr>
        <w:adjustRightInd w:val="0"/>
        <w:snapToGrid w:val="0"/>
        <w:spacing w:beforeLines="30" w:line="360" w:lineRule="auto"/>
        <w:ind w:firstLine="482" w:firstLineChars="200"/>
        <w:rPr>
          <w:rFonts w:ascii="宋体" w:hAnsi="宋体" w:cs="宋体"/>
          <w:b/>
          <w:sz w:val="24"/>
        </w:rPr>
      </w:pPr>
      <w:r>
        <w:rPr>
          <w:rFonts w:hint="eastAsia" w:ascii="宋体" w:hAnsi="宋体" w:cs="宋体"/>
          <w:b/>
          <w:sz w:val="24"/>
        </w:rPr>
        <w:t>五、评标办法</w:t>
      </w:r>
    </w:p>
    <w:p>
      <w:pPr>
        <w:adjustRightInd w:val="0"/>
        <w:snapToGrid w:val="0"/>
        <w:spacing w:beforeLines="30" w:line="360" w:lineRule="auto"/>
        <w:ind w:firstLine="460" w:firstLineChars="192"/>
        <w:rPr>
          <w:rFonts w:ascii="宋体" w:hAnsi="宋体"/>
          <w:sz w:val="24"/>
        </w:rPr>
      </w:pPr>
      <w:r>
        <w:rPr>
          <w:rFonts w:ascii="宋体" w:hAnsi="宋体"/>
          <w:sz w:val="24"/>
        </w:rPr>
        <w:t>1</w:t>
      </w:r>
      <w:r>
        <w:rPr>
          <w:rFonts w:hint="eastAsia" w:ascii="宋体" w:hAnsi="宋体"/>
          <w:sz w:val="24"/>
        </w:rPr>
        <w:t>、投标文件的审查：</w:t>
      </w:r>
    </w:p>
    <w:p>
      <w:pPr>
        <w:adjustRightInd w:val="0"/>
        <w:snapToGrid w:val="0"/>
        <w:spacing w:beforeLines="30" w:line="360" w:lineRule="auto"/>
        <w:ind w:firstLine="460" w:firstLineChars="192"/>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）投标文件是否满足招标文件的资质要求。</w:t>
      </w:r>
    </w:p>
    <w:p>
      <w:pPr>
        <w:adjustRightInd w:val="0"/>
        <w:snapToGrid w:val="0"/>
        <w:spacing w:beforeLines="30" w:line="360" w:lineRule="auto"/>
        <w:ind w:firstLine="460" w:firstLineChars="192"/>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）投标文件在出现非实质性错误情况下，按下列原则处理：文字与图表不符时以文字为准；正本与副本不符时以正本为准；金额大写与小写不符时以大写为准；单价与总价不符时以单价为准。</w:t>
      </w:r>
    </w:p>
    <w:p>
      <w:pPr>
        <w:adjustRightInd w:val="0"/>
        <w:snapToGrid w:val="0"/>
        <w:spacing w:beforeLines="30" w:line="360" w:lineRule="auto"/>
        <w:ind w:firstLine="460" w:firstLineChars="192"/>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）评标专家小组可以对投标文件中含义不清楚或计算明显有错的投标人进行询标，但投标人不得修改文件实质性内容或超越询问范围答复。</w:t>
      </w:r>
    </w:p>
    <w:p>
      <w:pPr>
        <w:adjustRightInd w:val="0"/>
        <w:snapToGrid w:val="0"/>
        <w:spacing w:beforeLines="30" w:line="360" w:lineRule="auto"/>
        <w:ind w:firstLine="460" w:firstLineChars="192"/>
        <w:rPr>
          <w:rFonts w:ascii="宋体" w:hAnsi="宋体"/>
          <w:sz w:val="24"/>
        </w:rPr>
      </w:pPr>
      <w:r>
        <w:rPr>
          <w:rFonts w:ascii="宋体" w:hAnsi="宋体"/>
          <w:sz w:val="24"/>
        </w:rPr>
        <w:t>2</w:t>
      </w:r>
      <w:r>
        <w:rPr>
          <w:rFonts w:hint="eastAsia" w:ascii="宋体" w:hAnsi="宋体"/>
          <w:sz w:val="24"/>
        </w:rPr>
        <w:t>、废标的判定：</w:t>
      </w:r>
    </w:p>
    <w:p>
      <w:pPr>
        <w:adjustRightInd w:val="0"/>
        <w:snapToGrid w:val="0"/>
        <w:spacing w:beforeLines="30" w:line="360" w:lineRule="auto"/>
        <w:ind w:firstLine="460" w:firstLineChars="192"/>
        <w:rPr>
          <w:rFonts w:ascii="宋体" w:hAnsi="宋体"/>
          <w:sz w:val="24"/>
        </w:rPr>
      </w:pPr>
      <w:r>
        <w:rPr>
          <w:rFonts w:hint="eastAsia" w:ascii="宋体" w:hAnsi="宋体"/>
          <w:sz w:val="24"/>
        </w:rPr>
        <w:t>有下列情况之一的判为废标：</w:t>
      </w:r>
    </w:p>
    <w:p>
      <w:pPr>
        <w:adjustRightInd w:val="0"/>
        <w:snapToGrid w:val="0"/>
        <w:spacing w:beforeLines="30" w:line="360" w:lineRule="auto"/>
        <w:ind w:firstLine="460" w:firstLineChars="192"/>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）以他人名义投标、串标、投标资料弄虚作假或对招标单位行贿。</w:t>
      </w:r>
    </w:p>
    <w:p>
      <w:pPr>
        <w:adjustRightInd w:val="0"/>
        <w:snapToGrid w:val="0"/>
        <w:spacing w:beforeLines="30" w:line="360" w:lineRule="auto"/>
        <w:ind w:firstLine="460" w:firstLineChars="192"/>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）投标人资格不符合国家有关规定和招标文件要求。</w:t>
      </w:r>
    </w:p>
    <w:p>
      <w:pPr>
        <w:adjustRightInd w:val="0"/>
        <w:snapToGrid w:val="0"/>
        <w:spacing w:beforeLines="30" w:line="360" w:lineRule="auto"/>
        <w:ind w:firstLine="460" w:firstLineChars="192"/>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）对招标文件规定的实质性要求和条件未能作出响应。</w:t>
      </w:r>
    </w:p>
    <w:p>
      <w:pPr>
        <w:adjustRightInd w:val="0"/>
        <w:snapToGrid w:val="0"/>
        <w:spacing w:beforeLines="30" w:line="360" w:lineRule="auto"/>
        <w:ind w:firstLine="460" w:firstLineChars="192"/>
        <w:rPr>
          <w:rFonts w:ascii="宋体" w:hAnsi="宋体"/>
          <w:sz w:val="24"/>
        </w:rPr>
      </w:pPr>
      <w:r>
        <w:rPr>
          <w:rFonts w:hint="eastAsia" w:ascii="宋体" w:hAnsi="宋体"/>
          <w:sz w:val="24"/>
        </w:rPr>
        <w:t>（</w:t>
      </w:r>
      <w:r>
        <w:rPr>
          <w:rFonts w:ascii="宋体" w:hAnsi="宋体"/>
          <w:sz w:val="24"/>
        </w:rPr>
        <w:t>5</w:t>
      </w:r>
      <w:r>
        <w:rPr>
          <w:rFonts w:hint="eastAsia" w:ascii="宋体" w:hAnsi="宋体"/>
          <w:color w:val="000000"/>
          <w:sz w:val="24"/>
        </w:rPr>
        <w:t>）投标文件未加盖企业印章。</w:t>
      </w:r>
    </w:p>
    <w:p>
      <w:pPr>
        <w:adjustRightInd w:val="0"/>
        <w:snapToGrid w:val="0"/>
        <w:spacing w:beforeLines="30" w:line="360" w:lineRule="auto"/>
        <w:ind w:firstLine="460" w:firstLineChars="192"/>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）附有招标人不可接受的条件。</w:t>
      </w:r>
    </w:p>
    <w:p>
      <w:pPr>
        <w:adjustRightInd w:val="0"/>
        <w:snapToGrid w:val="0"/>
        <w:spacing w:beforeLines="30" w:line="360" w:lineRule="auto"/>
        <w:ind w:firstLine="460" w:firstLineChars="192"/>
        <w:rPr>
          <w:rFonts w:ascii="宋体" w:hAnsi="宋体"/>
          <w:sz w:val="24"/>
        </w:rPr>
      </w:pPr>
      <w:r>
        <w:rPr>
          <w:rFonts w:ascii="宋体" w:hAnsi="宋体"/>
          <w:sz w:val="24"/>
        </w:rPr>
        <w:t>3</w:t>
      </w:r>
      <w:r>
        <w:rPr>
          <w:rFonts w:hint="eastAsia" w:ascii="宋体" w:hAnsi="宋体"/>
          <w:sz w:val="24"/>
        </w:rPr>
        <w:t>、评定中标候选单位：</w:t>
      </w:r>
    </w:p>
    <w:p>
      <w:pPr>
        <w:adjustRightInd w:val="0"/>
        <w:snapToGrid w:val="0"/>
        <w:spacing w:line="440" w:lineRule="exact"/>
        <w:ind w:firstLine="482" w:firstLineChars="200"/>
        <w:rPr>
          <w:rFonts w:ascii="宋体" w:hAnsi="宋体"/>
          <w:sz w:val="24"/>
        </w:rPr>
      </w:pPr>
      <w:r>
        <w:rPr>
          <w:rFonts w:hint="eastAsia" w:ascii="宋体" w:hAnsi="宋体" w:cs="宋体"/>
          <w:b/>
          <w:bCs/>
          <w:sz w:val="24"/>
          <w:u w:val="single"/>
        </w:rPr>
        <w:t>通过资格后审的投标人不足3家的，中止评标，依法重新组织招标；通过资格后审的投标人仅3家，选取总得分排名第一的投标人为中标候选人；通过资格后审的投标人超过4家（含4家），选取总得分排名前二名的投标人为中标候选人</w:t>
      </w:r>
      <w:r>
        <w:rPr>
          <w:rFonts w:hint="eastAsia" w:ascii="宋体" w:hAnsi="宋体" w:cs="宋体"/>
          <w:sz w:val="24"/>
        </w:rPr>
        <w:t>。</w:t>
      </w:r>
    </w:p>
    <w:p>
      <w:pPr>
        <w:adjustRightInd w:val="0"/>
        <w:snapToGrid w:val="0"/>
        <w:spacing w:beforeLines="30" w:line="360" w:lineRule="auto"/>
        <w:ind w:firstLine="460" w:firstLineChars="192"/>
        <w:rPr>
          <w:rFonts w:ascii="宋体" w:hAnsi="宋体"/>
          <w:sz w:val="24"/>
        </w:rPr>
      </w:pPr>
      <w:r>
        <w:rPr>
          <w:rFonts w:hint="eastAsia" w:ascii="宋体" w:hAnsi="宋体"/>
          <w:sz w:val="24"/>
        </w:rPr>
        <w:t>招投标办公室组织评标专家小组(专家小组成员由学校工会选派的代表组成)评标，对未中标人的未中标原因不作解释。</w:t>
      </w:r>
    </w:p>
    <w:p>
      <w:pPr>
        <w:adjustRightInd w:val="0"/>
        <w:snapToGrid w:val="0"/>
        <w:spacing w:beforeLines="30" w:line="360" w:lineRule="auto"/>
        <w:ind w:firstLine="460" w:firstLineChars="192"/>
        <w:rPr>
          <w:rFonts w:ascii="宋体" w:hAnsi="宋体"/>
          <w:sz w:val="24"/>
        </w:rPr>
      </w:pPr>
      <w:r>
        <w:rPr>
          <w:rFonts w:hint="eastAsia" w:ascii="宋体" w:hAnsi="宋体"/>
          <w:sz w:val="24"/>
        </w:rPr>
        <w:t>评标环节分四步完成：</w:t>
      </w:r>
    </w:p>
    <w:p>
      <w:pPr>
        <w:adjustRightInd w:val="0"/>
        <w:snapToGrid w:val="0"/>
        <w:spacing w:beforeLines="30" w:line="360" w:lineRule="auto"/>
        <w:ind w:firstLine="460" w:firstLineChars="192"/>
        <w:rPr>
          <w:rFonts w:ascii="宋体" w:hAnsi="宋体"/>
          <w:sz w:val="24"/>
        </w:rPr>
      </w:pPr>
      <w:r>
        <w:rPr>
          <w:rFonts w:hint="eastAsia" w:ascii="宋体" w:hAnsi="宋体"/>
          <w:sz w:val="24"/>
        </w:rPr>
        <w:t>第一步，资格审查。资格审查不合格的不进入下一个环节；</w:t>
      </w:r>
    </w:p>
    <w:p>
      <w:pPr>
        <w:adjustRightInd w:val="0"/>
        <w:snapToGrid w:val="0"/>
        <w:spacing w:beforeLines="30" w:line="360" w:lineRule="auto"/>
        <w:ind w:firstLine="460" w:firstLineChars="192"/>
        <w:rPr>
          <w:rFonts w:ascii="宋体" w:hAnsi="宋体"/>
          <w:sz w:val="24"/>
        </w:rPr>
      </w:pPr>
      <w:r>
        <w:rPr>
          <w:rFonts w:hint="eastAsia" w:ascii="宋体" w:hAnsi="宋体"/>
          <w:sz w:val="24"/>
        </w:rPr>
        <w:t>第二步，技术标打分；</w:t>
      </w:r>
    </w:p>
    <w:p>
      <w:pPr>
        <w:adjustRightInd w:val="0"/>
        <w:snapToGrid w:val="0"/>
        <w:spacing w:beforeLines="30" w:line="360" w:lineRule="auto"/>
        <w:ind w:firstLine="460" w:firstLineChars="192"/>
        <w:rPr>
          <w:rFonts w:ascii="宋体" w:hAnsi="宋体"/>
          <w:sz w:val="24"/>
        </w:rPr>
      </w:pPr>
      <w:r>
        <w:rPr>
          <w:rFonts w:hint="eastAsia" w:ascii="宋体" w:hAnsi="宋体"/>
          <w:sz w:val="24"/>
        </w:rPr>
        <w:t>第三步，商务标打分。</w:t>
      </w:r>
    </w:p>
    <w:p>
      <w:pPr>
        <w:adjustRightInd w:val="0"/>
        <w:snapToGrid w:val="0"/>
        <w:spacing w:beforeLines="30" w:line="360" w:lineRule="auto"/>
        <w:ind w:firstLine="460" w:firstLineChars="192"/>
        <w:rPr>
          <w:rFonts w:ascii="宋体" w:hAnsi="宋体"/>
          <w:sz w:val="24"/>
        </w:rPr>
      </w:pPr>
      <w:r>
        <w:rPr>
          <w:rFonts w:hint="eastAsia" w:ascii="宋体" w:hAnsi="宋体"/>
          <w:sz w:val="24"/>
        </w:rPr>
        <w:t>4、评分细则</w:t>
      </w:r>
    </w:p>
    <w:tbl>
      <w:tblPr>
        <w:tblStyle w:val="13"/>
        <w:tblW w:w="8611"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72"/>
        <w:gridCol w:w="5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09" w:type="dxa"/>
            <w:textDirection w:val="tbRlV"/>
            <w:vAlign w:val="center"/>
          </w:tcPr>
          <w:p>
            <w:pPr>
              <w:ind w:left="113" w:right="113"/>
              <w:jc w:val="center"/>
            </w:pPr>
          </w:p>
        </w:tc>
        <w:tc>
          <w:tcPr>
            <w:tcW w:w="2172" w:type="dxa"/>
            <w:vAlign w:val="center"/>
          </w:tcPr>
          <w:p>
            <w:pPr>
              <w:jc w:val="center"/>
            </w:pPr>
            <w:r>
              <w:rPr>
                <w:rFonts w:hint="eastAsia"/>
              </w:rPr>
              <w:t>评分</w:t>
            </w:r>
          </w:p>
        </w:tc>
        <w:tc>
          <w:tcPr>
            <w:tcW w:w="5730" w:type="dxa"/>
            <w:vAlign w:val="center"/>
          </w:tcPr>
          <w:p>
            <w:pPr>
              <w:jc w:val="center"/>
            </w:pPr>
            <w:r>
              <w:rPr>
                <w:rFonts w:hint="eastAsi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Merge w:val="restart"/>
            <w:textDirection w:val="tbRlV"/>
            <w:vAlign w:val="center"/>
          </w:tcPr>
          <w:p>
            <w:pPr>
              <w:ind w:left="113" w:right="113"/>
              <w:jc w:val="center"/>
            </w:pPr>
            <w:r>
              <w:rPr>
                <w:rFonts w:hint="eastAsia"/>
              </w:rPr>
              <w:t>投 术 标 60分</w:t>
            </w:r>
          </w:p>
        </w:tc>
        <w:tc>
          <w:tcPr>
            <w:tcW w:w="2172" w:type="dxa"/>
            <w:vAlign w:val="center"/>
          </w:tcPr>
          <w:p>
            <w:pPr>
              <w:jc w:val="center"/>
            </w:pPr>
            <w:r>
              <w:rPr>
                <w:rFonts w:hint="eastAsia"/>
              </w:rPr>
              <w:t>公司实力</w:t>
            </w:r>
          </w:p>
          <w:p>
            <w:pPr>
              <w:jc w:val="center"/>
            </w:pPr>
            <w:r>
              <w:rPr>
                <w:rFonts w:hint="eastAsia"/>
              </w:rPr>
              <w:t>10分</w:t>
            </w:r>
          </w:p>
        </w:tc>
        <w:tc>
          <w:tcPr>
            <w:tcW w:w="5730" w:type="dxa"/>
            <w:vAlign w:val="center"/>
          </w:tcPr>
          <w:p>
            <w:r>
              <w:rPr>
                <w:rFonts w:hint="eastAsia"/>
              </w:rPr>
              <w:t>公司注册资本：500万（含）-1000万得1分 ，1000万（含）-3000万得2分，3000万（含）以上得3分；</w:t>
            </w:r>
          </w:p>
          <w:p>
            <w:r>
              <w:rPr>
                <w:rFonts w:hint="eastAsia"/>
              </w:rPr>
              <w:t>公司成立年限： 1（含）-3年得 1分，3（含）-5年2分，5年（含）以上得3分（以投标日为年限计算截止日）。</w:t>
            </w:r>
          </w:p>
          <w:p>
            <w:pPr>
              <w:rPr>
                <w:rFonts w:ascii="宋体" w:hAnsi="宋体" w:cs="宋体"/>
                <w:color w:val="333333"/>
              </w:rPr>
            </w:pPr>
            <w:r>
              <w:rPr>
                <w:rFonts w:hint="eastAsia"/>
              </w:rPr>
              <w:t>公司社会美誉度：根据投标人的公众信任、</w:t>
            </w:r>
            <w:r>
              <w:fldChar w:fldCharType="begin"/>
            </w:r>
            <w:r>
              <w:instrText xml:space="preserve"> HYPERLINK "http://www.so.com/s?q=%E5%A5%BD%E6%84%9F&amp;ie=utf-8&amp;src=internal_wenda_recommend_textn" \t "http://hqc.ntwzy.com/2019/1206/c364a40973/_blank" </w:instrText>
            </w:r>
            <w:r>
              <w:fldChar w:fldCharType="separate"/>
            </w:r>
            <w:r>
              <w:rPr>
                <w:rFonts w:hint="eastAsia"/>
              </w:rPr>
              <w:t>好感</w:t>
            </w:r>
            <w:r>
              <w:rPr>
                <w:rFonts w:hint="eastAsia"/>
              </w:rPr>
              <w:fldChar w:fldCharType="end"/>
            </w:r>
            <w:r>
              <w:rPr>
                <w:rFonts w:hint="eastAsia"/>
              </w:rPr>
              <w:t>、接纳和欢迎的</w:t>
            </w:r>
            <w:r>
              <w:fldChar w:fldCharType="begin"/>
            </w:r>
            <w:r>
              <w:instrText xml:space="preserve"> HYPERLINK "http://www.so.com/s?q=%E7%A8%8B%E5%BA%A6&amp;ie=utf-8&amp;src=internal_wenda_recommend_textn" \t "http://hqc.ntwzy.com/2019/1206/c364a40973/_blank" </w:instrText>
            </w:r>
            <w:r>
              <w:fldChar w:fldCharType="separate"/>
            </w:r>
            <w:r>
              <w:rPr>
                <w:rFonts w:hint="eastAsia"/>
              </w:rPr>
              <w:t>程度</w:t>
            </w:r>
            <w:r>
              <w:rPr>
                <w:rFonts w:hint="eastAsia"/>
              </w:rPr>
              <w:fldChar w:fldCharType="end"/>
            </w:r>
            <w:r>
              <w:rPr>
                <w:rFonts w:hint="eastAsia"/>
              </w:rPr>
              <w:t>以及所获得相关信用证书进行打分。一般得1分，中等得2分，优秀得4分。</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09" w:type="dxa"/>
            <w:vMerge w:val="continue"/>
            <w:textDirection w:val="tbRlV"/>
            <w:vAlign w:val="center"/>
          </w:tcPr>
          <w:p>
            <w:pPr>
              <w:ind w:left="113" w:right="113"/>
              <w:jc w:val="center"/>
            </w:pPr>
          </w:p>
        </w:tc>
        <w:tc>
          <w:tcPr>
            <w:tcW w:w="2172" w:type="dxa"/>
            <w:vAlign w:val="center"/>
          </w:tcPr>
          <w:p>
            <w:pPr>
              <w:jc w:val="center"/>
            </w:pPr>
            <w:r>
              <w:rPr>
                <w:rFonts w:hint="eastAsia"/>
              </w:rPr>
              <w:t>相关单位合作案例</w:t>
            </w:r>
          </w:p>
          <w:p>
            <w:pPr>
              <w:jc w:val="center"/>
            </w:pPr>
            <w:r>
              <w:rPr>
                <w:rFonts w:hint="eastAsia"/>
              </w:rPr>
              <w:t>10分</w:t>
            </w:r>
          </w:p>
        </w:tc>
        <w:tc>
          <w:tcPr>
            <w:tcW w:w="5730" w:type="dxa"/>
            <w:vAlign w:val="center"/>
          </w:tcPr>
          <w:p>
            <w:pPr>
              <w:jc w:val="left"/>
            </w:pPr>
            <w:r>
              <w:rPr>
                <w:rFonts w:hint="eastAsia"/>
              </w:rPr>
              <w:t>近三年签署的南通市机关、事业单位慰问品相关合同，每提交1份得1分，满分10分。（合同原件备查）。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09" w:type="dxa"/>
            <w:vMerge w:val="continue"/>
            <w:textDirection w:val="tbRlV"/>
            <w:vAlign w:val="center"/>
          </w:tcPr>
          <w:p>
            <w:pPr>
              <w:ind w:left="113" w:right="113"/>
              <w:jc w:val="center"/>
            </w:pPr>
          </w:p>
        </w:tc>
        <w:tc>
          <w:tcPr>
            <w:tcW w:w="2172" w:type="dxa"/>
            <w:vAlign w:val="center"/>
          </w:tcPr>
          <w:p>
            <w:pPr>
              <w:jc w:val="center"/>
            </w:pPr>
            <w:r>
              <w:rPr>
                <w:rFonts w:hint="eastAsia"/>
              </w:rPr>
              <w:t>售后增值服务</w:t>
            </w:r>
          </w:p>
          <w:p>
            <w:pPr>
              <w:jc w:val="center"/>
            </w:pPr>
            <w:r>
              <w:rPr>
                <w:rFonts w:hint="eastAsia"/>
              </w:rPr>
              <w:t>10分</w:t>
            </w:r>
          </w:p>
        </w:tc>
        <w:tc>
          <w:tcPr>
            <w:tcW w:w="5730" w:type="dxa"/>
            <w:vAlign w:val="center"/>
          </w:tcPr>
          <w:p>
            <w:pPr>
              <w:jc w:val="left"/>
            </w:pPr>
            <w:r>
              <w:rPr>
                <w:rFonts w:hint="eastAsia"/>
              </w:rPr>
              <w:t>有完善售后制度及体系得3分，有自有客服团队得3分，可满足包邮配送到单位得2分，包邮配送到职工指定地址得2分；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09" w:type="dxa"/>
            <w:vMerge w:val="continue"/>
            <w:textDirection w:val="tbRlV"/>
            <w:vAlign w:val="center"/>
          </w:tcPr>
          <w:p>
            <w:pPr>
              <w:ind w:left="113" w:right="113"/>
              <w:jc w:val="center"/>
            </w:pPr>
          </w:p>
        </w:tc>
        <w:tc>
          <w:tcPr>
            <w:tcW w:w="2172" w:type="dxa"/>
            <w:vAlign w:val="center"/>
          </w:tcPr>
          <w:p>
            <w:pPr>
              <w:jc w:val="center"/>
            </w:pPr>
            <w:r>
              <w:rPr>
                <w:rFonts w:hint="eastAsia"/>
              </w:rPr>
              <w:t>组合样品</w:t>
            </w:r>
          </w:p>
          <w:p>
            <w:pPr>
              <w:jc w:val="center"/>
            </w:pPr>
            <w:r>
              <w:rPr>
                <w:rFonts w:hint="eastAsia"/>
              </w:rPr>
              <w:t>30分</w:t>
            </w:r>
          </w:p>
        </w:tc>
        <w:tc>
          <w:tcPr>
            <w:tcW w:w="5730" w:type="dxa"/>
            <w:vAlign w:val="center"/>
          </w:tcPr>
          <w:p>
            <w:pPr>
              <w:jc w:val="left"/>
            </w:pPr>
            <w:r>
              <w:rPr>
                <w:rFonts w:hint="eastAsia"/>
              </w:rPr>
              <w:t>每个投标人提供两个样品组合参与本项目</w:t>
            </w:r>
            <w:r>
              <w:rPr>
                <w:rFonts w:hint="eastAsia"/>
                <w:b/>
                <w:bCs/>
              </w:rPr>
              <w:t>（详见附件二）</w:t>
            </w:r>
            <w:r>
              <w:rPr>
                <w:rFonts w:hint="eastAsia"/>
              </w:rPr>
              <w:t>，</w:t>
            </w:r>
            <w:r>
              <w:rPr>
                <w:rFonts w:hint="eastAsia"/>
                <w:b/>
              </w:rPr>
              <w:t xml:space="preserve"> 评委对每个投标人的两个样品组合进行综合打分，</w:t>
            </w:r>
            <w:r>
              <w:rPr>
                <w:rFonts w:hint="eastAsia" w:ascii="宋体" w:hAnsi="宋体" w:cs="宋体"/>
                <w:b/>
                <w:bCs/>
              </w:rPr>
              <w:t>一般0-10分，中等11-20分，好21-30分。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09" w:type="dxa"/>
            <w:vMerge w:val="restart"/>
            <w:textDirection w:val="tbRlV"/>
            <w:vAlign w:val="center"/>
          </w:tcPr>
          <w:p>
            <w:pPr>
              <w:ind w:left="113" w:right="113"/>
              <w:jc w:val="center"/>
            </w:pPr>
            <w:r>
              <w:rPr>
                <w:rFonts w:hint="eastAsia"/>
              </w:rPr>
              <w:t>商 务 标40分</w:t>
            </w:r>
          </w:p>
        </w:tc>
        <w:tc>
          <w:tcPr>
            <w:tcW w:w="2172" w:type="dxa"/>
            <w:vAlign w:val="center"/>
          </w:tcPr>
          <w:p>
            <w:pPr>
              <w:jc w:val="center"/>
            </w:pPr>
            <w:r>
              <w:rPr>
                <w:rFonts w:hint="eastAsia"/>
              </w:rPr>
              <w:t>固定商品报价</w:t>
            </w:r>
          </w:p>
          <w:p>
            <w:pPr>
              <w:jc w:val="center"/>
            </w:pPr>
            <w:r>
              <w:rPr>
                <w:rFonts w:hint="eastAsia"/>
              </w:rPr>
              <w:t>20分</w:t>
            </w:r>
          </w:p>
        </w:tc>
        <w:tc>
          <w:tcPr>
            <w:tcW w:w="5730" w:type="dxa"/>
            <w:vAlign w:val="center"/>
          </w:tcPr>
          <w:p>
            <w:r>
              <w:rPr>
                <w:rFonts w:hint="eastAsia"/>
              </w:rPr>
              <w:t>1、招标人指定20样商品，投标单位根据自己旗舰店相应商品现行正常零售价为基准，进行报价。（详见附件三）</w:t>
            </w:r>
          </w:p>
          <w:p>
            <w:pPr>
              <w:snapToGrid w:val="0"/>
              <w:spacing w:line="420" w:lineRule="exact"/>
            </w:pPr>
            <w:r>
              <w:rPr>
                <w:rFonts w:hint="eastAsia"/>
              </w:rPr>
              <w:t>2、在</w:t>
            </w:r>
            <w:r>
              <w:t>2</w:t>
            </w:r>
            <w:r>
              <w:rPr>
                <w:rFonts w:hint="eastAsia"/>
              </w:rPr>
              <w:t>0样固定商品中，评审现场随机抽取各投标人相同的10样商品汇总价格，总和最低的为评审基准价，其得满分，其余投标人的固定商品报价分按公式计算：固定商品报价分=（评审基准价/10样商品汇总价）×20%×</w:t>
            </w:r>
            <w:r>
              <w:t>100</w:t>
            </w:r>
            <w:r>
              <w:rPr>
                <w:rFonts w:hint="eastAsia"/>
              </w:rPr>
              <w:t>（报价分取小数点后两位）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09" w:type="dxa"/>
            <w:vMerge w:val="continue"/>
          </w:tcPr>
          <w:p>
            <w:pPr>
              <w:jc w:val="center"/>
            </w:pPr>
          </w:p>
        </w:tc>
        <w:tc>
          <w:tcPr>
            <w:tcW w:w="2172" w:type="dxa"/>
            <w:vAlign w:val="center"/>
          </w:tcPr>
          <w:p>
            <w:pPr>
              <w:jc w:val="center"/>
            </w:pPr>
            <w:r>
              <w:rPr>
                <w:rFonts w:hint="eastAsia"/>
              </w:rPr>
              <w:t>折扣率</w:t>
            </w:r>
          </w:p>
          <w:p>
            <w:pPr>
              <w:jc w:val="center"/>
            </w:pPr>
            <w:r>
              <w:rPr>
                <w:rFonts w:hint="eastAsia"/>
              </w:rPr>
              <w:t>20分</w:t>
            </w:r>
          </w:p>
        </w:tc>
        <w:tc>
          <w:tcPr>
            <w:tcW w:w="5730" w:type="dxa"/>
            <w:vAlign w:val="center"/>
          </w:tcPr>
          <w:p>
            <w:pPr>
              <w:jc w:val="left"/>
            </w:pPr>
            <w:r>
              <w:rPr>
                <w:rFonts w:hint="eastAsia"/>
              </w:rPr>
              <w:t>折扣率=（1-1800/券面额之和）*100%(</w:t>
            </w:r>
            <w:r>
              <w:rPr>
                <w:rFonts w:hint="eastAsia" w:ascii="宋体" w:hAnsi="宋体"/>
                <w:sz w:val="24"/>
              </w:rPr>
              <w:t>元旦、春节、端午、中秋</w:t>
            </w:r>
            <w:r>
              <w:rPr>
                <w:rFonts w:hint="eastAsia"/>
              </w:rPr>
              <w:t>)；以最高折扣率为满分为基准，其他投标单位折扣率低于最高折扣率每1%扣1分。（</w:t>
            </w:r>
            <w:r>
              <w:rPr>
                <w:rFonts w:hint="eastAsia"/>
                <w:b/>
                <w:bCs/>
              </w:rPr>
              <w:t>（详见附件四）</w:t>
            </w:r>
            <w:r>
              <w:rPr>
                <w:rFonts w:hint="eastAsia"/>
              </w:rPr>
              <w:t>折扣率四舍五入保留个位数）</w:t>
            </w:r>
          </w:p>
        </w:tc>
      </w:tr>
    </w:tbl>
    <w:p>
      <w:pPr>
        <w:adjustRightInd w:val="0"/>
        <w:snapToGrid w:val="0"/>
        <w:spacing w:beforeLines="30" w:line="360" w:lineRule="auto"/>
        <w:ind w:firstLine="482" w:firstLineChars="200"/>
        <w:rPr>
          <w:rFonts w:ascii="宋体" w:hAnsi="宋体" w:cs="宋体"/>
          <w:b/>
          <w:sz w:val="24"/>
        </w:rPr>
      </w:pPr>
      <w:r>
        <w:rPr>
          <w:rFonts w:hint="eastAsia" w:ascii="宋体" w:hAnsi="宋体" w:cs="宋体"/>
          <w:b/>
          <w:sz w:val="24"/>
        </w:rPr>
        <w:t>七、投标文件要求</w:t>
      </w:r>
    </w:p>
    <w:p>
      <w:pPr>
        <w:adjustRightInd w:val="0"/>
        <w:snapToGrid w:val="0"/>
        <w:spacing w:beforeLines="30" w:line="360" w:lineRule="auto"/>
        <w:ind w:firstLine="482" w:firstLineChars="200"/>
        <w:rPr>
          <w:rFonts w:ascii="宋体" w:hAnsi="宋体" w:cs="宋体"/>
          <w:b/>
          <w:sz w:val="24"/>
        </w:rPr>
      </w:pPr>
      <w:r>
        <w:rPr>
          <w:rFonts w:hint="eastAsia" w:ascii="宋体" w:hAnsi="宋体" w:cs="宋体"/>
          <w:b/>
          <w:sz w:val="24"/>
        </w:rPr>
        <w:t>1、投标文件共包含资格审查文件、技术标、商务标三个部分，三个部分需独立封装，否则予以废标。</w:t>
      </w:r>
    </w:p>
    <w:p>
      <w:pPr>
        <w:adjustRightInd w:val="0"/>
        <w:snapToGrid w:val="0"/>
        <w:spacing w:beforeLines="30" w:line="360" w:lineRule="auto"/>
        <w:ind w:firstLine="480" w:firstLineChars="200"/>
        <w:rPr>
          <w:rFonts w:ascii="宋体" w:hAnsi="宋体"/>
          <w:sz w:val="24"/>
        </w:rPr>
      </w:pPr>
      <w:r>
        <w:rPr>
          <w:rFonts w:hint="eastAsia" w:ascii="宋体" w:hAnsi="宋体"/>
          <w:sz w:val="24"/>
        </w:rPr>
        <w:t>（一）资格审查文件</w:t>
      </w:r>
      <w:r>
        <w:rPr>
          <w:rFonts w:hint="eastAsia" w:ascii="宋体" w:hAnsi="宋体"/>
          <w:b/>
          <w:sz w:val="24"/>
        </w:rPr>
        <w:t>（正本一份，副本一份，独立封装）</w:t>
      </w:r>
    </w:p>
    <w:p>
      <w:pPr>
        <w:adjustRightInd w:val="0"/>
        <w:snapToGrid w:val="0"/>
        <w:spacing w:beforeLines="30" w:line="360" w:lineRule="auto"/>
        <w:ind w:firstLine="480" w:firstLineChars="200"/>
        <w:rPr>
          <w:rFonts w:ascii="宋体" w:hAnsi="宋体"/>
          <w:sz w:val="24"/>
        </w:rPr>
      </w:pPr>
      <w:r>
        <w:rPr>
          <w:rFonts w:hint="eastAsia" w:ascii="宋体" w:hAnsi="宋体"/>
          <w:sz w:val="24"/>
        </w:rPr>
        <w:t>参照投标人资质审核表</w:t>
      </w:r>
      <w:r>
        <w:rPr>
          <w:rFonts w:hint="eastAsia" w:ascii="宋体" w:hAnsi="宋体"/>
          <w:b/>
          <w:sz w:val="24"/>
        </w:rPr>
        <w:t>（见附件一）</w:t>
      </w:r>
      <w:r>
        <w:rPr>
          <w:rFonts w:hint="eastAsia" w:ascii="宋体" w:hAnsi="宋体"/>
          <w:sz w:val="24"/>
        </w:rPr>
        <w:t>，投标人可自行添加认为其它需要说明和承诺的材料</w:t>
      </w:r>
      <w:r>
        <w:rPr>
          <w:rFonts w:hint="eastAsia" w:ascii="宋体" w:hAnsi="宋体"/>
          <w:b/>
          <w:sz w:val="24"/>
        </w:rPr>
        <w:t>，但不得涉及附件二、附件三、附件四信息，否则予以废标</w:t>
      </w:r>
      <w:r>
        <w:rPr>
          <w:rFonts w:hint="eastAsia" w:ascii="宋体" w:hAnsi="宋体"/>
          <w:sz w:val="24"/>
        </w:rPr>
        <w:t>。所提供的材料均需加盖单位印章，装订成册，封面标注“正本”字样。（原件备查）</w:t>
      </w:r>
    </w:p>
    <w:p>
      <w:pPr>
        <w:adjustRightInd w:val="0"/>
        <w:snapToGrid w:val="0"/>
        <w:spacing w:beforeLines="30" w:line="360" w:lineRule="auto"/>
        <w:ind w:firstLine="480" w:firstLineChars="200"/>
        <w:rPr>
          <w:rFonts w:ascii="宋体" w:hAnsi="宋体"/>
          <w:sz w:val="24"/>
        </w:rPr>
      </w:pPr>
      <w:r>
        <w:rPr>
          <w:rFonts w:hint="eastAsia" w:ascii="宋体" w:hAnsi="宋体"/>
          <w:sz w:val="24"/>
        </w:rPr>
        <w:t>（二）技术标</w:t>
      </w:r>
      <w:r>
        <w:rPr>
          <w:rFonts w:hint="eastAsia" w:ascii="宋体" w:hAnsi="宋体"/>
          <w:b/>
          <w:sz w:val="24"/>
        </w:rPr>
        <w:t>(正本一份 副本一份，独立封装，</w:t>
      </w:r>
      <w:r>
        <w:rPr>
          <w:rFonts w:hint="eastAsia" w:ascii="宋体" w:hAnsi="宋体"/>
          <w:b/>
          <w:bCs/>
          <w:color w:val="000000"/>
          <w:sz w:val="24"/>
        </w:rPr>
        <w:t>注明正本、副本</w:t>
      </w:r>
      <w:r>
        <w:rPr>
          <w:rFonts w:hint="eastAsia" w:ascii="宋体" w:hAnsi="宋体"/>
          <w:b/>
          <w:sz w:val="24"/>
        </w:rPr>
        <w:t>)</w:t>
      </w:r>
    </w:p>
    <w:p>
      <w:pPr>
        <w:adjustRightInd w:val="0"/>
        <w:snapToGrid w:val="0"/>
        <w:spacing w:beforeLines="30" w:line="360" w:lineRule="auto"/>
        <w:ind w:firstLine="480" w:firstLineChars="200"/>
        <w:rPr>
          <w:rFonts w:ascii="宋体" w:hAnsi="宋体"/>
          <w:sz w:val="24"/>
        </w:rPr>
      </w:pPr>
      <w:r>
        <w:rPr>
          <w:rFonts w:hint="eastAsia" w:ascii="宋体" w:hAnsi="宋体"/>
          <w:sz w:val="24"/>
        </w:rPr>
        <w:t>本部分包含</w:t>
      </w:r>
      <w:r>
        <w:rPr>
          <w:rFonts w:hint="eastAsia" w:ascii="宋体" w:hAnsi="宋体"/>
          <w:b/>
          <w:sz w:val="24"/>
        </w:rPr>
        <w:t>评分细则中“公司实力”、“ 相关单位合作案例”、</w:t>
      </w:r>
      <w:r>
        <w:rPr>
          <w:rFonts w:ascii="宋体" w:hAnsi="宋体"/>
          <w:b/>
          <w:sz w:val="24"/>
        </w:rPr>
        <w:t>“</w:t>
      </w:r>
      <w:r>
        <w:rPr>
          <w:rFonts w:hint="eastAsia" w:ascii="宋体" w:hAnsi="宋体"/>
          <w:b/>
          <w:sz w:val="24"/>
        </w:rPr>
        <w:t xml:space="preserve"> 售后增值服务”、“ 组合样品（附件二）”相关内容</w:t>
      </w:r>
      <w:r>
        <w:rPr>
          <w:rFonts w:hint="eastAsia"/>
          <w:b/>
        </w:rPr>
        <w:t>，</w:t>
      </w:r>
      <w:r>
        <w:rPr>
          <w:rFonts w:hint="eastAsia" w:ascii="宋体" w:hAnsi="宋体"/>
          <w:sz w:val="24"/>
        </w:rPr>
        <w:t>投标人可自行添加认为其它需要说明和承诺的材料</w:t>
      </w:r>
      <w:r>
        <w:rPr>
          <w:rFonts w:hint="eastAsia" w:ascii="宋体" w:hAnsi="宋体"/>
          <w:b/>
          <w:sz w:val="24"/>
        </w:rPr>
        <w:t>，但不得涉及附件三、附件四信息，否则予以废标</w:t>
      </w:r>
      <w:r>
        <w:rPr>
          <w:rFonts w:hint="eastAsia" w:ascii="宋体" w:hAnsi="宋体"/>
          <w:sz w:val="24"/>
        </w:rPr>
        <w:t>。</w:t>
      </w:r>
    </w:p>
    <w:p>
      <w:pPr>
        <w:adjustRightInd w:val="0"/>
        <w:snapToGrid w:val="0"/>
        <w:spacing w:beforeLines="30" w:line="360" w:lineRule="auto"/>
        <w:ind w:firstLine="480" w:firstLineChars="200"/>
        <w:rPr>
          <w:rFonts w:ascii="宋体" w:hAnsi="宋体"/>
          <w:sz w:val="24"/>
        </w:rPr>
      </w:pPr>
      <w:r>
        <w:rPr>
          <w:rFonts w:hint="eastAsia" w:ascii="宋体" w:hAnsi="宋体"/>
          <w:sz w:val="24"/>
        </w:rPr>
        <w:t>（三）商务标</w:t>
      </w:r>
      <w:r>
        <w:rPr>
          <w:rFonts w:hint="eastAsia" w:ascii="宋体" w:hAnsi="宋体"/>
          <w:b/>
          <w:sz w:val="24"/>
        </w:rPr>
        <w:t>(正本一份 副本一份，独立封装，</w:t>
      </w:r>
      <w:r>
        <w:rPr>
          <w:rFonts w:hint="eastAsia" w:ascii="宋体" w:hAnsi="宋体"/>
          <w:b/>
          <w:bCs/>
          <w:color w:val="000000"/>
          <w:sz w:val="24"/>
        </w:rPr>
        <w:t>注明正本、副本</w:t>
      </w:r>
      <w:r>
        <w:rPr>
          <w:rFonts w:hint="eastAsia" w:ascii="宋体" w:hAnsi="宋体"/>
          <w:b/>
          <w:sz w:val="24"/>
        </w:rPr>
        <w:t>)</w:t>
      </w:r>
    </w:p>
    <w:p>
      <w:pPr>
        <w:adjustRightInd w:val="0"/>
        <w:snapToGrid w:val="0"/>
        <w:spacing w:beforeLines="30" w:line="360" w:lineRule="auto"/>
        <w:ind w:firstLine="480" w:firstLineChars="200"/>
        <w:rPr>
          <w:rFonts w:ascii="宋体" w:hAnsi="宋体"/>
          <w:b/>
          <w:sz w:val="24"/>
        </w:rPr>
      </w:pPr>
      <w:r>
        <w:rPr>
          <w:rFonts w:hint="eastAsia" w:ascii="宋体" w:hAnsi="宋体"/>
          <w:sz w:val="24"/>
        </w:rPr>
        <w:t>本部分包含</w:t>
      </w:r>
      <w:r>
        <w:rPr>
          <w:rFonts w:hint="eastAsia" w:ascii="宋体" w:hAnsi="宋体"/>
          <w:b/>
          <w:sz w:val="24"/>
        </w:rPr>
        <w:t>评分细则中固定商品报价（附件三）、折扣率（附件四）。</w:t>
      </w:r>
    </w:p>
    <w:p>
      <w:pPr>
        <w:adjustRightInd w:val="0"/>
        <w:snapToGrid w:val="0"/>
        <w:spacing w:beforeLines="30" w:line="360" w:lineRule="auto"/>
        <w:ind w:firstLine="460" w:firstLineChars="192"/>
        <w:rPr>
          <w:rFonts w:ascii="宋体" w:hAnsi="宋体"/>
          <w:sz w:val="24"/>
        </w:rPr>
      </w:pPr>
      <w:r>
        <w:rPr>
          <w:rFonts w:hint="eastAsia" w:ascii="宋体" w:hAnsi="宋体"/>
          <w:sz w:val="24"/>
        </w:rPr>
        <w:t>2、其他</w:t>
      </w:r>
    </w:p>
    <w:p>
      <w:pPr>
        <w:adjustRightInd w:val="0"/>
        <w:snapToGrid w:val="0"/>
        <w:spacing w:beforeLines="30" w:line="360" w:lineRule="auto"/>
        <w:ind w:firstLine="460" w:firstLineChars="192"/>
        <w:rPr>
          <w:rFonts w:ascii="宋体" w:hAnsi="宋体"/>
          <w:color w:val="000000"/>
          <w:sz w:val="24"/>
        </w:rPr>
      </w:pPr>
      <w:r>
        <w:rPr>
          <w:rFonts w:hint="eastAsia" w:ascii="宋体" w:hAnsi="宋体"/>
          <w:color w:val="000000"/>
          <w:sz w:val="24"/>
        </w:rPr>
        <w:t>投标文件封面应写明项目名称、招投标编号、投标人名称并加盖法定代表人印鉴和投标人公章，注明开标前不得开封，包封的粘缝全都用封签密封并加盖单位公章和法定代表人名章。</w:t>
      </w:r>
    </w:p>
    <w:p>
      <w:pPr>
        <w:adjustRightInd w:val="0"/>
        <w:snapToGrid w:val="0"/>
        <w:spacing w:beforeLines="30" w:line="360" w:lineRule="auto"/>
        <w:ind w:firstLine="482" w:firstLineChars="200"/>
        <w:rPr>
          <w:rFonts w:ascii="宋体" w:hAnsi="宋体" w:cs="宋体"/>
          <w:b/>
          <w:sz w:val="24"/>
        </w:rPr>
      </w:pPr>
      <w:r>
        <w:rPr>
          <w:rFonts w:hint="eastAsia" w:ascii="宋体" w:hAnsi="宋体" w:cs="宋体"/>
          <w:b/>
          <w:sz w:val="24"/>
        </w:rPr>
        <w:t>八、投标人承诺对如下内容已完全理解</w:t>
      </w:r>
    </w:p>
    <w:p>
      <w:pPr>
        <w:adjustRightInd w:val="0"/>
        <w:snapToGrid w:val="0"/>
        <w:spacing w:beforeLines="30" w:line="360" w:lineRule="auto"/>
        <w:ind w:firstLine="460" w:firstLineChars="192"/>
        <w:rPr>
          <w:rFonts w:ascii="宋体" w:hAnsi="宋体"/>
          <w:sz w:val="24"/>
        </w:rPr>
      </w:pPr>
      <w:r>
        <w:rPr>
          <w:rFonts w:hint="eastAsia" w:ascii="宋体" w:hAnsi="宋体"/>
          <w:sz w:val="24"/>
        </w:rPr>
        <w:t>1、投标人保证中标后按招标文件明确指定的要求执行。</w:t>
      </w:r>
    </w:p>
    <w:p>
      <w:pPr>
        <w:adjustRightInd w:val="0"/>
        <w:snapToGrid w:val="0"/>
        <w:spacing w:beforeLines="30" w:line="360" w:lineRule="auto"/>
        <w:ind w:firstLine="460" w:firstLineChars="192"/>
        <w:rPr>
          <w:rFonts w:ascii="宋体" w:hAnsi="宋体"/>
          <w:sz w:val="24"/>
        </w:rPr>
      </w:pPr>
      <w:r>
        <w:rPr>
          <w:rFonts w:hint="eastAsia" w:ascii="宋体" w:hAnsi="宋体"/>
          <w:sz w:val="24"/>
        </w:rPr>
        <w:t>2、投标人对本招标文件其他内容均充分理解，并承诺一经中标即严格执行，认同本招标文件及投标人的投标文件作为合同附件，与合同有同等法律效力。</w:t>
      </w:r>
    </w:p>
    <w:p>
      <w:pPr>
        <w:adjustRightInd w:val="0"/>
        <w:snapToGrid w:val="0"/>
        <w:spacing w:beforeLines="30" w:line="440" w:lineRule="exact"/>
        <w:ind w:firstLine="482" w:firstLineChars="200"/>
        <w:rPr>
          <w:rFonts w:ascii="宋体" w:hAnsi="宋体" w:cs="宋体"/>
          <w:b/>
          <w:sz w:val="24"/>
        </w:rPr>
      </w:pPr>
      <w:r>
        <w:rPr>
          <w:rFonts w:hint="eastAsia" w:ascii="宋体" w:hAnsi="宋体" w:cs="宋体"/>
          <w:b/>
          <w:sz w:val="24"/>
        </w:rPr>
        <w:t>九、合同签订</w:t>
      </w:r>
    </w:p>
    <w:p>
      <w:pPr>
        <w:adjustRightInd w:val="0"/>
        <w:snapToGrid w:val="0"/>
        <w:spacing w:beforeLines="30" w:line="440" w:lineRule="exact"/>
        <w:ind w:firstLine="480" w:firstLineChars="200"/>
        <w:rPr>
          <w:rFonts w:ascii="宋体" w:hAnsi="宋体"/>
          <w:sz w:val="24"/>
        </w:rPr>
      </w:pPr>
      <w:r>
        <w:rPr>
          <w:rFonts w:hint="eastAsia" w:ascii="宋体" w:hAnsi="宋体"/>
          <w:sz w:val="24"/>
        </w:rPr>
        <w:t>中标人在收到中标通知书之日起五个工作日之内到南通卫生高职校工会签订合同，逾期不签合同的，视为中标人自动放弃，投标保证金不予退还。</w:t>
      </w:r>
    </w:p>
    <w:p>
      <w:pPr>
        <w:adjustRightInd w:val="0"/>
        <w:snapToGrid w:val="0"/>
        <w:spacing w:beforeLines="30" w:line="440" w:lineRule="exact"/>
        <w:ind w:right="420"/>
        <w:jc w:val="right"/>
        <w:rPr>
          <w:rFonts w:ascii="宋体" w:hAnsi="宋体"/>
          <w:sz w:val="24"/>
        </w:rPr>
      </w:pPr>
    </w:p>
    <w:p>
      <w:pPr>
        <w:jc w:val="center"/>
        <w:rPr>
          <w:rFonts w:ascii="宋体" w:hAnsi="宋体" w:cs="宋体"/>
          <w:sz w:val="24"/>
        </w:rPr>
      </w:pPr>
      <w:r>
        <w:rPr>
          <w:rFonts w:ascii="宋体" w:cs="宋体"/>
          <w:sz w:val="24"/>
        </w:rPr>
        <w:br w:type="page"/>
      </w:r>
      <w:r>
        <w:rPr>
          <w:rFonts w:hint="eastAsia" w:ascii="宋体" w:hAnsi="宋体" w:cs="宋体"/>
          <w:b/>
          <w:color w:val="000000"/>
          <w:sz w:val="32"/>
        </w:rPr>
        <w:t>附件一  投标人资质审核</w:t>
      </w:r>
    </w:p>
    <w:tbl>
      <w:tblPr>
        <w:tblStyle w:val="13"/>
        <w:tblpPr w:leftFromText="180" w:rightFromText="180" w:vertAnchor="page" w:horzAnchor="margin" w:tblpXSpec="center" w:tblpY="3164"/>
        <w:tblW w:w="6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vAlign w:val="center"/>
          </w:tcPr>
          <w:p>
            <w:pPr>
              <w:spacing w:line="480" w:lineRule="auto"/>
              <w:rPr>
                <w:rFonts w:ascii="宋体" w:cs="宋体"/>
                <w:sz w:val="24"/>
              </w:rPr>
            </w:pPr>
            <w:r>
              <w:rPr>
                <w:rFonts w:hint="eastAsia" w:ascii="宋体" w:hAnsi="宋体" w:cs="宋体"/>
                <w:sz w:val="24"/>
              </w:rPr>
              <w:t>1、营业执照复印件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tcPr>
          <w:p>
            <w:pPr>
              <w:spacing w:line="480" w:lineRule="auto"/>
              <w:rPr>
                <w:rFonts w:ascii="宋体" w:cs="宋体"/>
                <w:szCs w:val="21"/>
              </w:rPr>
            </w:pPr>
            <w:r>
              <w:rPr>
                <w:rFonts w:hint="eastAsia" w:ascii="宋体" w:hAnsi="宋体"/>
                <w:szCs w:val="21"/>
              </w:rPr>
              <w:t>2、</w:t>
            </w:r>
            <w:r>
              <w:rPr>
                <w:rFonts w:ascii="宋体" w:hAnsi="宋体"/>
                <w:b/>
                <w:bCs/>
                <w:color w:val="000000"/>
                <w:spacing w:val="4"/>
                <w:sz w:val="24"/>
                <w:u w:val="single"/>
              </w:rPr>
              <w:t>法定代表人证书</w:t>
            </w:r>
            <w:r>
              <w:rPr>
                <w:rFonts w:ascii="宋体" w:hAnsi="宋体"/>
                <w:color w:val="000000"/>
                <w:spacing w:val="4"/>
                <w:sz w:val="24"/>
                <w:u w:val="single"/>
              </w:rPr>
              <w:t>（复印件）</w:t>
            </w:r>
            <w:r>
              <w:rPr>
                <w:rFonts w:hint="eastAsia" w:ascii="宋体" w:hAnsi="宋体"/>
                <w:color w:val="000000"/>
                <w:spacing w:val="4"/>
                <w:sz w:val="24"/>
                <w:u w:val="single"/>
              </w:rPr>
              <w:t>及</w:t>
            </w:r>
            <w:r>
              <w:rPr>
                <w:rFonts w:ascii="宋体" w:hAnsi="宋体"/>
                <w:b/>
                <w:bCs/>
                <w:color w:val="000000"/>
                <w:spacing w:val="4"/>
                <w:sz w:val="24"/>
                <w:u w:val="single"/>
              </w:rPr>
              <w:t>法人身份证</w:t>
            </w:r>
            <w:r>
              <w:rPr>
                <w:rFonts w:ascii="宋体" w:hAnsi="宋体"/>
                <w:color w:val="000000"/>
                <w:spacing w:val="4"/>
                <w:sz w:val="24"/>
                <w:u w:val="single"/>
              </w:rPr>
              <w:t>（复印件）</w:t>
            </w:r>
            <w:r>
              <w:rPr>
                <w:rFonts w:hint="eastAsia" w:ascii="宋体" w:hAnsi="宋体"/>
                <w:b/>
                <w:bCs/>
                <w:color w:val="000000"/>
                <w:spacing w:val="4"/>
                <w:sz w:val="24"/>
              </w:rPr>
              <w:t>或</w:t>
            </w:r>
            <w:r>
              <w:rPr>
                <w:rFonts w:cs="Calibri"/>
                <w:b/>
                <w:bCs/>
                <w:color w:val="000000"/>
                <w:sz w:val="24"/>
                <w:u w:val="single"/>
              </w:rPr>
              <w:t>授权书</w:t>
            </w:r>
            <w:r>
              <w:rPr>
                <w:rFonts w:ascii="宋体" w:hAnsi="宋体"/>
                <w:color w:val="000000"/>
                <w:spacing w:val="4"/>
                <w:sz w:val="24"/>
                <w:u w:val="single"/>
              </w:rPr>
              <w:t>（复印件）及</w:t>
            </w:r>
            <w:r>
              <w:rPr>
                <w:rFonts w:hint="eastAsia" w:cs="Calibri"/>
                <w:b/>
                <w:bCs/>
                <w:color w:val="000000"/>
                <w:sz w:val="24"/>
                <w:u w:val="single"/>
              </w:rPr>
              <w:t>授权委托人</w:t>
            </w:r>
            <w:r>
              <w:rPr>
                <w:rFonts w:ascii="宋体" w:hAnsi="宋体"/>
                <w:color w:val="000000"/>
                <w:spacing w:val="4"/>
                <w:sz w:val="24"/>
                <w:u w:val="single"/>
              </w:rPr>
              <w:t>身份证</w:t>
            </w:r>
            <w:r>
              <w:rPr>
                <w:rFonts w:hint="eastAsia" w:ascii="宋体" w:hAnsi="宋体"/>
                <w:color w:val="000000"/>
                <w:spacing w:val="4"/>
                <w:sz w:val="24"/>
                <w:u w:val="single"/>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487" w:type="dxa"/>
          </w:tcPr>
          <w:p>
            <w:pPr>
              <w:spacing w:line="480" w:lineRule="auto"/>
              <w:rPr>
                <w:rFonts w:ascii="宋体" w:hAnsi="宋体"/>
                <w:szCs w:val="21"/>
              </w:rPr>
            </w:pPr>
            <w:r>
              <w:rPr>
                <w:rFonts w:hint="eastAsia" w:ascii="宋体" w:hAnsi="宋体"/>
                <w:szCs w:val="21"/>
              </w:rPr>
              <w:t>3、</w:t>
            </w:r>
            <w:r>
              <w:rPr>
                <w:rFonts w:hint="eastAsia" w:cs="Calibri"/>
                <w:bCs/>
                <w:color w:val="000000"/>
                <w:sz w:val="24"/>
              </w:rPr>
              <w:t>授权委托人在投标单位至少一年的</w:t>
            </w:r>
            <w:r>
              <w:rPr>
                <w:rFonts w:hint="eastAsia" w:cs="Calibri"/>
                <w:b/>
                <w:color w:val="000000"/>
                <w:sz w:val="24"/>
              </w:rPr>
              <w:t>社保记录</w:t>
            </w:r>
            <w:r>
              <w:rPr>
                <w:rFonts w:hint="eastAsia" w:cs="Calibri"/>
                <w:bCs/>
                <w:color w:val="000000"/>
                <w:sz w:val="24"/>
              </w:rPr>
              <w:t>（至开标日止</w:t>
            </w:r>
            <w:r>
              <w:rPr>
                <w:rFonts w:hint="eastAsia" w:cs="Calibri"/>
                <w:b/>
                <w:color w:val="000000"/>
                <w:sz w:val="24"/>
              </w:rPr>
              <w:t>连续十二个月以上</w:t>
            </w:r>
            <w:r>
              <w:rPr>
                <w:rFonts w:hint="eastAsia" w:cs="Calibri"/>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487" w:type="dxa"/>
          </w:tcPr>
          <w:p>
            <w:pPr>
              <w:spacing w:line="480" w:lineRule="auto"/>
              <w:rPr>
                <w:rFonts w:ascii="宋体" w:hAnsi="宋体"/>
                <w:szCs w:val="21"/>
              </w:rPr>
            </w:pPr>
            <w:r>
              <w:rPr>
                <w:rFonts w:hint="eastAsia" w:ascii="宋体" w:hAnsi="宋体"/>
                <w:szCs w:val="21"/>
              </w:rPr>
              <w:t>4、</w:t>
            </w:r>
            <w:r>
              <w:rPr>
                <w:rFonts w:hint="eastAsia" w:cs="Calibri"/>
                <w:b/>
                <w:bCs/>
                <w:color w:val="000000"/>
                <w:sz w:val="24"/>
              </w:rPr>
              <w:t>近三年内公司无行贿违法记录承诺书（承诺书加盖公章）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487" w:type="dxa"/>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487" w:type="dxa"/>
          </w:tcPr>
          <w:p>
            <w:pPr>
              <w:spacing w:line="480" w:lineRule="auto"/>
              <w:jc w:val="center"/>
              <w:rPr>
                <w:rFonts w:ascii="宋体" w:hAnsi="宋体"/>
                <w:szCs w:val="21"/>
              </w:rPr>
            </w:pPr>
            <w:r>
              <w:rPr>
                <w:rFonts w:hint="eastAsia" w:ascii="宋体" w:hAnsi="宋体"/>
                <w:szCs w:val="21"/>
              </w:rPr>
              <w:t>以上材料原件备查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487" w:type="dxa"/>
          </w:tcPr>
          <w:p>
            <w:pPr>
              <w:spacing w:line="48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487" w:type="dxa"/>
          </w:tcPr>
          <w:p>
            <w:pPr>
              <w:spacing w:line="480" w:lineRule="auto"/>
              <w:jc w:val="center"/>
              <w:rPr>
                <w:rFonts w:ascii="宋体" w:hAnsi="宋体"/>
                <w:szCs w:val="21"/>
              </w:rPr>
            </w:pPr>
          </w:p>
        </w:tc>
      </w:tr>
    </w:tbl>
    <w:p>
      <w:pPr>
        <w:spacing w:line="360" w:lineRule="auto"/>
        <w:rPr>
          <w:rFonts w:ascii="宋体" w:hAnsi="宋体" w:cs="宋体"/>
          <w:b/>
          <w:color w:val="000000"/>
          <w:sz w:val="32"/>
        </w:rPr>
      </w:pPr>
    </w:p>
    <w:p>
      <w:pPr>
        <w:rPr>
          <w:rFonts w:ascii="宋体" w:hAnsi="宋体" w:cs="宋体"/>
          <w:b/>
          <w:color w:val="000000"/>
          <w:sz w:val="32"/>
        </w:rPr>
      </w:pPr>
    </w:p>
    <w:p>
      <w:pPr>
        <w:rPr>
          <w:rFonts w:ascii="宋体" w:hAnsi="宋体" w:cs="宋体"/>
          <w:b/>
          <w:color w:val="000000"/>
          <w:sz w:val="32"/>
        </w:rPr>
      </w:pPr>
    </w:p>
    <w:p>
      <w:pPr>
        <w:rPr>
          <w:rFonts w:ascii="宋体" w:hAnsi="宋体" w:cs="宋体"/>
          <w:b/>
          <w:color w:val="000000"/>
          <w:sz w:val="32"/>
        </w:rPr>
      </w:pPr>
    </w:p>
    <w:p>
      <w:pPr>
        <w:rPr>
          <w:rFonts w:ascii="宋体" w:hAnsi="宋体" w:cs="宋体"/>
          <w:b/>
          <w:color w:val="000000"/>
          <w:sz w:val="32"/>
        </w:rPr>
      </w:pPr>
    </w:p>
    <w:p>
      <w:pPr>
        <w:rPr>
          <w:rFonts w:ascii="宋体" w:hAnsi="宋体" w:cs="宋体"/>
          <w:b/>
          <w:color w:val="000000"/>
          <w:sz w:val="32"/>
        </w:rPr>
      </w:pPr>
    </w:p>
    <w:p>
      <w:pPr>
        <w:rPr>
          <w:rFonts w:ascii="宋体" w:hAnsi="宋体" w:cs="宋体"/>
          <w:b/>
          <w:color w:val="000000"/>
          <w:sz w:val="32"/>
        </w:rPr>
      </w:pPr>
    </w:p>
    <w:p>
      <w:pPr>
        <w:rPr>
          <w:rFonts w:ascii="宋体" w:hAnsi="宋体" w:cs="宋体"/>
          <w:b/>
          <w:color w:val="000000"/>
          <w:sz w:val="32"/>
        </w:rPr>
      </w:pPr>
    </w:p>
    <w:p>
      <w:pPr>
        <w:rPr>
          <w:rFonts w:ascii="宋体" w:hAnsi="宋体" w:cs="宋体"/>
          <w:b/>
          <w:color w:val="000000"/>
          <w:sz w:val="32"/>
        </w:rPr>
      </w:pPr>
    </w:p>
    <w:p>
      <w:pPr>
        <w:rPr>
          <w:rFonts w:ascii="宋体" w:hAnsi="宋体" w:cs="宋体"/>
          <w:b/>
          <w:color w:val="000000"/>
          <w:sz w:val="32"/>
        </w:rPr>
      </w:pPr>
    </w:p>
    <w:p>
      <w:pPr>
        <w:rPr>
          <w:rFonts w:ascii="宋体" w:hAnsi="宋体" w:cs="宋体"/>
          <w:b/>
          <w:color w:val="000000"/>
          <w:sz w:val="32"/>
        </w:rPr>
      </w:pPr>
    </w:p>
    <w:p>
      <w:pPr>
        <w:rPr>
          <w:rFonts w:ascii="宋体" w:hAnsi="宋体" w:cs="宋体"/>
          <w:b/>
          <w:color w:val="000000"/>
          <w:sz w:val="32"/>
        </w:rPr>
      </w:pPr>
    </w:p>
    <w:p>
      <w:pPr>
        <w:rPr>
          <w:rFonts w:ascii="宋体" w:hAnsi="宋体" w:cs="宋体"/>
          <w:b/>
          <w:color w:val="000000"/>
          <w:sz w:val="32"/>
        </w:rPr>
      </w:pPr>
    </w:p>
    <w:p>
      <w:pPr>
        <w:rPr>
          <w:rFonts w:ascii="宋体" w:hAnsi="宋体" w:cs="宋体"/>
          <w:b/>
          <w:color w:val="000000"/>
          <w:sz w:val="32"/>
        </w:rPr>
      </w:pPr>
    </w:p>
    <w:p>
      <w:pPr>
        <w:rPr>
          <w:rFonts w:ascii="宋体" w:hAnsi="宋体" w:cs="宋体"/>
          <w:b/>
          <w:color w:val="000000"/>
          <w:sz w:val="32"/>
        </w:rPr>
      </w:pPr>
    </w:p>
    <w:p>
      <w:pPr>
        <w:rPr>
          <w:rFonts w:ascii="宋体" w:hAnsi="宋体" w:cs="宋体"/>
          <w:b/>
          <w:color w:val="000000"/>
          <w:sz w:val="32"/>
        </w:rPr>
      </w:pPr>
    </w:p>
    <w:p>
      <w:pPr>
        <w:rPr>
          <w:rFonts w:ascii="宋体" w:hAnsi="宋体" w:cs="宋体"/>
          <w:b/>
          <w:color w:val="000000"/>
          <w:sz w:val="32"/>
        </w:rPr>
      </w:pPr>
    </w:p>
    <w:p>
      <w:pPr>
        <w:rPr>
          <w:rFonts w:ascii="宋体" w:hAnsi="宋体" w:cs="宋体"/>
          <w:b/>
          <w:color w:val="000000"/>
          <w:sz w:val="32"/>
        </w:rPr>
      </w:pPr>
    </w:p>
    <w:p>
      <w:pPr>
        <w:rPr>
          <w:rFonts w:ascii="宋体" w:hAnsi="宋体" w:cs="宋体"/>
          <w:b/>
          <w:color w:val="000000"/>
          <w:sz w:val="32"/>
        </w:rPr>
      </w:pPr>
    </w:p>
    <w:p>
      <w:pPr>
        <w:rPr>
          <w:rFonts w:ascii="宋体" w:hAnsi="宋体" w:cs="宋体"/>
          <w:b/>
          <w:color w:val="000000"/>
          <w:sz w:val="32"/>
        </w:rPr>
      </w:pPr>
    </w:p>
    <w:p>
      <w:pPr>
        <w:rPr>
          <w:rFonts w:ascii="宋体" w:hAnsi="宋体" w:cs="宋体"/>
          <w:b/>
          <w:color w:val="000000"/>
          <w:sz w:val="32"/>
        </w:rPr>
      </w:pPr>
    </w:p>
    <w:p>
      <w:pPr>
        <w:rPr>
          <w:rFonts w:ascii="宋体" w:hAnsi="宋体" w:cs="宋体"/>
          <w:b/>
          <w:color w:val="000000"/>
          <w:sz w:val="32"/>
        </w:rPr>
      </w:pPr>
    </w:p>
    <w:p>
      <w:pPr>
        <w:jc w:val="center"/>
        <w:rPr>
          <w:rFonts w:ascii="宋体" w:hAnsi="宋体" w:cs="宋体"/>
          <w:b/>
          <w:color w:val="000000"/>
          <w:sz w:val="32"/>
        </w:rPr>
      </w:pPr>
      <w:r>
        <w:rPr>
          <w:rFonts w:hint="eastAsia" w:ascii="宋体" w:hAnsi="宋体" w:cs="宋体"/>
          <w:b/>
          <w:color w:val="000000"/>
          <w:sz w:val="32"/>
        </w:rPr>
        <w:t>附件二  实物样品组合</w:t>
      </w:r>
    </w:p>
    <w:p>
      <w:pPr>
        <w:spacing w:line="360" w:lineRule="auto"/>
        <w:ind w:firstLine="480" w:firstLineChars="200"/>
        <w:rPr>
          <w:rFonts w:ascii="宋体" w:hAnsi="宋体"/>
          <w:sz w:val="24"/>
        </w:rPr>
      </w:pPr>
      <w:r>
        <w:rPr>
          <w:rFonts w:hint="eastAsia" w:ascii="宋体" w:hAnsi="宋体"/>
          <w:sz w:val="24"/>
        </w:rPr>
        <w:t>为2021年元旦慰问品的发放设计</w:t>
      </w:r>
      <w:r>
        <w:rPr>
          <w:rFonts w:hint="eastAsia" w:ascii="宋体" w:hAnsi="宋体"/>
          <w:b/>
          <w:sz w:val="24"/>
        </w:rPr>
        <w:t>两份</w:t>
      </w:r>
      <w:r>
        <w:rPr>
          <w:rFonts w:hint="eastAsia" w:ascii="宋体" w:hAnsi="宋体"/>
          <w:sz w:val="24"/>
        </w:rPr>
        <w:t>符合大众需求的慰问品实物组合。</w:t>
      </w:r>
      <w:r>
        <w:rPr>
          <w:rFonts w:hint="eastAsia" w:ascii="宋体" w:hAnsi="宋体"/>
          <w:b/>
          <w:bCs/>
          <w:sz w:val="24"/>
        </w:rPr>
        <w:t>（必须提供两个组合，以元旦慰问品为例）</w:t>
      </w:r>
      <w:r>
        <w:rPr>
          <w:rFonts w:hint="eastAsia" w:ascii="宋体" w:hAnsi="宋体"/>
          <w:sz w:val="24"/>
        </w:rPr>
        <w:t>相关说明及要求：</w:t>
      </w:r>
    </w:p>
    <w:p>
      <w:pPr>
        <w:pStyle w:val="29"/>
        <w:numPr>
          <w:ilvl w:val="0"/>
          <w:numId w:val="1"/>
        </w:numPr>
        <w:spacing w:line="360" w:lineRule="auto"/>
        <w:ind w:firstLineChars="0"/>
        <w:rPr>
          <w:rFonts w:ascii="宋体" w:hAnsi="宋体"/>
          <w:sz w:val="24"/>
        </w:rPr>
      </w:pPr>
      <w:r>
        <w:rPr>
          <w:rFonts w:hint="eastAsia" w:ascii="宋体" w:hAnsi="宋体"/>
          <w:sz w:val="24"/>
        </w:rPr>
        <w:t>总 金 额：实付400元；</w:t>
      </w:r>
    </w:p>
    <w:p>
      <w:pPr>
        <w:pStyle w:val="29"/>
        <w:numPr>
          <w:ilvl w:val="0"/>
          <w:numId w:val="1"/>
        </w:numPr>
        <w:spacing w:line="360" w:lineRule="auto"/>
        <w:ind w:firstLineChars="0"/>
        <w:rPr>
          <w:rFonts w:ascii="宋体" w:hAnsi="宋体"/>
          <w:sz w:val="24"/>
        </w:rPr>
      </w:pPr>
      <w:r>
        <w:rPr>
          <w:rFonts w:hint="eastAsia" w:ascii="Helvetica" w:hAnsi="Helvetica" w:cs="Helvetica"/>
          <w:kern w:val="0"/>
          <w:sz w:val="24"/>
        </w:rPr>
        <w:t>组合一与组合二之间要有一定的辨识度；</w:t>
      </w:r>
    </w:p>
    <w:p>
      <w:pPr>
        <w:pStyle w:val="29"/>
        <w:numPr>
          <w:ilvl w:val="0"/>
          <w:numId w:val="1"/>
        </w:numPr>
        <w:spacing w:line="360" w:lineRule="auto"/>
        <w:ind w:firstLineChars="0"/>
        <w:rPr>
          <w:rFonts w:ascii="宋体" w:hAnsi="宋体"/>
          <w:sz w:val="24"/>
        </w:rPr>
      </w:pPr>
      <w:r>
        <w:rPr>
          <w:rFonts w:hint="eastAsia" w:ascii="Helvetica" w:hAnsi="Helvetica" w:cs="Helvetica"/>
          <w:kern w:val="0"/>
          <w:sz w:val="24"/>
        </w:rPr>
        <w:t>组合的品种类别及数量自行设计。</w:t>
      </w:r>
    </w:p>
    <w:p>
      <w:pPr>
        <w:jc w:val="center"/>
        <w:rPr>
          <w:rFonts w:ascii="Helvetica" w:hAnsi="Helvetica" w:cs="Helvetica"/>
          <w:b/>
          <w:bCs/>
          <w:kern w:val="0"/>
          <w:sz w:val="24"/>
        </w:rPr>
      </w:pPr>
    </w:p>
    <w:p>
      <w:pPr>
        <w:jc w:val="center"/>
        <w:rPr>
          <w:rFonts w:ascii="Helvetica" w:hAnsi="Helvetica" w:cs="Helvetica"/>
          <w:b/>
          <w:bCs/>
          <w:kern w:val="0"/>
          <w:sz w:val="24"/>
        </w:rPr>
      </w:pPr>
      <w:r>
        <w:rPr>
          <w:rFonts w:hint="eastAsia" w:ascii="Helvetica" w:hAnsi="Helvetica" w:cs="Helvetica"/>
          <w:b/>
          <w:bCs/>
          <w:kern w:val="0"/>
          <w:sz w:val="24"/>
        </w:rPr>
        <w:t>组合一</w:t>
      </w:r>
    </w:p>
    <w:p>
      <w:pPr>
        <w:rPr>
          <w:rFonts w:ascii="Helvetica" w:hAnsi="Helvetica" w:cs="Helvetica"/>
          <w:kern w:val="0"/>
          <w:sz w:val="24"/>
        </w:rPr>
      </w:pPr>
    </w:p>
    <w:tbl>
      <w:tblPr>
        <w:tblStyle w:val="13"/>
        <w:tblpPr w:leftFromText="181" w:rightFromText="181" w:vertAnchor="text" w:horzAnchor="page" w:tblpX="1725" w:tblpY="4507"/>
        <w:tblOverlap w:val="never"/>
        <w:tblW w:w="8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475"/>
        <w:gridCol w:w="2206"/>
        <w:gridCol w:w="1497"/>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876" w:type="dxa"/>
          </w:tcPr>
          <w:p>
            <w:pPr>
              <w:widowControl/>
              <w:snapToGrid w:val="0"/>
              <w:spacing w:line="440" w:lineRule="atLeast"/>
              <w:jc w:val="center"/>
              <w:rPr>
                <w:rFonts w:ascii="Helvetica" w:hAnsi="Helvetica" w:cs="Helvetica"/>
                <w:kern w:val="0"/>
                <w:sz w:val="24"/>
              </w:rPr>
            </w:pPr>
            <w:r>
              <w:rPr>
                <w:rFonts w:hint="eastAsia" w:ascii="Helvetica" w:hAnsi="Helvetica" w:cs="Helvetica"/>
                <w:kern w:val="0"/>
                <w:sz w:val="24"/>
              </w:rPr>
              <w:t>编号</w:t>
            </w:r>
          </w:p>
        </w:tc>
        <w:tc>
          <w:tcPr>
            <w:tcW w:w="2475" w:type="dxa"/>
          </w:tcPr>
          <w:p>
            <w:pPr>
              <w:widowControl/>
              <w:snapToGrid w:val="0"/>
              <w:spacing w:line="440" w:lineRule="atLeast"/>
              <w:jc w:val="center"/>
              <w:rPr>
                <w:rFonts w:ascii="Helvetica" w:hAnsi="Helvetica" w:cs="Helvetica"/>
                <w:kern w:val="0"/>
                <w:sz w:val="24"/>
              </w:rPr>
            </w:pPr>
            <w:r>
              <w:rPr>
                <w:rFonts w:ascii="Helvetica" w:hAnsi="Helvetica" w:cs="Helvetica"/>
                <w:kern w:val="0"/>
                <w:sz w:val="24"/>
              </w:rPr>
              <w:t>慰问品</w:t>
            </w:r>
            <w:r>
              <w:rPr>
                <w:rFonts w:hint="eastAsia" w:ascii="Helvetica" w:hAnsi="Helvetica" w:cs="Helvetica"/>
                <w:kern w:val="0"/>
                <w:sz w:val="24"/>
              </w:rPr>
              <w:t>名称</w:t>
            </w:r>
          </w:p>
        </w:tc>
        <w:tc>
          <w:tcPr>
            <w:tcW w:w="2206" w:type="dxa"/>
          </w:tcPr>
          <w:p>
            <w:pPr>
              <w:widowControl/>
              <w:snapToGrid w:val="0"/>
              <w:spacing w:line="440" w:lineRule="atLeast"/>
              <w:jc w:val="center"/>
              <w:rPr>
                <w:rFonts w:ascii="Helvetica" w:hAnsi="Helvetica" w:cs="Helvetica"/>
                <w:kern w:val="0"/>
                <w:sz w:val="24"/>
              </w:rPr>
            </w:pPr>
            <w:r>
              <w:rPr>
                <w:rFonts w:hint="eastAsia" w:ascii="Helvetica" w:hAnsi="Helvetica" w:cs="Helvetica"/>
                <w:kern w:val="0"/>
                <w:sz w:val="24"/>
              </w:rPr>
              <w:t>规格</w:t>
            </w:r>
          </w:p>
        </w:tc>
        <w:tc>
          <w:tcPr>
            <w:tcW w:w="1497" w:type="dxa"/>
          </w:tcPr>
          <w:p>
            <w:pPr>
              <w:widowControl/>
              <w:snapToGrid w:val="0"/>
              <w:spacing w:line="440" w:lineRule="atLeast"/>
              <w:jc w:val="center"/>
              <w:rPr>
                <w:rFonts w:ascii="Helvetica" w:hAnsi="Helvetica" w:cs="Helvetica"/>
                <w:kern w:val="0"/>
                <w:sz w:val="24"/>
              </w:rPr>
            </w:pPr>
            <w:r>
              <w:rPr>
                <w:rFonts w:hint="eastAsia" w:ascii="Helvetica" w:hAnsi="Helvetica" w:cs="Helvetica"/>
                <w:kern w:val="0"/>
                <w:sz w:val="24"/>
              </w:rPr>
              <w:t>售价</w:t>
            </w:r>
          </w:p>
        </w:tc>
        <w:tc>
          <w:tcPr>
            <w:tcW w:w="1134" w:type="dxa"/>
          </w:tcPr>
          <w:p>
            <w:pPr>
              <w:widowControl/>
              <w:snapToGrid w:val="0"/>
              <w:spacing w:line="440" w:lineRule="atLeast"/>
              <w:jc w:val="center"/>
              <w:rPr>
                <w:rFonts w:ascii="Helvetica" w:hAnsi="Helvetica" w:cs="Helvetica"/>
                <w:kern w:val="0"/>
                <w:sz w:val="24"/>
              </w:rPr>
            </w:pPr>
            <w:r>
              <w:rPr>
                <w:rFonts w:hint="eastAsia" w:ascii="Helvetica" w:hAnsi="Helvetica" w:cs="Helvetica"/>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876" w:type="dxa"/>
          </w:tcPr>
          <w:p>
            <w:pPr>
              <w:widowControl/>
              <w:snapToGrid w:val="0"/>
              <w:spacing w:line="440" w:lineRule="atLeast"/>
              <w:jc w:val="center"/>
              <w:rPr>
                <w:rFonts w:ascii="Helvetica" w:hAnsi="Helvetica" w:cs="Helvetica"/>
                <w:kern w:val="0"/>
                <w:sz w:val="24"/>
              </w:rPr>
            </w:pPr>
          </w:p>
        </w:tc>
        <w:tc>
          <w:tcPr>
            <w:tcW w:w="2475" w:type="dxa"/>
          </w:tcPr>
          <w:p>
            <w:pPr>
              <w:widowControl/>
              <w:snapToGrid w:val="0"/>
              <w:spacing w:line="440" w:lineRule="atLeast"/>
              <w:jc w:val="center"/>
              <w:rPr>
                <w:rFonts w:ascii="Helvetica" w:hAnsi="Helvetica" w:cs="Helvetica"/>
                <w:kern w:val="0"/>
                <w:sz w:val="24"/>
              </w:rPr>
            </w:pPr>
          </w:p>
        </w:tc>
        <w:tc>
          <w:tcPr>
            <w:tcW w:w="2206" w:type="dxa"/>
          </w:tcPr>
          <w:p>
            <w:pPr>
              <w:widowControl/>
              <w:snapToGrid w:val="0"/>
              <w:spacing w:line="440" w:lineRule="atLeast"/>
              <w:jc w:val="center"/>
              <w:rPr>
                <w:rFonts w:ascii="Helvetica" w:hAnsi="Helvetica" w:cs="Helvetica"/>
                <w:kern w:val="0"/>
                <w:sz w:val="24"/>
              </w:rPr>
            </w:pPr>
          </w:p>
        </w:tc>
        <w:tc>
          <w:tcPr>
            <w:tcW w:w="1497" w:type="dxa"/>
          </w:tcPr>
          <w:p>
            <w:pPr>
              <w:widowControl/>
              <w:snapToGrid w:val="0"/>
              <w:spacing w:line="440" w:lineRule="atLeast"/>
              <w:jc w:val="center"/>
              <w:rPr>
                <w:rFonts w:ascii="Helvetica" w:hAnsi="Helvetica" w:cs="Helvetica"/>
                <w:kern w:val="0"/>
                <w:sz w:val="24"/>
              </w:rPr>
            </w:pPr>
          </w:p>
        </w:tc>
        <w:tc>
          <w:tcPr>
            <w:tcW w:w="1134" w:type="dxa"/>
          </w:tcPr>
          <w:p>
            <w:pPr>
              <w:widowControl/>
              <w:snapToGrid w:val="0"/>
              <w:spacing w:line="440" w:lineRule="atLeast"/>
              <w:jc w:val="center"/>
              <w:rPr>
                <w:rFonts w:ascii="Helvetica" w:hAnsi="Helvetica" w:cs="Helvetic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876" w:type="dxa"/>
          </w:tcPr>
          <w:p>
            <w:pPr>
              <w:widowControl/>
              <w:snapToGrid w:val="0"/>
              <w:spacing w:line="440" w:lineRule="atLeast"/>
              <w:jc w:val="center"/>
              <w:rPr>
                <w:rFonts w:ascii="Helvetica" w:hAnsi="Helvetica" w:cs="Helvetica"/>
                <w:kern w:val="0"/>
                <w:sz w:val="24"/>
              </w:rPr>
            </w:pPr>
          </w:p>
        </w:tc>
        <w:tc>
          <w:tcPr>
            <w:tcW w:w="2475" w:type="dxa"/>
          </w:tcPr>
          <w:p>
            <w:pPr>
              <w:widowControl/>
              <w:snapToGrid w:val="0"/>
              <w:spacing w:line="440" w:lineRule="atLeast"/>
              <w:jc w:val="center"/>
              <w:rPr>
                <w:rFonts w:ascii="Helvetica" w:hAnsi="Helvetica" w:cs="Helvetica"/>
                <w:kern w:val="0"/>
                <w:sz w:val="24"/>
              </w:rPr>
            </w:pPr>
          </w:p>
        </w:tc>
        <w:tc>
          <w:tcPr>
            <w:tcW w:w="2206" w:type="dxa"/>
          </w:tcPr>
          <w:p>
            <w:pPr>
              <w:widowControl/>
              <w:snapToGrid w:val="0"/>
              <w:spacing w:line="440" w:lineRule="atLeast"/>
              <w:jc w:val="center"/>
              <w:rPr>
                <w:rFonts w:ascii="Helvetica" w:hAnsi="Helvetica" w:cs="Helvetica"/>
                <w:kern w:val="0"/>
                <w:sz w:val="24"/>
              </w:rPr>
            </w:pPr>
          </w:p>
        </w:tc>
        <w:tc>
          <w:tcPr>
            <w:tcW w:w="1497" w:type="dxa"/>
          </w:tcPr>
          <w:p>
            <w:pPr>
              <w:widowControl/>
              <w:snapToGrid w:val="0"/>
              <w:spacing w:line="440" w:lineRule="atLeast"/>
              <w:jc w:val="center"/>
              <w:rPr>
                <w:rFonts w:ascii="Helvetica" w:hAnsi="Helvetica" w:cs="Helvetica"/>
                <w:kern w:val="0"/>
                <w:sz w:val="24"/>
              </w:rPr>
            </w:pPr>
          </w:p>
        </w:tc>
        <w:tc>
          <w:tcPr>
            <w:tcW w:w="1134" w:type="dxa"/>
          </w:tcPr>
          <w:p>
            <w:pPr>
              <w:widowControl/>
              <w:snapToGrid w:val="0"/>
              <w:spacing w:line="440" w:lineRule="atLeast"/>
              <w:jc w:val="center"/>
              <w:rPr>
                <w:rFonts w:ascii="Helvetica" w:hAnsi="Helvetica" w:cs="Helvetic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trPr>
        <w:tc>
          <w:tcPr>
            <w:tcW w:w="876" w:type="dxa"/>
            <w:vAlign w:val="center"/>
          </w:tcPr>
          <w:p>
            <w:pPr>
              <w:widowControl/>
              <w:snapToGrid w:val="0"/>
              <w:spacing w:line="440" w:lineRule="atLeast"/>
              <w:jc w:val="center"/>
              <w:rPr>
                <w:rFonts w:ascii="Helvetica" w:hAnsi="Helvetica" w:cs="Helvetica"/>
                <w:kern w:val="0"/>
                <w:sz w:val="24"/>
              </w:rPr>
            </w:pPr>
            <w:r>
              <w:rPr>
                <w:rFonts w:hint="eastAsia" w:ascii="Helvetica" w:hAnsi="Helvetica" w:cs="Helvetica"/>
                <w:kern w:val="0"/>
                <w:sz w:val="24"/>
              </w:rPr>
              <w:t>……</w:t>
            </w:r>
          </w:p>
        </w:tc>
        <w:tc>
          <w:tcPr>
            <w:tcW w:w="2475" w:type="dxa"/>
            <w:vAlign w:val="center"/>
          </w:tcPr>
          <w:p>
            <w:pPr>
              <w:widowControl/>
              <w:snapToGrid w:val="0"/>
              <w:spacing w:line="440" w:lineRule="atLeast"/>
              <w:jc w:val="center"/>
              <w:rPr>
                <w:rFonts w:ascii="Helvetica" w:hAnsi="Helvetica" w:cs="Helvetica"/>
                <w:kern w:val="0"/>
                <w:sz w:val="24"/>
              </w:rPr>
            </w:pPr>
            <w:r>
              <w:rPr>
                <w:rFonts w:hint="eastAsia" w:ascii="Helvetica" w:hAnsi="Helvetica" w:cs="Helvetica"/>
                <w:kern w:val="0"/>
                <w:sz w:val="24"/>
              </w:rPr>
              <w:t>…………</w:t>
            </w:r>
          </w:p>
        </w:tc>
        <w:tc>
          <w:tcPr>
            <w:tcW w:w="2206" w:type="dxa"/>
            <w:vAlign w:val="center"/>
          </w:tcPr>
          <w:p>
            <w:pPr>
              <w:widowControl/>
              <w:snapToGrid w:val="0"/>
              <w:spacing w:line="440" w:lineRule="atLeast"/>
              <w:jc w:val="center"/>
              <w:rPr>
                <w:rFonts w:ascii="Helvetica" w:hAnsi="Helvetica" w:cs="Helvetica"/>
                <w:kern w:val="0"/>
                <w:sz w:val="24"/>
              </w:rPr>
            </w:pPr>
            <w:r>
              <w:rPr>
                <w:rFonts w:hint="eastAsia" w:ascii="Helvetica" w:hAnsi="Helvetica" w:cs="Helvetica"/>
                <w:kern w:val="0"/>
                <w:sz w:val="24"/>
              </w:rPr>
              <w:t>…………</w:t>
            </w:r>
          </w:p>
        </w:tc>
        <w:tc>
          <w:tcPr>
            <w:tcW w:w="1497" w:type="dxa"/>
            <w:vAlign w:val="center"/>
          </w:tcPr>
          <w:p>
            <w:pPr>
              <w:widowControl/>
              <w:snapToGrid w:val="0"/>
              <w:spacing w:line="440" w:lineRule="atLeast"/>
              <w:jc w:val="center"/>
              <w:rPr>
                <w:rFonts w:ascii="Helvetica" w:hAnsi="Helvetica" w:cs="Helvetica"/>
                <w:kern w:val="0"/>
                <w:sz w:val="24"/>
              </w:rPr>
            </w:pPr>
            <w:r>
              <w:rPr>
                <w:rFonts w:hint="eastAsia" w:ascii="Helvetica" w:hAnsi="Helvetica" w:cs="Helvetica"/>
                <w:kern w:val="0"/>
                <w:sz w:val="24"/>
              </w:rPr>
              <w:t>…………</w:t>
            </w:r>
          </w:p>
        </w:tc>
        <w:tc>
          <w:tcPr>
            <w:tcW w:w="1134" w:type="dxa"/>
            <w:vAlign w:val="center"/>
          </w:tcPr>
          <w:p>
            <w:pPr>
              <w:widowControl/>
              <w:snapToGrid w:val="0"/>
              <w:spacing w:line="440" w:lineRule="atLeast"/>
              <w:jc w:val="center"/>
              <w:rPr>
                <w:rFonts w:ascii="Helvetica" w:hAnsi="Helvetica" w:cs="Helvetica"/>
                <w:kern w:val="0"/>
                <w:sz w:val="24"/>
              </w:rPr>
            </w:pPr>
            <w:r>
              <w:rPr>
                <w:rFonts w:hint="eastAsia" w:ascii="Helvetica" w:hAnsi="Helvetica" w:cs="Helvetic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76" w:type="dxa"/>
            <w:vAlign w:val="center"/>
          </w:tcPr>
          <w:p>
            <w:pPr>
              <w:widowControl/>
              <w:snapToGrid w:val="0"/>
              <w:spacing w:line="440" w:lineRule="atLeast"/>
              <w:jc w:val="center"/>
              <w:rPr>
                <w:rFonts w:ascii="Helvetica" w:hAnsi="Helvetica" w:cs="Helvetica"/>
                <w:kern w:val="0"/>
                <w:sz w:val="24"/>
              </w:rPr>
            </w:pPr>
          </w:p>
        </w:tc>
        <w:tc>
          <w:tcPr>
            <w:tcW w:w="2475" w:type="dxa"/>
            <w:vAlign w:val="center"/>
          </w:tcPr>
          <w:p>
            <w:pPr>
              <w:widowControl/>
              <w:snapToGrid w:val="0"/>
              <w:spacing w:line="440" w:lineRule="atLeast"/>
              <w:jc w:val="center"/>
              <w:rPr>
                <w:rFonts w:ascii="Helvetica" w:hAnsi="Helvetica" w:cs="Helvetica"/>
                <w:kern w:val="0"/>
                <w:sz w:val="24"/>
              </w:rPr>
            </w:pPr>
          </w:p>
        </w:tc>
        <w:tc>
          <w:tcPr>
            <w:tcW w:w="2206" w:type="dxa"/>
            <w:vAlign w:val="center"/>
          </w:tcPr>
          <w:p>
            <w:pPr>
              <w:widowControl/>
              <w:snapToGrid w:val="0"/>
              <w:spacing w:line="440" w:lineRule="atLeast"/>
              <w:jc w:val="center"/>
              <w:rPr>
                <w:rFonts w:ascii="Helvetica" w:hAnsi="Helvetica" w:cs="Helvetica"/>
                <w:kern w:val="0"/>
                <w:sz w:val="24"/>
              </w:rPr>
            </w:pPr>
          </w:p>
        </w:tc>
        <w:tc>
          <w:tcPr>
            <w:tcW w:w="1497" w:type="dxa"/>
            <w:vAlign w:val="center"/>
          </w:tcPr>
          <w:p>
            <w:pPr>
              <w:widowControl/>
              <w:snapToGrid w:val="0"/>
              <w:spacing w:line="440" w:lineRule="atLeast"/>
              <w:jc w:val="center"/>
              <w:rPr>
                <w:rFonts w:ascii="Helvetica" w:hAnsi="Helvetica" w:cs="Helvetica"/>
                <w:kern w:val="0"/>
                <w:sz w:val="24"/>
              </w:rPr>
            </w:pPr>
          </w:p>
        </w:tc>
        <w:tc>
          <w:tcPr>
            <w:tcW w:w="1134" w:type="dxa"/>
            <w:vAlign w:val="center"/>
          </w:tcPr>
          <w:p>
            <w:pPr>
              <w:widowControl/>
              <w:snapToGrid w:val="0"/>
              <w:spacing w:line="440" w:lineRule="atLeast"/>
              <w:jc w:val="center"/>
              <w:rPr>
                <w:rFonts w:ascii="Helvetica" w:hAnsi="Helvetica" w:cs="Helvetica"/>
                <w:kern w:val="0"/>
                <w:sz w:val="24"/>
              </w:rPr>
            </w:pPr>
          </w:p>
        </w:tc>
      </w:tr>
    </w:tbl>
    <w:tbl>
      <w:tblPr>
        <w:tblStyle w:val="13"/>
        <w:tblpPr w:leftFromText="181" w:rightFromText="181" w:vertAnchor="text" w:horzAnchor="page" w:tblpX="1785" w:tblpY="124"/>
        <w:tblOverlap w:val="never"/>
        <w:tblW w:w="8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475"/>
        <w:gridCol w:w="2206"/>
        <w:gridCol w:w="1497"/>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876" w:type="dxa"/>
          </w:tcPr>
          <w:p>
            <w:pPr>
              <w:widowControl/>
              <w:snapToGrid w:val="0"/>
              <w:spacing w:line="440" w:lineRule="atLeast"/>
              <w:jc w:val="center"/>
              <w:rPr>
                <w:rFonts w:ascii="Helvetica" w:hAnsi="Helvetica" w:cs="Helvetica"/>
                <w:kern w:val="0"/>
                <w:sz w:val="24"/>
              </w:rPr>
            </w:pPr>
            <w:r>
              <w:rPr>
                <w:rFonts w:hint="eastAsia" w:ascii="Helvetica" w:hAnsi="Helvetica" w:cs="Helvetica"/>
                <w:kern w:val="0"/>
                <w:sz w:val="24"/>
              </w:rPr>
              <w:t>编号</w:t>
            </w:r>
          </w:p>
        </w:tc>
        <w:tc>
          <w:tcPr>
            <w:tcW w:w="2475" w:type="dxa"/>
          </w:tcPr>
          <w:p>
            <w:pPr>
              <w:widowControl/>
              <w:snapToGrid w:val="0"/>
              <w:spacing w:line="440" w:lineRule="atLeast"/>
              <w:jc w:val="center"/>
              <w:rPr>
                <w:rFonts w:ascii="Helvetica" w:hAnsi="Helvetica" w:cs="Helvetica"/>
                <w:kern w:val="0"/>
                <w:sz w:val="24"/>
              </w:rPr>
            </w:pPr>
            <w:r>
              <w:rPr>
                <w:rFonts w:ascii="Helvetica" w:hAnsi="Helvetica" w:cs="Helvetica"/>
                <w:kern w:val="0"/>
                <w:sz w:val="24"/>
              </w:rPr>
              <w:t>慰问品</w:t>
            </w:r>
            <w:r>
              <w:rPr>
                <w:rFonts w:hint="eastAsia" w:ascii="Helvetica" w:hAnsi="Helvetica" w:cs="Helvetica"/>
                <w:kern w:val="0"/>
                <w:sz w:val="24"/>
              </w:rPr>
              <w:t>名称</w:t>
            </w:r>
          </w:p>
        </w:tc>
        <w:tc>
          <w:tcPr>
            <w:tcW w:w="2206" w:type="dxa"/>
          </w:tcPr>
          <w:p>
            <w:pPr>
              <w:widowControl/>
              <w:snapToGrid w:val="0"/>
              <w:spacing w:line="440" w:lineRule="atLeast"/>
              <w:jc w:val="center"/>
              <w:rPr>
                <w:rFonts w:ascii="Helvetica" w:hAnsi="Helvetica" w:cs="Helvetica"/>
                <w:kern w:val="0"/>
                <w:sz w:val="24"/>
              </w:rPr>
            </w:pPr>
            <w:r>
              <w:rPr>
                <w:rFonts w:hint="eastAsia" w:ascii="Helvetica" w:hAnsi="Helvetica" w:cs="Helvetica"/>
                <w:kern w:val="0"/>
                <w:sz w:val="24"/>
              </w:rPr>
              <w:t>规格</w:t>
            </w:r>
          </w:p>
        </w:tc>
        <w:tc>
          <w:tcPr>
            <w:tcW w:w="1497" w:type="dxa"/>
          </w:tcPr>
          <w:p>
            <w:pPr>
              <w:widowControl/>
              <w:snapToGrid w:val="0"/>
              <w:spacing w:line="440" w:lineRule="atLeast"/>
              <w:jc w:val="center"/>
              <w:rPr>
                <w:rFonts w:ascii="Helvetica" w:hAnsi="Helvetica" w:cs="Helvetica"/>
                <w:kern w:val="0"/>
                <w:sz w:val="24"/>
              </w:rPr>
            </w:pPr>
            <w:r>
              <w:rPr>
                <w:rFonts w:hint="eastAsia" w:ascii="Helvetica" w:hAnsi="Helvetica" w:cs="Helvetica"/>
                <w:kern w:val="0"/>
                <w:sz w:val="24"/>
              </w:rPr>
              <w:t>售价</w:t>
            </w:r>
          </w:p>
        </w:tc>
        <w:tc>
          <w:tcPr>
            <w:tcW w:w="1134" w:type="dxa"/>
          </w:tcPr>
          <w:p>
            <w:pPr>
              <w:widowControl/>
              <w:snapToGrid w:val="0"/>
              <w:spacing w:line="440" w:lineRule="atLeast"/>
              <w:jc w:val="center"/>
              <w:rPr>
                <w:rFonts w:ascii="Helvetica" w:hAnsi="Helvetica" w:cs="Helvetica"/>
                <w:kern w:val="0"/>
                <w:sz w:val="24"/>
              </w:rPr>
            </w:pPr>
            <w:r>
              <w:rPr>
                <w:rFonts w:hint="eastAsia" w:ascii="Helvetica" w:hAnsi="Helvetica" w:cs="Helvetica"/>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876" w:type="dxa"/>
          </w:tcPr>
          <w:p>
            <w:pPr>
              <w:widowControl/>
              <w:snapToGrid w:val="0"/>
              <w:spacing w:line="440" w:lineRule="atLeast"/>
              <w:jc w:val="center"/>
              <w:rPr>
                <w:rFonts w:ascii="Helvetica" w:hAnsi="Helvetica" w:cs="Helvetica"/>
                <w:kern w:val="0"/>
                <w:sz w:val="24"/>
              </w:rPr>
            </w:pPr>
          </w:p>
        </w:tc>
        <w:tc>
          <w:tcPr>
            <w:tcW w:w="2475" w:type="dxa"/>
          </w:tcPr>
          <w:p>
            <w:pPr>
              <w:widowControl/>
              <w:snapToGrid w:val="0"/>
              <w:spacing w:line="440" w:lineRule="atLeast"/>
              <w:jc w:val="center"/>
              <w:rPr>
                <w:rFonts w:ascii="Helvetica" w:hAnsi="Helvetica" w:cs="Helvetica"/>
                <w:kern w:val="0"/>
                <w:sz w:val="24"/>
              </w:rPr>
            </w:pPr>
          </w:p>
        </w:tc>
        <w:tc>
          <w:tcPr>
            <w:tcW w:w="2206" w:type="dxa"/>
          </w:tcPr>
          <w:p>
            <w:pPr>
              <w:widowControl/>
              <w:snapToGrid w:val="0"/>
              <w:spacing w:line="440" w:lineRule="atLeast"/>
              <w:jc w:val="center"/>
              <w:rPr>
                <w:rFonts w:ascii="Helvetica" w:hAnsi="Helvetica" w:cs="Helvetica"/>
                <w:kern w:val="0"/>
                <w:sz w:val="24"/>
              </w:rPr>
            </w:pPr>
          </w:p>
        </w:tc>
        <w:tc>
          <w:tcPr>
            <w:tcW w:w="1497" w:type="dxa"/>
          </w:tcPr>
          <w:p>
            <w:pPr>
              <w:widowControl/>
              <w:snapToGrid w:val="0"/>
              <w:spacing w:line="440" w:lineRule="atLeast"/>
              <w:jc w:val="center"/>
              <w:rPr>
                <w:rFonts w:ascii="Helvetica" w:hAnsi="Helvetica" w:cs="Helvetica"/>
                <w:kern w:val="0"/>
                <w:sz w:val="24"/>
              </w:rPr>
            </w:pPr>
          </w:p>
        </w:tc>
        <w:tc>
          <w:tcPr>
            <w:tcW w:w="1134" w:type="dxa"/>
          </w:tcPr>
          <w:p>
            <w:pPr>
              <w:widowControl/>
              <w:snapToGrid w:val="0"/>
              <w:spacing w:line="440" w:lineRule="atLeast"/>
              <w:jc w:val="center"/>
              <w:rPr>
                <w:rFonts w:ascii="Helvetica" w:hAnsi="Helvetica" w:cs="Helvetic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876" w:type="dxa"/>
          </w:tcPr>
          <w:p>
            <w:pPr>
              <w:widowControl/>
              <w:snapToGrid w:val="0"/>
              <w:spacing w:line="440" w:lineRule="atLeast"/>
              <w:jc w:val="center"/>
              <w:rPr>
                <w:rFonts w:ascii="Helvetica" w:hAnsi="Helvetica" w:cs="Helvetica"/>
                <w:kern w:val="0"/>
                <w:sz w:val="24"/>
              </w:rPr>
            </w:pPr>
          </w:p>
        </w:tc>
        <w:tc>
          <w:tcPr>
            <w:tcW w:w="2475" w:type="dxa"/>
          </w:tcPr>
          <w:p>
            <w:pPr>
              <w:widowControl/>
              <w:snapToGrid w:val="0"/>
              <w:spacing w:line="440" w:lineRule="atLeast"/>
              <w:jc w:val="center"/>
              <w:rPr>
                <w:rFonts w:ascii="Helvetica" w:hAnsi="Helvetica" w:cs="Helvetica"/>
                <w:kern w:val="0"/>
                <w:sz w:val="24"/>
              </w:rPr>
            </w:pPr>
          </w:p>
        </w:tc>
        <w:tc>
          <w:tcPr>
            <w:tcW w:w="2206" w:type="dxa"/>
          </w:tcPr>
          <w:p>
            <w:pPr>
              <w:widowControl/>
              <w:snapToGrid w:val="0"/>
              <w:spacing w:line="440" w:lineRule="atLeast"/>
              <w:jc w:val="center"/>
              <w:rPr>
                <w:rFonts w:ascii="Helvetica" w:hAnsi="Helvetica" w:cs="Helvetica"/>
                <w:kern w:val="0"/>
                <w:sz w:val="24"/>
              </w:rPr>
            </w:pPr>
          </w:p>
        </w:tc>
        <w:tc>
          <w:tcPr>
            <w:tcW w:w="1497" w:type="dxa"/>
          </w:tcPr>
          <w:p>
            <w:pPr>
              <w:widowControl/>
              <w:snapToGrid w:val="0"/>
              <w:spacing w:line="440" w:lineRule="atLeast"/>
              <w:jc w:val="center"/>
              <w:rPr>
                <w:rFonts w:ascii="Helvetica" w:hAnsi="Helvetica" w:cs="Helvetica"/>
                <w:kern w:val="0"/>
                <w:sz w:val="24"/>
              </w:rPr>
            </w:pPr>
          </w:p>
        </w:tc>
        <w:tc>
          <w:tcPr>
            <w:tcW w:w="1134" w:type="dxa"/>
          </w:tcPr>
          <w:p>
            <w:pPr>
              <w:widowControl/>
              <w:snapToGrid w:val="0"/>
              <w:spacing w:line="440" w:lineRule="atLeast"/>
              <w:jc w:val="center"/>
              <w:rPr>
                <w:rFonts w:ascii="Helvetica" w:hAnsi="Helvetica" w:cs="Helvetic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trPr>
        <w:tc>
          <w:tcPr>
            <w:tcW w:w="876" w:type="dxa"/>
            <w:vAlign w:val="center"/>
          </w:tcPr>
          <w:p>
            <w:pPr>
              <w:widowControl/>
              <w:snapToGrid w:val="0"/>
              <w:spacing w:line="440" w:lineRule="atLeast"/>
              <w:jc w:val="center"/>
              <w:rPr>
                <w:rFonts w:ascii="Helvetica" w:hAnsi="Helvetica" w:cs="Helvetica"/>
                <w:kern w:val="0"/>
                <w:sz w:val="24"/>
              </w:rPr>
            </w:pPr>
            <w:r>
              <w:rPr>
                <w:rFonts w:hint="eastAsia" w:ascii="Helvetica" w:hAnsi="Helvetica" w:cs="Helvetica"/>
                <w:kern w:val="0"/>
                <w:sz w:val="24"/>
              </w:rPr>
              <w:t>……</w:t>
            </w:r>
          </w:p>
        </w:tc>
        <w:tc>
          <w:tcPr>
            <w:tcW w:w="2475" w:type="dxa"/>
            <w:vAlign w:val="center"/>
          </w:tcPr>
          <w:p>
            <w:pPr>
              <w:widowControl/>
              <w:snapToGrid w:val="0"/>
              <w:spacing w:line="440" w:lineRule="atLeast"/>
              <w:jc w:val="center"/>
              <w:rPr>
                <w:rFonts w:ascii="Helvetica" w:hAnsi="Helvetica" w:cs="Helvetica"/>
                <w:kern w:val="0"/>
                <w:sz w:val="24"/>
              </w:rPr>
            </w:pPr>
            <w:r>
              <w:rPr>
                <w:rFonts w:hint="eastAsia" w:ascii="Helvetica" w:hAnsi="Helvetica" w:cs="Helvetica"/>
                <w:kern w:val="0"/>
                <w:sz w:val="24"/>
              </w:rPr>
              <w:t>…………</w:t>
            </w:r>
          </w:p>
        </w:tc>
        <w:tc>
          <w:tcPr>
            <w:tcW w:w="2206" w:type="dxa"/>
            <w:vAlign w:val="center"/>
          </w:tcPr>
          <w:p>
            <w:pPr>
              <w:widowControl/>
              <w:snapToGrid w:val="0"/>
              <w:spacing w:line="440" w:lineRule="atLeast"/>
              <w:jc w:val="center"/>
              <w:rPr>
                <w:rFonts w:ascii="Helvetica" w:hAnsi="Helvetica" w:cs="Helvetica"/>
                <w:kern w:val="0"/>
                <w:sz w:val="24"/>
              </w:rPr>
            </w:pPr>
            <w:r>
              <w:rPr>
                <w:rFonts w:hint="eastAsia" w:ascii="Helvetica" w:hAnsi="Helvetica" w:cs="Helvetica"/>
                <w:kern w:val="0"/>
                <w:sz w:val="24"/>
              </w:rPr>
              <w:t>…………</w:t>
            </w:r>
          </w:p>
        </w:tc>
        <w:tc>
          <w:tcPr>
            <w:tcW w:w="1497" w:type="dxa"/>
            <w:vAlign w:val="center"/>
          </w:tcPr>
          <w:p>
            <w:pPr>
              <w:widowControl/>
              <w:snapToGrid w:val="0"/>
              <w:spacing w:line="440" w:lineRule="atLeast"/>
              <w:jc w:val="center"/>
              <w:rPr>
                <w:rFonts w:ascii="Helvetica" w:hAnsi="Helvetica" w:cs="Helvetica"/>
                <w:kern w:val="0"/>
                <w:sz w:val="24"/>
              </w:rPr>
            </w:pPr>
            <w:r>
              <w:rPr>
                <w:rFonts w:hint="eastAsia" w:ascii="Helvetica" w:hAnsi="Helvetica" w:cs="Helvetica"/>
                <w:kern w:val="0"/>
                <w:sz w:val="24"/>
              </w:rPr>
              <w:t>…………</w:t>
            </w:r>
          </w:p>
        </w:tc>
        <w:tc>
          <w:tcPr>
            <w:tcW w:w="1134" w:type="dxa"/>
            <w:vAlign w:val="center"/>
          </w:tcPr>
          <w:p>
            <w:pPr>
              <w:widowControl/>
              <w:snapToGrid w:val="0"/>
              <w:spacing w:line="440" w:lineRule="atLeast"/>
              <w:jc w:val="center"/>
              <w:rPr>
                <w:rFonts w:ascii="Helvetica" w:hAnsi="Helvetica" w:cs="Helvetica"/>
                <w:kern w:val="0"/>
                <w:sz w:val="24"/>
              </w:rPr>
            </w:pPr>
            <w:r>
              <w:rPr>
                <w:rFonts w:hint="eastAsia" w:ascii="Helvetica" w:hAnsi="Helvetica" w:cs="Helvetic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876" w:type="dxa"/>
            <w:vAlign w:val="center"/>
          </w:tcPr>
          <w:p>
            <w:pPr>
              <w:widowControl/>
              <w:snapToGrid w:val="0"/>
              <w:spacing w:line="440" w:lineRule="atLeast"/>
              <w:jc w:val="center"/>
              <w:rPr>
                <w:rFonts w:ascii="Helvetica" w:hAnsi="Helvetica" w:cs="Helvetica"/>
                <w:kern w:val="0"/>
                <w:sz w:val="24"/>
              </w:rPr>
            </w:pPr>
          </w:p>
        </w:tc>
        <w:tc>
          <w:tcPr>
            <w:tcW w:w="2475" w:type="dxa"/>
            <w:vAlign w:val="center"/>
          </w:tcPr>
          <w:p>
            <w:pPr>
              <w:widowControl/>
              <w:snapToGrid w:val="0"/>
              <w:spacing w:line="440" w:lineRule="atLeast"/>
              <w:jc w:val="center"/>
              <w:rPr>
                <w:rFonts w:ascii="Helvetica" w:hAnsi="Helvetica" w:cs="Helvetica"/>
                <w:kern w:val="0"/>
                <w:sz w:val="24"/>
              </w:rPr>
            </w:pPr>
          </w:p>
        </w:tc>
        <w:tc>
          <w:tcPr>
            <w:tcW w:w="2206" w:type="dxa"/>
            <w:vAlign w:val="center"/>
          </w:tcPr>
          <w:p>
            <w:pPr>
              <w:widowControl/>
              <w:snapToGrid w:val="0"/>
              <w:spacing w:line="440" w:lineRule="atLeast"/>
              <w:jc w:val="center"/>
              <w:rPr>
                <w:rFonts w:ascii="Helvetica" w:hAnsi="Helvetica" w:cs="Helvetica"/>
                <w:kern w:val="0"/>
                <w:sz w:val="24"/>
              </w:rPr>
            </w:pPr>
          </w:p>
        </w:tc>
        <w:tc>
          <w:tcPr>
            <w:tcW w:w="1497" w:type="dxa"/>
            <w:vAlign w:val="center"/>
          </w:tcPr>
          <w:p>
            <w:pPr>
              <w:widowControl/>
              <w:snapToGrid w:val="0"/>
              <w:spacing w:line="440" w:lineRule="atLeast"/>
              <w:jc w:val="center"/>
              <w:rPr>
                <w:rFonts w:ascii="Helvetica" w:hAnsi="Helvetica" w:cs="Helvetica"/>
                <w:kern w:val="0"/>
                <w:sz w:val="24"/>
              </w:rPr>
            </w:pPr>
          </w:p>
        </w:tc>
        <w:tc>
          <w:tcPr>
            <w:tcW w:w="1134" w:type="dxa"/>
            <w:vAlign w:val="center"/>
          </w:tcPr>
          <w:p>
            <w:pPr>
              <w:widowControl/>
              <w:snapToGrid w:val="0"/>
              <w:spacing w:line="440" w:lineRule="atLeast"/>
              <w:jc w:val="center"/>
              <w:rPr>
                <w:rFonts w:ascii="Helvetica" w:hAnsi="Helvetica" w:cs="Helvetica"/>
                <w:kern w:val="0"/>
                <w:sz w:val="24"/>
              </w:rPr>
            </w:pPr>
          </w:p>
        </w:tc>
      </w:tr>
    </w:tbl>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r>
        <w:rPr>
          <w:rFonts w:hint="eastAsia" w:ascii="宋体" w:hAnsi="宋体"/>
          <w:b/>
          <w:sz w:val="24"/>
        </w:rPr>
        <w:t>组合二</w:t>
      </w:r>
    </w:p>
    <w:p>
      <w:pPr>
        <w:rPr>
          <w:rFonts w:ascii="宋体" w:hAnsi="宋体"/>
          <w:sz w:val="24"/>
        </w:rPr>
      </w:pPr>
    </w:p>
    <w:p>
      <w:pPr>
        <w:jc w:val="center"/>
        <w:rPr>
          <w:rFonts w:ascii="Helvetica" w:hAnsi="Helvetica" w:cs="Helvetica"/>
          <w:b/>
          <w:bCs/>
          <w:kern w:val="0"/>
          <w:sz w:val="24"/>
        </w:rPr>
      </w:pPr>
    </w:p>
    <w:p>
      <w:pPr>
        <w:jc w:val="center"/>
        <w:rPr>
          <w:rFonts w:ascii="Helvetica" w:hAnsi="Helvetica" w:cs="Helvetica"/>
          <w:b/>
          <w:bCs/>
          <w:kern w:val="0"/>
          <w:sz w:val="24"/>
        </w:rPr>
      </w:pPr>
    </w:p>
    <w:p>
      <w:pPr>
        <w:ind w:firstLine="539" w:firstLineChars="257"/>
        <w:jc w:val="right"/>
        <w:rPr>
          <w:rFonts w:cs="宋体"/>
          <w:kern w:val="0"/>
          <w:szCs w:val="21"/>
        </w:rPr>
        <w:sectPr>
          <w:headerReference r:id="rId3" w:type="default"/>
          <w:footerReference r:id="rId4" w:type="default"/>
          <w:footerReference r:id="rId5" w:type="even"/>
          <w:pgSz w:w="11906" w:h="16838"/>
          <w:pgMar w:top="1247" w:right="1418" w:bottom="1247" w:left="1418" w:header="851" w:footer="992" w:gutter="0"/>
          <w:cols w:space="720" w:num="1"/>
          <w:docGrid w:type="lines" w:linePitch="312" w:charSpace="0"/>
        </w:sectPr>
      </w:pPr>
    </w:p>
    <w:p>
      <w:pPr>
        <w:jc w:val="center"/>
        <w:rPr>
          <w:rFonts w:ascii="宋体" w:hAnsi="宋体" w:cs="宋体"/>
          <w:b/>
          <w:color w:val="000000"/>
          <w:sz w:val="32"/>
        </w:rPr>
      </w:pPr>
      <w:r>
        <w:rPr>
          <w:rFonts w:hint="eastAsia" w:ascii="宋体" w:hAnsi="宋体" w:cs="宋体"/>
          <w:b/>
          <w:color w:val="000000"/>
          <w:sz w:val="32"/>
        </w:rPr>
        <w:t>附件三    固定商品报价表</w:t>
      </w:r>
    </w:p>
    <w:p>
      <w:pPr>
        <w:rPr>
          <w:rFonts w:ascii="宋体" w:hAnsi="宋体"/>
          <w:b/>
          <w:sz w:val="24"/>
        </w:rPr>
      </w:pPr>
    </w:p>
    <w:p>
      <w:pPr>
        <w:rPr>
          <w:rFonts w:ascii="宋体" w:hAnsi="宋体"/>
          <w:szCs w:val="21"/>
        </w:rPr>
      </w:pPr>
      <w:r>
        <w:rPr>
          <w:rFonts w:hint="eastAsia" w:ascii="宋体" w:hAnsi="宋体"/>
          <w:szCs w:val="21"/>
        </w:rPr>
        <w:t>填表说明：①</w:t>
      </w:r>
      <w:r>
        <w:rPr>
          <w:rFonts w:hint="eastAsia" w:ascii="宋体" w:hAnsi="宋体"/>
          <w:b/>
          <w:bCs/>
          <w:szCs w:val="21"/>
        </w:rPr>
        <w:t>投标单位根据各自旗舰店相应商品现行正常零售价（非促销价、印花价等优惠价）进行报价。如有弄虚作假，此项得分为0分。②固定商品报价低于15样的投标单位为无效报价，此项得分为0分。</w:t>
      </w:r>
      <w:r>
        <w:rPr>
          <w:rFonts w:ascii="宋体" w:hAnsi="宋体"/>
          <w:b/>
          <w:bCs/>
          <w:szCs w:val="21"/>
        </w:rPr>
        <w:fldChar w:fldCharType="begin"/>
      </w:r>
      <w:r>
        <w:rPr>
          <w:rFonts w:ascii="宋体" w:hAnsi="宋体"/>
          <w:b/>
          <w:bCs/>
          <w:szCs w:val="21"/>
        </w:rPr>
        <w:instrText xml:space="preserve"> </w:instrText>
      </w:r>
      <w:r>
        <w:rPr>
          <w:rFonts w:hint="eastAsia" w:ascii="宋体" w:hAnsi="宋体"/>
          <w:b/>
          <w:bCs/>
          <w:szCs w:val="21"/>
        </w:rPr>
        <w:instrText xml:space="preserve">= 3 \* GB3</w:instrText>
      </w:r>
      <w:r>
        <w:rPr>
          <w:rFonts w:ascii="宋体" w:hAnsi="宋体"/>
          <w:b/>
          <w:bCs/>
          <w:szCs w:val="21"/>
        </w:rPr>
        <w:instrText xml:space="preserve"> </w:instrText>
      </w:r>
      <w:r>
        <w:rPr>
          <w:rFonts w:ascii="宋体" w:hAnsi="宋体"/>
          <w:b/>
          <w:bCs/>
          <w:szCs w:val="21"/>
        </w:rPr>
        <w:fldChar w:fldCharType="separate"/>
      </w:r>
      <w:r>
        <w:rPr>
          <w:rFonts w:hint="eastAsia" w:ascii="宋体" w:hAnsi="宋体"/>
          <w:b/>
          <w:bCs/>
          <w:szCs w:val="21"/>
        </w:rPr>
        <w:t>③</w:t>
      </w:r>
      <w:r>
        <w:rPr>
          <w:rFonts w:ascii="宋体" w:hAnsi="宋体"/>
          <w:b/>
          <w:bCs/>
          <w:szCs w:val="21"/>
        </w:rPr>
        <w:fldChar w:fldCharType="end"/>
      </w:r>
      <w:r>
        <w:rPr>
          <w:rFonts w:hint="eastAsia" w:ascii="宋体" w:hAnsi="宋体"/>
          <w:b/>
          <w:bCs/>
          <w:szCs w:val="21"/>
        </w:rPr>
        <w:t>投标单位一旦中标</w:t>
      </w:r>
      <w:r>
        <w:rPr>
          <w:rFonts w:hint="eastAsia" w:ascii="宋体" w:hAnsi="宋体"/>
          <w:szCs w:val="21"/>
        </w:rPr>
        <w:t>，</w:t>
      </w:r>
      <w:r>
        <w:rPr>
          <w:rFonts w:hint="eastAsia" w:ascii="宋体" w:hAnsi="宋体"/>
          <w:b/>
          <w:bCs/>
          <w:szCs w:val="21"/>
        </w:rPr>
        <w:t>2021年度南通卫生高职校工会会员选购本报价表上物品以此报价为最高限价。</w:t>
      </w:r>
    </w:p>
    <w:tbl>
      <w:tblPr>
        <w:tblStyle w:val="13"/>
        <w:tblW w:w="8341" w:type="dxa"/>
        <w:jc w:val="center"/>
        <w:tblLayout w:type="fixed"/>
        <w:tblCellMar>
          <w:top w:w="0" w:type="dxa"/>
          <w:left w:w="0" w:type="dxa"/>
          <w:bottom w:w="0" w:type="dxa"/>
          <w:right w:w="0" w:type="dxa"/>
        </w:tblCellMar>
      </w:tblPr>
      <w:tblGrid>
        <w:gridCol w:w="781"/>
        <w:gridCol w:w="1220"/>
        <w:gridCol w:w="1280"/>
        <w:gridCol w:w="3439"/>
        <w:gridCol w:w="1621"/>
      </w:tblGrid>
      <w:tr>
        <w:tblPrEx>
          <w:tblCellMar>
            <w:top w:w="0" w:type="dxa"/>
            <w:left w:w="0" w:type="dxa"/>
            <w:bottom w:w="0" w:type="dxa"/>
            <w:right w:w="0" w:type="dxa"/>
          </w:tblCellMar>
        </w:tblPrEx>
        <w:trPr>
          <w:trHeight w:val="300" w:hRule="atLeast"/>
          <w:jc w:val="center"/>
        </w:trPr>
        <w:tc>
          <w:tcPr>
            <w:tcW w:w="78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序号</w:t>
            </w:r>
          </w:p>
        </w:tc>
        <w:tc>
          <w:tcPr>
            <w:tcW w:w="122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品类</w:t>
            </w:r>
          </w:p>
        </w:tc>
        <w:tc>
          <w:tcPr>
            <w:tcW w:w="128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品牌</w:t>
            </w:r>
          </w:p>
        </w:tc>
        <w:tc>
          <w:tcPr>
            <w:tcW w:w="3439"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规格</w:t>
            </w:r>
          </w:p>
        </w:tc>
        <w:tc>
          <w:tcPr>
            <w:tcW w:w="162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商品售价</w:t>
            </w:r>
          </w:p>
        </w:tc>
      </w:tr>
      <w:tr>
        <w:tblPrEx>
          <w:tblCellMar>
            <w:top w:w="0" w:type="dxa"/>
            <w:left w:w="0" w:type="dxa"/>
            <w:bottom w:w="0" w:type="dxa"/>
            <w:right w:w="0" w:type="dxa"/>
          </w:tblCellMar>
        </w:tblPrEx>
        <w:trPr>
          <w:trHeight w:val="330" w:hRule="atLeast"/>
          <w:jc w:val="center"/>
        </w:trPr>
        <w:tc>
          <w:tcPr>
            <w:tcW w:w="78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widowControl/>
              <w:jc w:val="center"/>
              <w:textAlignment w:val="top"/>
              <w:rPr>
                <w:rFonts w:ascii="宋体" w:hAnsi="宋体" w:cs="宋体"/>
                <w:color w:val="000000"/>
                <w:sz w:val="24"/>
              </w:rPr>
            </w:pPr>
            <w:r>
              <w:rPr>
                <w:rFonts w:hint="eastAsia" w:ascii="宋体" w:hAnsi="宋体" w:cs="宋体"/>
                <w:color w:val="000000"/>
                <w:kern w:val="0"/>
                <w:sz w:val="24"/>
              </w:rPr>
              <w:t>1</w:t>
            </w:r>
          </w:p>
        </w:tc>
        <w:tc>
          <w:tcPr>
            <w:tcW w:w="122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大米</w:t>
            </w:r>
          </w:p>
        </w:tc>
        <w:tc>
          <w:tcPr>
            <w:tcW w:w="128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福临门</w:t>
            </w:r>
          </w:p>
        </w:tc>
        <w:tc>
          <w:tcPr>
            <w:tcW w:w="3439"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苏软香10kg</w:t>
            </w:r>
          </w:p>
        </w:tc>
        <w:tc>
          <w:tcPr>
            <w:tcW w:w="162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jc w:val="center"/>
              <w:rPr>
                <w:rFonts w:ascii="宋体" w:hAnsi="宋体" w:cs="宋体"/>
                <w:color w:val="000000"/>
                <w:sz w:val="24"/>
              </w:rPr>
            </w:pPr>
          </w:p>
        </w:tc>
      </w:tr>
      <w:tr>
        <w:tblPrEx>
          <w:tblCellMar>
            <w:top w:w="0" w:type="dxa"/>
            <w:left w:w="0" w:type="dxa"/>
            <w:bottom w:w="0" w:type="dxa"/>
            <w:right w:w="0" w:type="dxa"/>
          </w:tblCellMar>
        </w:tblPrEx>
        <w:trPr>
          <w:trHeight w:val="330" w:hRule="atLeast"/>
          <w:jc w:val="center"/>
        </w:trPr>
        <w:tc>
          <w:tcPr>
            <w:tcW w:w="78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widowControl/>
              <w:jc w:val="center"/>
              <w:textAlignment w:val="top"/>
              <w:rPr>
                <w:rFonts w:ascii="宋体" w:hAnsi="宋体" w:cs="宋体"/>
                <w:color w:val="000000"/>
                <w:sz w:val="24"/>
              </w:rPr>
            </w:pPr>
            <w:r>
              <w:rPr>
                <w:rFonts w:hint="eastAsia" w:ascii="宋体" w:hAnsi="宋体" w:cs="宋体"/>
                <w:color w:val="000000"/>
                <w:kern w:val="0"/>
                <w:sz w:val="24"/>
              </w:rPr>
              <w:t>2</w:t>
            </w:r>
          </w:p>
        </w:tc>
        <w:tc>
          <w:tcPr>
            <w:tcW w:w="122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食用油</w:t>
            </w:r>
          </w:p>
        </w:tc>
        <w:tc>
          <w:tcPr>
            <w:tcW w:w="128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鲁花</w:t>
            </w:r>
          </w:p>
        </w:tc>
        <w:tc>
          <w:tcPr>
            <w:tcW w:w="3439"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5S压榨一级花生油</w:t>
            </w:r>
            <w:r>
              <w:rPr>
                <w:rStyle w:val="30"/>
                <w:rFonts w:hint="eastAsia" w:ascii="宋体" w:hAnsi="宋体" w:cs="宋体"/>
              </w:rPr>
              <w:t>5L</w:t>
            </w:r>
          </w:p>
        </w:tc>
        <w:tc>
          <w:tcPr>
            <w:tcW w:w="162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jc w:val="center"/>
              <w:rPr>
                <w:rFonts w:ascii="宋体" w:hAnsi="宋体" w:cs="宋体"/>
                <w:color w:val="000000"/>
                <w:sz w:val="24"/>
              </w:rPr>
            </w:pPr>
          </w:p>
        </w:tc>
      </w:tr>
      <w:tr>
        <w:tblPrEx>
          <w:tblCellMar>
            <w:top w:w="0" w:type="dxa"/>
            <w:left w:w="0" w:type="dxa"/>
            <w:bottom w:w="0" w:type="dxa"/>
            <w:right w:w="0" w:type="dxa"/>
          </w:tblCellMar>
        </w:tblPrEx>
        <w:trPr>
          <w:trHeight w:val="330" w:hRule="atLeast"/>
          <w:jc w:val="center"/>
        </w:trPr>
        <w:tc>
          <w:tcPr>
            <w:tcW w:w="78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widowControl/>
              <w:jc w:val="center"/>
              <w:textAlignment w:val="top"/>
              <w:rPr>
                <w:rFonts w:ascii="宋体" w:hAnsi="宋体" w:cs="宋体"/>
                <w:color w:val="000000"/>
                <w:sz w:val="24"/>
              </w:rPr>
            </w:pPr>
            <w:r>
              <w:rPr>
                <w:rFonts w:hint="eastAsia" w:ascii="宋体" w:hAnsi="宋体" w:cs="宋体"/>
                <w:color w:val="000000"/>
                <w:kern w:val="0"/>
                <w:sz w:val="24"/>
              </w:rPr>
              <w:t>3</w:t>
            </w:r>
          </w:p>
        </w:tc>
        <w:tc>
          <w:tcPr>
            <w:tcW w:w="122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矿泉水</w:t>
            </w:r>
          </w:p>
        </w:tc>
        <w:tc>
          <w:tcPr>
            <w:tcW w:w="128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农夫山泉</w:t>
            </w:r>
          </w:p>
        </w:tc>
        <w:tc>
          <w:tcPr>
            <w:tcW w:w="3439"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550ml*24瓶/箱</w:t>
            </w:r>
          </w:p>
        </w:tc>
        <w:tc>
          <w:tcPr>
            <w:tcW w:w="162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jc w:val="center"/>
              <w:rPr>
                <w:rFonts w:ascii="宋体" w:hAnsi="宋体" w:cs="宋体"/>
                <w:color w:val="000000"/>
                <w:sz w:val="24"/>
              </w:rPr>
            </w:pPr>
          </w:p>
        </w:tc>
      </w:tr>
      <w:tr>
        <w:tblPrEx>
          <w:tblCellMar>
            <w:top w:w="0" w:type="dxa"/>
            <w:left w:w="0" w:type="dxa"/>
            <w:bottom w:w="0" w:type="dxa"/>
            <w:right w:w="0" w:type="dxa"/>
          </w:tblCellMar>
        </w:tblPrEx>
        <w:trPr>
          <w:trHeight w:val="330" w:hRule="atLeast"/>
          <w:jc w:val="center"/>
        </w:trPr>
        <w:tc>
          <w:tcPr>
            <w:tcW w:w="78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widowControl/>
              <w:jc w:val="center"/>
              <w:textAlignment w:val="top"/>
              <w:rPr>
                <w:rFonts w:ascii="宋体" w:hAnsi="宋体" w:cs="宋体"/>
                <w:color w:val="000000"/>
                <w:sz w:val="24"/>
              </w:rPr>
            </w:pPr>
            <w:r>
              <w:rPr>
                <w:rFonts w:hint="eastAsia" w:ascii="宋体" w:hAnsi="宋体" w:cs="宋体"/>
                <w:color w:val="000000"/>
                <w:kern w:val="0"/>
                <w:sz w:val="24"/>
              </w:rPr>
              <w:t>4</w:t>
            </w:r>
          </w:p>
        </w:tc>
        <w:tc>
          <w:tcPr>
            <w:tcW w:w="122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碳酸饮料</w:t>
            </w:r>
          </w:p>
        </w:tc>
        <w:tc>
          <w:tcPr>
            <w:tcW w:w="128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可口可乐</w:t>
            </w:r>
          </w:p>
        </w:tc>
        <w:tc>
          <w:tcPr>
            <w:tcW w:w="3439"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330ml*6听/扎</w:t>
            </w:r>
          </w:p>
        </w:tc>
        <w:tc>
          <w:tcPr>
            <w:tcW w:w="162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jc w:val="center"/>
              <w:rPr>
                <w:rFonts w:ascii="宋体" w:hAnsi="宋体" w:cs="宋体"/>
                <w:color w:val="000000"/>
                <w:sz w:val="24"/>
              </w:rPr>
            </w:pPr>
          </w:p>
        </w:tc>
      </w:tr>
      <w:tr>
        <w:tblPrEx>
          <w:tblCellMar>
            <w:top w:w="0" w:type="dxa"/>
            <w:left w:w="0" w:type="dxa"/>
            <w:bottom w:w="0" w:type="dxa"/>
            <w:right w:w="0" w:type="dxa"/>
          </w:tblCellMar>
        </w:tblPrEx>
        <w:trPr>
          <w:trHeight w:val="330" w:hRule="atLeast"/>
          <w:jc w:val="center"/>
        </w:trPr>
        <w:tc>
          <w:tcPr>
            <w:tcW w:w="78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widowControl/>
              <w:jc w:val="center"/>
              <w:textAlignment w:val="top"/>
              <w:rPr>
                <w:rFonts w:ascii="宋体" w:hAnsi="宋体" w:cs="宋体"/>
                <w:sz w:val="24"/>
              </w:rPr>
            </w:pPr>
            <w:r>
              <w:rPr>
                <w:rFonts w:hint="eastAsia" w:ascii="宋体" w:hAnsi="宋体" w:cs="宋体"/>
                <w:kern w:val="0"/>
                <w:sz w:val="24"/>
              </w:rPr>
              <w:t>5</w:t>
            </w:r>
          </w:p>
        </w:tc>
        <w:tc>
          <w:tcPr>
            <w:tcW w:w="122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饮料</w:t>
            </w:r>
          </w:p>
        </w:tc>
        <w:tc>
          <w:tcPr>
            <w:tcW w:w="128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汇源</w:t>
            </w:r>
          </w:p>
        </w:tc>
        <w:tc>
          <w:tcPr>
            <w:tcW w:w="3439"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Style w:val="30"/>
                <w:rFonts w:hint="eastAsia" w:ascii="宋体" w:hAnsi="宋体" w:cs="宋体"/>
                <w:color w:val="auto"/>
              </w:rPr>
              <w:t>汇源澄汁 1L/</w:t>
            </w:r>
            <w:r>
              <w:rPr>
                <w:rStyle w:val="31"/>
                <w:rFonts w:hint="default"/>
                <w:color w:val="auto"/>
              </w:rPr>
              <w:t>瓶</w:t>
            </w:r>
          </w:p>
        </w:tc>
        <w:tc>
          <w:tcPr>
            <w:tcW w:w="162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jc w:val="center"/>
              <w:rPr>
                <w:rFonts w:ascii="宋体" w:hAnsi="宋体" w:cs="宋体"/>
                <w:color w:val="000000"/>
                <w:sz w:val="24"/>
              </w:rPr>
            </w:pPr>
          </w:p>
        </w:tc>
      </w:tr>
      <w:tr>
        <w:tblPrEx>
          <w:tblCellMar>
            <w:top w:w="0" w:type="dxa"/>
            <w:left w:w="0" w:type="dxa"/>
            <w:bottom w:w="0" w:type="dxa"/>
            <w:right w:w="0" w:type="dxa"/>
          </w:tblCellMar>
        </w:tblPrEx>
        <w:trPr>
          <w:trHeight w:val="330" w:hRule="atLeast"/>
          <w:jc w:val="center"/>
        </w:trPr>
        <w:tc>
          <w:tcPr>
            <w:tcW w:w="78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widowControl/>
              <w:jc w:val="center"/>
              <w:textAlignment w:val="top"/>
              <w:rPr>
                <w:rFonts w:ascii="宋体" w:hAnsi="宋体" w:cs="宋体"/>
                <w:sz w:val="24"/>
              </w:rPr>
            </w:pPr>
            <w:r>
              <w:rPr>
                <w:rFonts w:hint="eastAsia" w:ascii="宋体" w:hAnsi="宋体" w:cs="宋体"/>
                <w:kern w:val="0"/>
                <w:sz w:val="24"/>
              </w:rPr>
              <w:t>6</w:t>
            </w:r>
          </w:p>
        </w:tc>
        <w:tc>
          <w:tcPr>
            <w:tcW w:w="122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保鲜袋</w:t>
            </w:r>
          </w:p>
        </w:tc>
        <w:tc>
          <w:tcPr>
            <w:tcW w:w="128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妙洁</w:t>
            </w:r>
          </w:p>
        </w:tc>
        <w:tc>
          <w:tcPr>
            <w:tcW w:w="3439"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点断式增厚中号200只30*20CM</w:t>
            </w:r>
          </w:p>
        </w:tc>
        <w:tc>
          <w:tcPr>
            <w:tcW w:w="162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jc w:val="center"/>
              <w:rPr>
                <w:rFonts w:ascii="宋体" w:hAnsi="宋体" w:cs="宋体"/>
                <w:color w:val="000000"/>
                <w:sz w:val="24"/>
              </w:rPr>
            </w:pPr>
          </w:p>
        </w:tc>
      </w:tr>
      <w:tr>
        <w:tblPrEx>
          <w:tblCellMar>
            <w:top w:w="0" w:type="dxa"/>
            <w:left w:w="0" w:type="dxa"/>
            <w:bottom w:w="0" w:type="dxa"/>
            <w:right w:w="0" w:type="dxa"/>
          </w:tblCellMar>
        </w:tblPrEx>
        <w:trPr>
          <w:trHeight w:val="330" w:hRule="atLeast"/>
          <w:jc w:val="center"/>
        </w:trPr>
        <w:tc>
          <w:tcPr>
            <w:tcW w:w="78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widowControl/>
              <w:jc w:val="center"/>
              <w:textAlignment w:val="top"/>
              <w:rPr>
                <w:rFonts w:ascii="宋体" w:hAnsi="宋体" w:cs="宋体"/>
                <w:sz w:val="24"/>
              </w:rPr>
            </w:pPr>
            <w:r>
              <w:rPr>
                <w:rFonts w:hint="eastAsia" w:ascii="宋体" w:hAnsi="宋体" w:cs="宋体"/>
                <w:kern w:val="0"/>
                <w:sz w:val="24"/>
              </w:rPr>
              <w:t>7</w:t>
            </w:r>
          </w:p>
        </w:tc>
        <w:tc>
          <w:tcPr>
            <w:tcW w:w="122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纯牛奶</w:t>
            </w:r>
          </w:p>
        </w:tc>
        <w:tc>
          <w:tcPr>
            <w:tcW w:w="128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特仑苏</w:t>
            </w:r>
          </w:p>
        </w:tc>
        <w:tc>
          <w:tcPr>
            <w:tcW w:w="3439"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250ml*12</w:t>
            </w:r>
            <w:r>
              <w:rPr>
                <w:rStyle w:val="32"/>
                <w:rFonts w:hint="eastAsia" w:ascii="宋体" w:hAnsi="宋体" w:eastAsia="宋体" w:cs="宋体"/>
                <w:color w:val="auto"/>
              </w:rPr>
              <w:t>盒</w:t>
            </w:r>
          </w:p>
        </w:tc>
        <w:tc>
          <w:tcPr>
            <w:tcW w:w="162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jc w:val="center"/>
              <w:rPr>
                <w:rFonts w:ascii="宋体" w:hAnsi="宋体" w:cs="宋体"/>
                <w:color w:val="000000"/>
                <w:sz w:val="24"/>
              </w:rPr>
            </w:pPr>
          </w:p>
        </w:tc>
      </w:tr>
      <w:tr>
        <w:tblPrEx>
          <w:tblCellMar>
            <w:top w:w="0" w:type="dxa"/>
            <w:left w:w="0" w:type="dxa"/>
            <w:bottom w:w="0" w:type="dxa"/>
            <w:right w:w="0" w:type="dxa"/>
          </w:tblCellMar>
        </w:tblPrEx>
        <w:trPr>
          <w:trHeight w:val="330" w:hRule="atLeast"/>
          <w:jc w:val="center"/>
        </w:trPr>
        <w:tc>
          <w:tcPr>
            <w:tcW w:w="78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widowControl/>
              <w:jc w:val="center"/>
              <w:textAlignment w:val="top"/>
              <w:rPr>
                <w:rFonts w:ascii="宋体" w:hAnsi="宋体" w:cs="宋体"/>
                <w:sz w:val="24"/>
              </w:rPr>
            </w:pPr>
            <w:r>
              <w:rPr>
                <w:rFonts w:hint="eastAsia" w:ascii="宋体" w:hAnsi="宋体" w:cs="宋体"/>
                <w:kern w:val="0"/>
                <w:sz w:val="24"/>
              </w:rPr>
              <w:t>8</w:t>
            </w:r>
          </w:p>
        </w:tc>
        <w:tc>
          <w:tcPr>
            <w:tcW w:w="122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酸牛奶</w:t>
            </w:r>
          </w:p>
        </w:tc>
        <w:tc>
          <w:tcPr>
            <w:tcW w:w="128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安慕希</w:t>
            </w:r>
          </w:p>
        </w:tc>
        <w:tc>
          <w:tcPr>
            <w:tcW w:w="3439"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205g*12</w:t>
            </w:r>
            <w:r>
              <w:rPr>
                <w:rStyle w:val="32"/>
                <w:rFonts w:hint="eastAsia" w:ascii="宋体" w:hAnsi="宋体" w:eastAsia="宋体" w:cs="宋体"/>
                <w:color w:val="auto"/>
              </w:rPr>
              <w:t>盒</w:t>
            </w:r>
          </w:p>
        </w:tc>
        <w:tc>
          <w:tcPr>
            <w:tcW w:w="162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jc w:val="center"/>
              <w:rPr>
                <w:rFonts w:ascii="宋体" w:hAnsi="宋体" w:cs="宋体"/>
                <w:color w:val="000000"/>
                <w:sz w:val="24"/>
              </w:rPr>
            </w:pPr>
          </w:p>
        </w:tc>
      </w:tr>
      <w:tr>
        <w:tblPrEx>
          <w:tblCellMar>
            <w:top w:w="0" w:type="dxa"/>
            <w:left w:w="0" w:type="dxa"/>
            <w:bottom w:w="0" w:type="dxa"/>
            <w:right w:w="0" w:type="dxa"/>
          </w:tblCellMar>
        </w:tblPrEx>
        <w:trPr>
          <w:trHeight w:val="330" w:hRule="atLeast"/>
          <w:jc w:val="center"/>
        </w:trPr>
        <w:tc>
          <w:tcPr>
            <w:tcW w:w="78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widowControl/>
              <w:jc w:val="center"/>
              <w:textAlignment w:val="top"/>
              <w:rPr>
                <w:rFonts w:ascii="宋体" w:hAnsi="宋体" w:cs="宋体"/>
                <w:sz w:val="24"/>
              </w:rPr>
            </w:pPr>
            <w:r>
              <w:rPr>
                <w:rFonts w:hint="eastAsia" w:ascii="宋体" w:hAnsi="宋体" w:cs="宋体"/>
                <w:kern w:val="0"/>
                <w:sz w:val="24"/>
              </w:rPr>
              <w:t>9</w:t>
            </w:r>
          </w:p>
        </w:tc>
        <w:tc>
          <w:tcPr>
            <w:tcW w:w="122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方便面</w:t>
            </w:r>
          </w:p>
        </w:tc>
        <w:tc>
          <w:tcPr>
            <w:tcW w:w="128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汤达人</w:t>
            </w:r>
          </w:p>
        </w:tc>
        <w:tc>
          <w:tcPr>
            <w:tcW w:w="3439"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日式豚骨拉面130g</w:t>
            </w:r>
          </w:p>
        </w:tc>
        <w:tc>
          <w:tcPr>
            <w:tcW w:w="162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jc w:val="center"/>
              <w:rPr>
                <w:rFonts w:ascii="宋体" w:hAnsi="宋体" w:cs="宋体"/>
                <w:color w:val="000000"/>
                <w:sz w:val="24"/>
              </w:rPr>
            </w:pPr>
          </w:p>
        </w:tc>
      </w:tr>
      <w:tr>
        <w:tblPrEx>
          <w:tblCellMar>
            <w:top w:w="0" w:type="dxa"/>
            <w:left w:w="0" w:type="dxa"/>
            <w:bottom w:w="0" w:type="dxa"/>
            <w:right w:w="0" w:type="dxa"/>
          </w:tblCellMar>
        </w:tblPrEx>
        <w:trPr>
          <w:trHeight w:val="330" w:hRule="atLeast"/>
          <w:jc w:val="center"/>
        </w:trPr>
        <w:tc>
          <w:tcPr>
            <w:tcW w:w="78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widowControl/>
              <w:jc w:val="center"/>
              <w:textAlignment w:val="top"/>
              <w:rPr>
                <w:rFonts w:ascii="宋体" w:hAnsi="宋体" w:cs="宋体"/>
                <w:sz w:val="24"/>
              </w:rPr>
            </w:pPr>
            <w:r>
              <w:rPr>
                <w:rFonts w:hint="eastAsia" w:ascii="宋体" w:hAnsi="宋体" w:cs="宋体"/>
                <w:kern w:val="0"/>
                <w:sz w:val="24"/>
              </w:rPr>
              <w:t>10</w:t>
            </w:r>
          </w:p>
        </w:tc>
        <w:tc>
          <w:tcPr>
            <w:tcW w:w="122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抽纸</w:t>
            </w:r>
          </w:p>
        </w:tc>
        <w:tc>
          <w:tcPr>
            <w:tcW w:w="128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清风</w:t>
            </w:r>
          </w:p>
        </w:tc>
        <w:tc>
          <w:tcPr>
            <w:tcW w:w="3439"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原木纯品金装</w:t>
            </w:r>
            <w:r>
              <w:rPr>
                <w:rStyle w:val="30"/>
                <w:rFonts w:hint="eastAsia" w:ascii="宋体" w:hAnsi="宋体" w:cs="宋体"/>
                <w:color w:val="auto"/>
              </w:rPr>
              <w:t>120</w:t>
            </w:r>
            <w:r>
              <w:rPr>
                <w:rStyle w:val="31"/>
                <w:rFonts w:hint="default"/>
                <w:color w:val="auto"/>
              </w:rPr>
              <w:t>抽</w:t>
            </w:r>
            <w:r>
              <w:rPr>
                <w:rStyle w:val="30"/>
                <w:rFonts w:hint="eastAsia" w:ascii="宋体" w:hAnsi="宋体" w:cs="宋体"/>
                <w:color w:val="auto"/>
              </w:rPr>
              <w:t>*10</w:t>
            </w:r>
            <w:r>
              <w:rPr>
                <w:rStyle w:val="31"/>
                <w:rFonts w:hint="default"/>
                <w:color w:val="auto"/>
              </w:rPr>
              <w:t>包</w:t>
            </w:r>
            <w:r>
              <w:rPr>
                <w:rStyle w:val="30"/>
                <w:rFonts w:hint="eastAsia" w:ascii="宋体" w:hAnsi="宋体" w:cs="宋体"/>
                <w:color w:val="auto"/>
              </w:rPr>
              <w:t>/</w:t>
            </w:r>
            <w:r>
              <w:rPr>
                <w:rStyle w:val="31"/>
                <w:rFonts w:hint="default"/>
                <w:color w:val="auto"/>
              </w:rPr>
              <w:t>提</w:t>
            </w:r>
          </w:p>
        </w:tc>
        <w:tc>
          <w:tcPr>
            <w:tcW w:w="162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jc w:val="center"/>
              <w:rPr>
                <w:rFonts w:ascii="宋体" w:hAnsi="宋体" w:cs="宋体"/>
                <w:color w:val="000000"/>
                <w:sz w:val="24"/>
              </w:rPr>
            </w:pPr>
          </w:p>
        </w:tc>
      </w:tr>
      <w:tr>
        <w:tblPrEx>
          <w:tblCellMar>
            <w:top w:w="0" w:type="dxa"/>
            <w:left w:w="0" w:type="dxa"/>
            <w:bottom w:w="0" w:type="dxa"/>
            <w:right w:w="0" w:type="dxa"/>
          </w:tblCellMar>
        </w:tblPrEx>
        <w:trPr>
          <w:trHeight w:val="330" w:hRule="atLeast"/>
          <w:jc w:val="center"/>
        </w:trPr>
        <w:tc>
          <w:tcPr>
            <w:tcW w:w="78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widowControl/>
              <w:jc w:val="center"/>
              <w:textAlignment w:val="top"/>
              <w:rPr>
                <w:rFonts w:ascii="宋体" w:hAnsi="宋体" w:cs="宋体"/>
                <w:sz w:val="24"/>
              </w:rPr>
            </w:pPr>
            <w:r>
              <w:rPr>
                <w:rFonts w:hint="eastAsia" w:ascii="宋体" w:hAnsi="宋体" w:cs="宋体"/>
                <w:kern w:val="0"/>
                <w:sz w:val="24"/>
              </w:rPr>
              <w:t>11</w:t>
            </w:r>
          </w:p>
        </w:tc>
        <w:tc>
          <w:tcPr>
            <w:tcW w:w="122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卫生纸</w:t>
            </w:r>
          </w:p>
        </w:tc>
        <w:tc>
          <w:tcPr>
            <w:tcW w:w="128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洁云</w:t>
            </w:r>
          </w:p>
        </w:tc>
        <w:tc>
          <w:tcPr>
            <w:tcW w:w="3439"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加韧</w:t>
            </w:r>
            <w:r>
              <w:rPr>
                <w:rStyle w:val="30"/>
                <w:rFonts w:hint="eastAsia" w:ascii="宋体" w:hAnsi="宋体" w:cs="宋体"/>
                <w:color w:val="auto"/>
              </w:rPr>
              <w:t>400</w:t>
            </w:r>
            <w:r>
              <w:rPr>
                <w:rStyle w:val="32"/>
                <w:rFonts w:hint="eastAsia" w:ascii="宋体" w:hAnsi="宋体" w:eastAsia="宋体" w:cs="宋体"/>
                <w:color w:val="auto"/>
              </w:rPr>
              <w:t>张*8包</w:t>
            </w:r>
            <w:r>
              <w:rPr>
                <w:rStyle w:val="30"/>
                <w:rFonts w:hint="eastAsia" w:ascii="宋体" w:hAnsi="宋体" w:cs="宋体"/>
                <w:color w:val="auto"/>
              </w:rPr>
              <w:t>/</w:t>
            </w:r>
            <w:r>
              <w:rPr>
                <w:rStyle w:val="31"/>
                <w:rFonts w:hint="default"/>
                <w:color w:val="auto"/>
              </w:rPr>
              <w:t>提</w:t>
            </w:r>
          </w:p>
        </w:tc>
        <w:tc>
          <w:tcPr>
            <w:tcW w:w="162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jc w:val="center"/>
              <w:rPr>
                <w:rFonts w:ascii="宋体" w:hAnsi="宋体" w:cs="宋体"/>
                <w:color w:val="000000"/>
                <w:sz w:val="24"/>
              </w:rPr>
            </w:pPr>
          </w:p>
        </w:tc>
      </w:tr>
      <w:tr>
        <w:tblPrEx>
          <w:tblCellMar>
            <w:top w:w="0" w:type="dxa"/>
            <w:left w:w="0" w:type="dxa"/>
            <w:bottom w:w="0" w:type="dxa"/>
            <w:right w:w="0" w:type="dxa"/>
          </w:tblCellMar>
        </w:tblPrEx>
        <w:trPr>
          <w:trHeight w:val="315" w:hRule="atLeast"/>
          <w:jc w:val="center"/>
        </w:trPr>
        <w:tc>
          <w:tcPr>
            <w:tcW w:w="78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widowControl/>
              <w:jc w:val="center"/>
              <w:textAlignment w:val="top"/>
              <w:rPr>
                <w:rFonts w:ascii="宋体" w:hAnsi="宋体" w:cs="宋体"/>
                <w:sz w:val="24"/>
              </w:rPr>
            </w:pPr>
            <w:r>
              <w:rPr>
                <w:rFonts w:hint="eastAsia" w:ascii="宋体" w:hAnsi="宋体" w:cs="宋体"/>
                <w:kern w:val="0"/>
                <w:sz w:val="24"/>
              </w:rPr>
              <w:t>12</w:t>
            </w:r>
          </w:p>
        </w:tc>
        <w:tc>
          <w:tcPr>
            <w:tcW w:w="122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巧克力</w:t>
            </w:r>
          </w:p>
        </w:tc>
        <w:tc>
          <w:tcPr>
            <w:tcW w:w="128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德芙</w:t>
            </w:r>
          </w:p>
        </w:tc>
        <w:tc>
          <w:tcPr>
            <w:tcW w:w="3439"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丝滑牛奶252克/碗</w:t>
            </w:r>
          </w:p>
        </w:tc>
        <w:tc>
          <w:tcPr>
            <w:tcW w:w="162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jc w:val="center"/>
              <w:rPr>
                <w:rFonts w:ascii="宋体" w:hAnsi="宋体" w:cs="宋体"/>
                <w:color w:val="000000"/>
                <w:sz w:val="24"/>
              </w:rPr>
            </w:pPr>
          </w:p>
        </w:tc>
      </w:tr>
      <w:tr>
        <w:tblPrEx>
          <w:tblCellMar>
            <w:top w:w="0" w:type="dxa"/>
            <w:left w:w="0" w:type="dxa"/>
            <w:bottom w:w="0" w:type="dxa"/>
            <w:right w:w="0" w:type="dxa"/>
          </w:tblCellMar>
        </w:tblPrEx>
        <w:trPr>
          <w:trHeight w:val="315" w:hRule="atLeast"/>
          <w:jc w:val="center"/>
        </w:trPr>
        <w:tc>
          <w:tcPr>
            <w:tcW w:w="78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widowControl/>
              <w:jc w:val="center"/>
              <w:textAlignment w:val="top"/>
              <w:rPr>
                <w:rFonts w:ascii="宋体" w:hAnsi="宋体" w:cs="宋体"/>
                <w:sz w:val="24"/>
              </w:rPr>
            </w:pPr>
            <w:r>
              <w:rPr>
                <w:rFonts w:hint="eastAsia" w:ascii="宋体" w:hAnsi="宋体" w:cs="宋体"/>
                <w:kern w:val="0"/>
                <w:sz w:val="24"/>
              </w:rPr>
              <w:t>13</w:t>
            </w:r>
          </w:p>
        </w:tc>
        <w:tc>
          <w:tcPr>
            <w:tcW w:w="122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饼干</w:t>
            </w:r>
          </w:p>
        </w:tc>
        <w:tc>
          <w:tcPr>
            <w:tcW w:w="128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优冠</w:t>
            </w:r>
          </w:p>
        </w:tc>
        <w:tc>
          <w:tcPr>
            <w:tcW w:w="3439"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牛奶香脆酥性饼干</w:t>
            </w:r>
          </w:p>
        </w:tc>
        <w:tc>
          <w:tcPr>
            <w:tcW w:w="162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jc w:val="center"/>
              <w:rPr>
                <w:rFonts w:ascii="宋体" w:hAnsi="宋体" w:cs="宋体"/>
                <w:color w:val="000000"/>
                <w:sz w:val="24"/>
              </w:rPr>
            </w:pPr>
          </w:p>
        </w:tc>
      </w:tr>
      <w:tr>
        <w:tblPrEx>
          <w:tblCellMar>
            <w:top w:w="0" w:type="dxa"/>
            <w:left w:w="0" w:type="dxa"/>
            <w:bottom w:w="0" w:type="dxa"/>
            <w:right w:w="0" w:type="dxa"/>
          </w:tblCellMar>
        </w:tblPrEx>
        <w:trPr>
          <w:trHeight w:val="358" w:hRule="atLeast"/>
          <w:jc w:val="center"/>
        </w:trPr>
        <w:tc>
          <w:tcPr>
            <w:tcW w:w="78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widowControl/>
              <w:jc w:val="center"/>
              <w:textAlignment w:val="top"/>
              <w:rPr>
                <w:rFonts w:ascii="宋体" w:hAnsi="宋体" w:cs="宋体"/>
                <w:sz w:val="24"/>
              </w:rPr>
            </w:pPr>
            <w:r>
              <w:rPr>
                <w:rFonts w:hint="eastAsia" w:ascii="宋体" w:hAnsi="宋体" w:cs="宋体"/>
                <w:kern w:val="0"/>
                <w:sz w:val="24"/>
              </w:rPr>
              <w:t>14</w:t>
            </w:r>
          </w:p>
        </w:tc>
        <w:tc>
          <w:tcPr>
            <w:tcW w:w="122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坚果</w:t>
            </w:r>
          </w:p>
        </w:tc>
        <w:tc>
          <w:tcPr>
            <w:tcW w:w="128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沃隆</w:t>
            </w:r>
          </w:p>
        </w:tc>
        <w:tc>
          <w:tcPr>
            <w:tcW w:w="3439"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每日坚果</w:t>
            </w:r>
            <w:r>
              <w:rPr>
                <w:rStyle w:val="33"/>
                <w:rFonts w:hint="eastAsia" w:ascii="宋体" w:hAnsi="宋体" w:cs="宋体"/>
                <w:color w:val="auto"/>
              </w:rPr>
              <w:t>750</w:t>
            </w:r>
            <w:r>
              <w:rPr>
                <w:rStyle w:val="34"/>
                <w:rFonts w:hint="default"/>
                <w:color w:val="auto"/>
              </w:rPr>
              <w:t>克</w:t>
            </w:r>
            <w:r>
              <w:rPr>
                <w:rStyle w:val="33"/>
                <w:rFonts w:hint="eastAsia" w:ascii="宋体" w:hAnsi="宋体" w:cs="宋体"/>
                <w:color w:val="auto"/>
              </w:rPr>
              <w:t>/</w:t>
            </w:r>
            <w:r>
              <w:rPr>
                <w:rStyle w:val="34"/>
                <w:rFonts w:hint="default"/>
                <w:color w:val="auto"/>
              </w:rPr>
              <w:t>盒</w:t>
            </w:r>
          </w:p>
        </w:tc>
        <w:tc>
          <w:tcPr>
            <w:tcW w:w="162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jc w:val="center"/>
              <w:rPr>
                <w:rFonts w:ascii="宋体" w:hAnsi="宋体" w:cs="宋体"/>
                <w:color w:val="000000"/>
                <w:sz w:val="24"/>
              </w:rPr>
            </w:pPr>
          </w:p>
        </w:tc>
      </w:tr>
      <w:tr>
        <w:tblPrEx>
          <w:tblCellMar>
            <w:top w:w="0" w:type="dxa"/>
            <w:left w:w="0" w:type="dxa"/>
            <w:bottom w:w="0" w:type="dxa"/>
            <w:right w:w="0" w:type="dxa"/>
          </w:tblCellMar>
        </w:tblPrEx>
        <w:trPr>
          <w:trHeight w:val="330" w:hRule="atLeast"/>
          <w:jc w:val="center"/>
        </w:trPr>
        <w:tc>
          <w:tcPr>
            <w:tcW w:w="78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widowControl/>
              <w:jc w:val="center"/>
              <w:textAlignment w:val="top"/>
              <w:rPr>
                <w:rFonts w:ascii="宋体" w:hAnsi="宋体" w:cs="宋体"/>
                <w:sz w:val="24"/>
              </w:rPr>
            </w:pPr>
            <w:r>
              <w:rPr>
                <w:rFonts w:hint="eastAsia" w:ascii="宋体" w:hAnsi="宋体" w:cs="宋体"/>
                <w:kern w:val="0"/>
                <w:sz w:val="24"/>
              </w:rPr>
              <w:t>15</w:t>
            </w:r>
          </w:p>
        </w:tc>
        <w:tc>
          <w:tcPr>
            <w:tcW w:w="122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酱油</w:t>
            </w:r>
          </w:p>
        </w:tc>
        <w:tc>
          <w:tcPr>
            <w:tcW w:w="128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六月鲜</w:t>
            </w:r>
          </w:p>
        </w:tc>
        <w:tc>
          <w:tcPr>
            <w:tcW w:w="3439"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特级酱油500ml/瓶</w:t>
            </w:r>
          </w:p>
        </w:tc>
        <w:tc>
          <w:tcPr>
            <w:tcW w:w="162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jc w:val="center"/>
              <w:rPr>
                <w:rFonts w:ascii="宋体" w:hAnsi="宋体" w:cs="宋体"/>
                <w:color w:val="000000"/>
                <w:sz w:val="24"/>
              </w:rPr>
            </w:pPr>
          </w:p>
        </w:tc>
      </w:tr>
      <w:tr>
        <w:tblPrEx>
          <w:tblCellMar>
            <w:top w:w="0" w:type="dxa"/>
            <w:left w:w="0" w:type="dxa"/>
            <w:bottom w:w="0" w:type="dxa"/>
            <w:right w:w="0" w:type="dxa"/>
          </w:tblCellMar>
        </w:tblPrEx>
        <w:trPr>
          <w:trHeight w:val="330" w:hRule="atLeast"/>
          <w:jc w:val="center"/>
        </w:trPr>
        <w:tc>
          <w:tcPr>
            <w:tcW w:w="78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widowControl/>
              <w:jc w:val="center"/>
              <w:textAlignment w:val="top"/>
              <w:rPr>
                <w:rFonts w:ascii="宋体" w:hAnsi="宋体" w:cs="宋体"/>
                <w:sz w:val="24"/>
              </w:rPr>
            </w:pPr>
            <w:r>
              <w:rPr>
                <w:rFonts w:hint="eastAsia" w:ascii="宋体" w:hAnsi="宋体" w:cs="宋体"/>
                <w:kern w:val="0"/>
                <w:sz w:val="24"/>
              </w:rPr>
              <w:t>16</w:t>
            </w:r>
          </w:p>
        </w:tc>
        <w:tc>
          <w:tcPr>
            <w:tcW w:w="122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洗发露</w:t>
            </w:r>
          </w:p>
        </w:tc>
        <w:tc>
          <w:tcPr>
            <w:tcW w:w="128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清扬</w:t>
            </w:r>
          </w:p>
        </w:tc>
        <w:tc>
          <w:tcPr>
            <w:tcW w:w="3439"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水润养护</w:t>
            </w:r>
            <w:r>
              <w:rPr>
                <w:rStyle w:val="30"/>
                <w:rFonts w:hint="eastAsia" w:ascii="宋体" w:hAnsi="宋体" w:cs="宋体"/>
                <w:color w:val="auto"/>
              </w:rPr>
              <w:t>700ml/</w:t>
            </w:r>
            <w:r>
              <w:rPr>
                <w:rStyle w:val="31"/>
                <w:rFonts w:hint="default"/>
                <w:color w:val="auto"/>
              </w:rPr>
              <w:t>瓶</w:t>
            </w:r>
          </w:p>
        </w:tc>
        <w:tc>
          <w:tcPr>
            <w:tcW w:w="162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jc w:val="center"/>
              <w:rPr>
                <w:rFonts w:ascii="宋体" w:hAnsi="宋体" w:cs="宋体"/>
                <w:color w:val="000000"/>
                <w:sz w:val="24"/>
              </w:rPr>
            </w:pPr>
          </w:p>
        </w:tc>
      </w:tr>
      <w:tr>
        <w:tblPrEx>
          <w:tblCellMar>
            <w:top w:w="0" w:type="dxa"/>
            <w:left w:w="0" w:type="dxa"/>
            <w:bottom w:w="0" w:type="dxa"/>
            <w:right w:w="0" w:type="dxa"/>
          </w:tblCellMar>
        </w:tblPrEx>
        <w:trPr>
          <w:trHeight w:val="330" w:hRule="atLeast"/>
          <w:jc w:val="center"/>
        </w:trPr>
        <w:tc>
          <w:tcPr>
            <w:tcW w:w="78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widowControl/>
              <w:jc w:val="center"/>
              <w:textAlignment w:val="top"/>
              <w:rPr>
                <w:rFonts w:ascii="宋体" w:hAnsi="宋体" w:cs="宋体"/>
                <w:sz w:val="24"/>
              </w:rPr>
            </w:pPr>
            <w:r>
              <w:rPr>
                <w:rFonts w:hint="eastAsia" w:ascii="宋体" w:hAnsi="宋体" w:cs="宋体"/>
                <w:kern w:val="0"/>
                <w:sz w:val="24"/>
              </w:rPr>
              <w:t>17</w:t>
            </w:r>
          </w:p>
        </w:tc>
        <w:tc>
          <w:tcPr>
            <w:tcW w:w="122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沐浴露</w:t>
            </w:r>
          </w:p>
        </w:tc>
        <w:tc>
          <w:tcPr>
            <w:tcW w:w="128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资生堂</w:t>
            </w:r>
          </w:p>
        </w:tc>
        <w:tc>
          <w:tcPr>
            <w:tcW w:w="3439"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可悠然美矶550ML</w:t>
            </w:r>
          </w:p>
        </w:tc>
        <w:tc>
          <w:tcPr>
            <w:tcW w:w="162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jc w:val="center"/>
              <w:rPr>
                <w:rFonts w:ascii="宋体" w:hAnsi="宋体" w:cs="宋体"/>
                <w:color w:val="FF0000"/>
                <w:sz w:val="24"/>
              </w:rPr>
            </w:pPr>
          </w:p>
        </w:tc>
      </w:tr>
      <w:tr>
        <w:tblPrEx>
          <w:tblCellMar>
            <w:top w:w="0" w:type="dxa"/>
            <w:left w:w="0" w:type="dxa"/>
            <w:bottom w:w="0" w:type="dxa"/>
            <w:right w:w="0" w:type="dxa"/>
          </w:tblCellMar>
        </w:tblPrEx>
        <w:trPr>
          <w:trHeight w:val="330" w:hRule="atLeast"/>
          <w:jc w:val="center"/>
        </w:trPr>
        <w:tc>
          <w:tcPr>
            <w:tcW w:w="78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widowControl/>
              <w:jc w:val="center"/>
              <w:textAlignment w:val="top"/>
              <w:rPr>
                <w:rFonts w:ascii="宋体" w:hAnsi="宋体" w:cs="宋体"/>
                <w:sz w:val="24"/>
              </w:rPr>
            </w:pPr>
            <w:r>
              <w:rPr>
                <w:rFonts w:hint="eastAsia" w:ascii="宋体" w:hAnsi="宋体" w:cs="宋体"/>
                <w:kern w:val="0"/>
                <w:sz w:val="24"/>
              </w:rPr>
              <w:t>18</w:t>
            </w:r>
          </w:p>
        </w:tc>
        <w:tc>
          <w:tcPr>
            <w:tcW w:w="122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牙膏</w:t>
            </w:r>
          </w:p>
        </w:tc>
        <w:tc>
          <w:tcPr>
            <w:tcW w:w="128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云南白药</w:t>
            </w:r>
          </w:p>
        </w:tc>
        <w:tc>
          <w:tcPr>
            <w:tcW w:w="3439"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薄荷清爽型210克/支</w:t>
            </w:r>
          </w:p>
        </w:tc>
        <w:tc>
          <w:tcPr>
            <w:tcW w:w="162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jc w:val="center"/>
              <w:rPr>
                <w:rFonts w:ascii="宋体" w:hAnsi="宋体" w:cs="宋体"/>
                <w:color w:val="FF0000"/>
                <w:sz w:val="24"/>
              </w:rPr>
            </w:pPr>
          </w:p>
        </w:tc>
      </w:tr>
      <w:tr>
        <w:tblPrEx>
          <w:tblCellMar>
            <w:top w:w="0" w:type="dxa"/>
            <w:left w:w="0" w:type="dxa"/>
            <w:bottom w:w="0" w:type="dxa"/>
            <w:right w:w="0" w:type="dxa"/>
          </w:tblCellMar>
        </w:tblPrEx>
        <w:trPr>
          <w:trHeight w:val="315" w:hRule="atLeast"/>
          <w:jc w:val="center"/>
        </w:trPr>
        <w:tc>
          <w:tcPr>
            <w:tcW w:w="78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widowControl/>
              <w:jc w:val="center"/>
              <w:textAlignment w:val="top"/>
              <w:rPr>
                <w:rFonts w:ascii="宋体" w:hAnsi="宋体" w:cs="宋体"/>
                <w:sz w:val="24"/>
              </w:rPr>
            </w:pPr>
            <w:r>
              <w:rPr>
                <w:rFonts w:hint="eastAsia" w:ascii="宋体" w:hAnsi="宋体" w:cs="宋体"/>
                <w:kern w:val="0"/>
                <w:sz w:val="24"/>
              </w:rPr>
              <w:t>19</w:t>
            </w:r>
          </w:p>
        </w:tc>
        <w:tc>
          <w:tcPr>
            <w:tcW w:w="122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消毒液</w:t>
            </w:r>
          </w:p>
        </w:tc>
        <w:tc>
          <w:tcPr>
            <w:tcW w:w="128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滴露</w:t>
            </w:r>
          </w:p>
        </w:tc>
        <w:tc>
          <w:tcPr>
            <w:tcW w:w="3439"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Style w:val="30"/>
                <w:rFonts w:hint="eastAsia" w:ascii="宋体" w:hAnsi="宋体" w:cs="宋体"/>
                <w:color w:val="auto"/>
              </w:rPr>
              <w:t>消毒液250ml/</w:t>
            </w:r>
            <w:r>
              <w:rPr>
                <w:rStyle w:val="31"/>
                <w:rFonts w:hint="default"/>
                <w:color w:val="auto"/>
              </w:rPr>
              <w:t>瓶</w:t>
            </w:r>
          </w:p>
        </w:tc>
        <w:tc>
          <w:tcPr>
            <w:tcW w:w="162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jc w:val="center"/>
              <w:rPr>
                <w:rFonts w:ascii="宋体" w:hAnsi="宋体" w:cs="宋体"/>
                <w:color w:val="FF0000"/>
                <w:sz w:val="24"/>
              </w:rPr>
            </w:pPr>
          </w:p>
        </w:tc>
      </w:tr>
      <w:tr>
        <w:tblPrEx>
          <w:tblCellMar>
            <w:top w:w="0" w:type="dxa"/>
            <w:left w:w="0" w:type="dxa"/>
            <w:bottom w:w="0" w:type="dxa"/>
            <w:right w:w="0" w:type="dxa"/>
          </w:tblCellMar>
        </w:tblPrEx>
        <w:trPr>
          <w:trHeight w:val="315" w:hRule="atLeast"/>
          <w:jc w:val="center"/>
        </w:trPr>
        <w:tc>
          <w:tcPr>
            <w:tcW w:w="78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widowControl/>
              <w:jc w:val="center"/>
              <w:textAlignment w:val="top"/>
              <w:rPr>
                <w:rFonts w:ascii="宋体" w:hAnsi="宋体" w:cs="宋体"/>
                <w:kern w:val="0"/>
                <w:sz w:val="24"/>
              </w:rPr>
            </w:pPr>
            <w:r>
              <w:rPr>
                <w:rFonts w:hint="eastAsia" w:ascii="宋体" w:hAnsi="宋体" w:cs="宋体"/>
                <w:kern w:val="0"/>
                <w:sz w:val="24"/>
              </w:rPr>
              <w:t>20</w:t>
            </w:r>
          </w:p>
        </w:tc>
        <w:tc>
          <w:tcPr>
            <w:tcW w:w="122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洗衣液</w:t>
            </w:r>
          </w:p>
        </w:tc>
        <w:tc>
          <w:tcPr>
            <w:tcW w:w="128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奥妙</w:t>
            </w:r>
          </w:p>
        </w:tc>
        <w:tc>
          <w:tcPr>
            <w:tcW w:w="3439"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深层洁净4KG瓶装</w:t>
            </w:r>
          </w:p>
        </w:tc>
        <w:tc>
          <w:tcPr>
            <w:tcW w:w="162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jc w:val="center"/>
              <w:rPr>
                <w:rFonts w:ascii="宋体" w:hAnsi="宋体" w:cs="宋体"/>
                <w:color w:val="FF0000"/>
                <w:sz w:val="24"/>
              </w:rPr>
            </w:pPr>
          </w:p>
        </w:tc>
      </w:tr>
      <w:tr>
        <w:tblPrEx>
          <w:tblCellMar>
            <w:top w:w="0" w:type="dxa"/>
            <w:left w:w="0" w:type="dxa"/>
            <w:bottom w:w="0" w:type="dxa"/>
            <w:right w:w="0" w:type="dxa"/>
          </w:tblCellMar>
        </w:tblPrEx>
        <w:trPr>
          <w:trHeight w:val="315" w:hRule="atLeast"/>
          <w:jc w:val="center"/>
        </w:trPr>
        <w:tc>
          <w:tcPr>
            <w:tcW w:w="6720" w:type="dxa"/>
            <w:gridSpan w:val="4"/>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widowControl/>
              <w:jc w:val="center"/>
              <w:textAlignment w:val="center"/>
              <w:rPr>
                <w:rFonts w:ascii="宋体" w:hAnsi="宋体" w:cs="宋体"/>
                <w:sz w:val="24"/>
              </w:rPr>
            </w:pPr>
            <w:r>
              <w:rPr>
                <w:rFonts w:hint="eastAsia" w:ascii="宋体" w:hAnsi="宋体" w:cs="宋体"/>
                <w:sz w:val="24"/>
              </w:rPr>
              <w:t>合 计 金 额</w:t>
            </w:r>
          </w:p>
        </w:tc>
        <w:tc>
          <w:tcPr>
            <w:tcW w:w="162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tcPr>
          <w:p>
            <w:pPr>
              <w:jc w:val="center"/>
              <w:rPr>
                <w:rFonts w:ascii="宋体" w:hAnsi="宋体" w:cs="宋体"/>
                <w:color w:val="FF0000"/>
                <w:sz w:val="24"/>
              </w:rPr>
            </w:pPr>
          </w:p>
        </w:tc>
      </w:tr>
    </w:tbl>
    <w:p>
      <w:pPr>
        <w:rPr>
          <w:rFonts w:ascii="Helvetica" w:hAnsi="Helvetica" w:cs="Helvetica"/>
          <w:b/>
          <w:bCs/>
          <w:color w:val="FF0000"/>
          <w:kern w:val="0"/>
          <w:sz w:val="24"/>
        </w:rPr>
      </w:pPr>
    </w:p>
    <w:p>
      <w:pPr>
        <w:rPr>
          <w:rFonts w:ascii="Helvetica" w:hAnsi="Helvetica" w:cs="Helvetica"/>
          <w:b/>
          <w:bCs/>
          <w:kern w:val="0"/>
          <w:sz w:val="24"/>
        </w:rPr>
      </w:pPr>
    </w:p>
    <w:p>
      <w:pPr>
        <w:rPr>
          <w:rFonts w:ascii="Helvetica" w:hAnsi="Helvetica" w:cs="Helvetica"/>
          <w:b/>
          <w:bCs/>
          <w:kern w:val="0"/>
          <w:sz w:val="24"/>
        </w:rPr>
      </w:pPr>
    </w:p>
    <w:p>
      <w:pPr>
        <w:rPr>
          <w:rFonts w:ascii="Helvetica" w:hAnsi="Helvetica" w:cs="Helvetica"/>
          <w:b/>
          <w:bCs/>
          <w:kern w:val="0"/>
          <w:sz w:val="24"/>
        </w:rPr>
      </w:pPr>
    </w:p>
    <w:p>
      <w:pPr>
        <w:rPr>
          <w:rFonts w:ascii="Helvetica" w:hAnsi="Helvetica" w:cs="Helvetica"/>
          <w:b/>
          <w:bCs/>
          <w:kern w:val="0"/>
          <w:sz w:val="24"/>
        </w:rPr>
      </w:pPr>
    </w:p>
    <w:p>
      <w:pPr>
        <w:rPr>
          <w:rFonts w:ascii="Helvetica" w:hAnsi="Helvetica" w:cs="Helvetica"/>
          <w:b/>
          <w:bCs/>
          <w:kern w:val="0"/>
          <w:sz w:val="24"/>
        </w:rPr>
      </w:pPr>
    </w:p>
    <w:p>
      <w:pPr>
        <w:rPr>
          <w:rFonts w:ascii="Helvetica" w:hAnsi="Helvetica" w:cs="Helvetica"/>
          <w:b/>
          <w:bCs/>
          <w:kern w:val="0"/>
          <w:sz w:val="24"/>
        </w:rPr>
      </w:pPr>
    </w:p>
    <w:p>
      <w:pPr>
        <w:rPr>
          <w:rFonts w:ascii="Helvetica" w:hAnsi="Helvetica" w:cs="Helvetica"/>
          <w:b/>
          <w:bCs/>
          <w:kern w:val="0"/>
          <w:sz w:val="24"/>
        </w:rPr>
      </w:pPr>
    </w:p>
    <w:p>
      <w:pPr>
        <w:rPr>
          <w:rFonts w:ascii="Helvetica" w:hAnsi="Helvetica" w:cs="Helvetica"/>
          <w:b/>
          <w:bCs/>
          <w:kern w:val="0"/>
          <w:sz w:val="24"/>
        </w:rPr>
      </w:pPr>
    </w:p>
    <w:p>
      <w:pPr>
        <w:rPr>
          <w:rFonts w:ascii="Helvetica" w:hAnsi="Helvetica" w:cs="Helvetica"/>
          <w:b/>
          <w:bCs/>
          <w:kern w:val="0"/>
          <w:sz w:val="24"/>
        </w:rPr>
      </w:pPr>
    </w:p>
    <w:p>
      <w:pPr>
        <w:jc w:val="center"/>
        <w:rPr>
          <w:rFonts w:ascii="宋体" w:hAnsi="宋体" w:cs="宋体"/>
          <w:b/>
          <w:color w:val="000000"/>
          <w:sz w:val="32"/>
        </w:rPr>
      </w:pPr>
      <w:r>
        <w:rPr>
          <w:rFonts w:hint="eastAsia" w:ascii="宋体" w:hAnsi="宋体" w:cs="宋体"/>
          <w:b/>
          <w:color w:val="000000"/>
          <w:sz w:val="32"/>
        </w:rPr>
        <w:t>附件四   投 标 函</w:t>
      </w:r>
    </w:p>
    <w:p>
      <w:pPr>
        <w:jc w:val="center"/>
        <w:rPr>
          <w:rFonts w:ascii="宋体" w:cs="宋体"/>
          <w:color w:val="000000"/>
          <w:sz w:val="24"/>
        </w:rPr>
      </w:pPr>
      <w:r>
        <w:rPr>
          <w:rFonts w:hint="eastAsia" w:ascii="宋体" w:hAnsi="宋体" w:cs="宋体"/>
          <w:color w:val="000000"/>
          <w:sz w:val="24"/>
        </w:rPr>
        <w:t>（参考格式）</w:t>
      </w:r>
    </w:p>
    <w:p>
      <w:pPr>
        <w:jc w:val="center"/>
      </w:pPr>
    </w:p>
    <w:p>
      <w:pPr>
        <w:rPr>
          <w:rFonts w:ascii="宋体"/>
          <w:szCs w:val="21"/>
        </w:rPr>
      </w:pPr>
      <w:r>
        <w:rPr>
          <w:rFonts w:hint="eastAsia" w:ascii="宋体" w:hAnsi="宋体"/>
          <w:szCs w:val="21"/>
        </w:rPr>
        <w:t>南通卫生高职校招投标办公室：</w:t>
      </w:r>
    </w:p>
    <w:p>
      <w:pPr>
        <w:ind w:firstLine="539" w:firstLineChars="257"/>
        <w:rPr>
          <w:rFonts w:ascii="宋体" w:hAnsi="宋体"/>
          <w:szCs w:val="21"/>
        </w:rPr>
      </w:pPr>
      <w:r>
        <w:rPr>
          <w:rFonts w:hint="eastAsia" w:ascii="宋体" w:hAnsi="宋体"/>
          <w:szCs w:val="21"/>
        </w:rPr>
        <w:t>针对贵方招标编号为：</w:t>
      </w:r>
      <w:r>
        <w:rPr>
          <w:rFonts w:hint="eastAsia" w:ascii="宋体" w:hAnsi="宋体"/>
          <w:szCs w:val="21"/>
          <w:u w:val="single"/>
        </w:rPr>
        <w:t xml:space="preserve">         </w:t>
      </w:r>
      <w:r>
        <w:rPr>
          <w:rFonts w:hint="eastAsia" w:ascii="宋体" w:hAnsi="宋体"/>
          <w:szCs w:val="21"/>
        </w:rPr>
        <w:t>的招标文件，正式授权</w:t>
      </w:r>
      <w:r>
        <w:rPr>
          <w:rFonts w:ascii="宋体" w:hAnsi="宋体"/>
          <w:szCs w:val="21"/>
        </w:rPr>
        <w:t>(</w:t>
      </w:r>
      <w:r>
        <w:rPr>
          <w:rFonts w:hint="eastAsia" w:ascii="宋体" w:hAnsi="宋体"/>
          <w:szCs w:val="21"/>
        </w:rPr>
        <w:t>姓名和职务）代表（投标人的名称），提交投标文件正本一式壹份，副本一式肆份。</w:t>
      </w:r>
    </w:p>
    <w:p>
      <w:pPr>
        <w:ind w:firstLine="539" w:firstLineChars="257"/>
        <w:rPr>
          <w:rFonts w:ascii="宋体"/>
          <w:szCs w:val="21"/>
        </w:rPr>
      </w:pPr>
      <w:r>
        <w:rPr>
          <w:rFonts w:ascii="宋体" w:hAnsi="宋体"/>
          <w:szCs w:val="21"/>
        </w:rPr>
        <w:t>1</w:t>
      </w:r>
      <w:r>
        <w:rPr>
          <w:rFonts w:hint="eastAsia" w:ascii="宋体" w:hAnsi="宋体"/>
          <w:szCs w:val="21"/>
        </w:rPr>
        <w:t>、我方已仔细研究了（项目名称）招标文件及其有效补充文件的全部内容，我们知道必须放弃提出含糊不清或误解的问题的权利要求；</w:t>
      </w:r>
    </w:p>
    <w:p>
      <w:pPr>
        <w:ind w:firstLine="539" w:firstLineChars="257"/>
        <w:rPr>
          <w:rFonts w:ascii="宋体"/>
          <w:szCs w:val="21"/>
        </w:rPr>
      </w:pPr>
      <w:r>
        <w:rPr>
          <w:rFonts w:ascii="宋体" w:hAnsi="宋体"/>
          <w:szCs w:val="21"/>
        </w:rPr>
        <w:t>2</w:t>
      </w:r>
      <w:r>
        <w:rPr>
          <w:rFonts w:hint="eastAsia" w:ascii="宋体" w:hAnsi="宋体"/>
          <w:szCs w:val="21"/>
        </w:rPr>
        <w:t>、我方将严格履行本投标文件中的全部承诺和责任，并遵守招标文件中对投标人的所有规定；愿意以我方报价单中所报价格提供相关产品或服务，按合同约定落实执行。</w:t>
      </w:r>
    </w:p>
    <w:p>
      <w:pPr>
        <w:ind w:firstLine="539" w:firstLineChars="257"/>
        <w:rPr>
          <w:rFonts w:ascii="宋体" w:hAnsi="宋体"/>
          <w:szCs w:val="21"/>
        </w:rPr>
      </w:pPr>
      <w:r>
        <w:rPr>
          <w:rFonts w:ascii="宋体" w:hAnsi="宋体"/>
          <w:szCs w:val="21"/>
        </w:rPr>
        <w:t>3</w:t>
      </w:r>
      <w:r>
        <w:rPr>
          <w:rFonts w:hint="eastAsia" w:ascii="宋体" w:hAnsi="宋体"/>
          <w:szCs w:val="21"/>
        </w:rPr>
        <w:t>、我方同意从规定的开标日期起遵循本投标文件，并在规定的投标有效期期满之前均具有约束力。</w:t>
      </w:r>
    </w:p>
    <w:p>
      <w:pPr>
        <w:ind w:firstLine="539" w:firstLineChars="257"/>
        <w:rPr>
          <w:rFonts w:ascii="宋体" w:hAnsi="宋体"/>
          <w:szCs w:val="21"/>
        </w:rPr>
      </w:pPr>
      <w:r>
        <w:rPr>
          <w:rFonts w:hint="eastAsia" w:ascii="宋体" w:hAnsi="宋体"/>
          <w:szCs w:val="21"/>
        </w:rPr>
        <w:t>4、我们完全理解贵方不一定要接受最高扣率的投标或任何贵方可能收到的投标。</w:t>
      </w:r>
    </w:p>
    <w:p>
      <w:pPr>
        <w:ind w:firstLine="539" w:firstLineChars="257"/>
        <w:rPr>
          <w:rFonts w:ascii="宋体"/>
          <w:szCs w:val="21"/>
        </w:rPr>
      </w:pPr>
      <w:r>
        <w:rPr>
          <w:rFonts w:hint="eastAsia" w:ascii="宋体" w:hAnsi="宋体"/>
          <w:szCs w:val="21"/>
        </w:rPr>
        <w:t>5、如果在开标后规定的投标有效期内撤回投标，我们的投标保证金可被贵方没收。</w:t>
      </w:r>
    </w:p>
    <w:p>
      <w:pPr>
        <w:ind w:firstLine="539" w:firstLineChars="257"/>
        <w:rPr>
          <w:rFonts w:ascii="宋体"/>
          <w:szCs w:val="21"/>
        </w:rPr>
      </w:pPr>
      <w:r>
        <w:rPr>
          <w:rFonts w:hint="eastAsia" w:ascii="宋体" w:hAnsi="宋体"/>
          <w:szCs w:val="21"/>
        </w:rPr>
        <w:t>6、我方同意向贵方提供贵方可能另外要求的与投标有关的任何证据或资料。</w:t>
      </w:r>
    </w:p>
    <w:p>
      <w:pPr>
        <w:ind w:firstLine="539" w:firstLineChars="257"/>
        <w:rPr>
          <w:rFonts w:ascii="宋体" w:hAnsi="宋体"/>
          <w:szCs w:val="21"/>
        </w:rPr>
      </w:pPr>
      <w:r>
        <w:rPr>
          <w:rFonts w:hint="eastAsia" w:ascii="宋体" w:hAnsi="宋体"/>
          <w:szCs w:val="21"/>
        </w:rPr>
        <w:t>7、我方针对编号为：</w:t>
      </w:r>
      <w:r>
        <w:rPr>
          <w:rFonts w:hint="eastAsia" w:ascii="宋体" w:hAnsi="宋体"/>
          <w:szCs w:val="21"/>
          <w:u w:val="single"/>
        </w:rPr>
        <w:t xml:space="preserve">         </w:t>
      </w:r>
      <w:r>
        <w:rPr>
          <w:rFonts w:hint="eastAsia" w:ascii="宋体" w:hAnsi="宋体"/>
          <w:szCs w:val="21"/>
        </w:rPr>
        <w:t>的项目投标：</w:t>
      </w:r>
    </w:p>
    <w:p>
      <w:pPr>
        <w:ind w:firstLine="1379" w:firstLineChars="657"/>
        <w:rPr>
          <w:rFonts w:ascii="宋体" w:hAnsi="宋体"/>
          <w:color w:val="000000"/>
          <w:szCs w:val="21"/>
        </w:rPr>
      </w:pPr>
      <w:r>
        <w:rPr>
          <w:rFonts w:hint="eastAsia" w:ascii="宋体" w:hAnsi="宋体"/>
          <w:color w:val="000000"/>
          <w:szCs w:val="21"/>
        </w:rPr>
        <w:t>提货券面额</w:t>
      </w:r>
      <w:r>
        <w:rPr>
          <w:rFonts w:hint="eastAsia" w:ascii="宋体" w:hAnsi="宋体"/>
          <w:color w:val="000000"/>
          <w:szCs w:val="21"/>
          <w:u w:val="single"/>
        </w:rPr>
        <w:t xml:space="preserve">        </w:t>
      </w:r>
      <w:r>
        <w:rPr>
          <w:rFonts w:hint="eastAsia" w:ascii="宋体" w:hAnsi="宋体"/>
          <w:color w:val="000000"/>
          <w:szCs w:val="21"/>
        </w:rPr>
        <w:t>元（招标方实付</w:t>
      </w:r>
      <w:r>
        <w:rPr>
          <w:rFonts w:hint="eastAsia" w:ascii="宋体" w:hAnsi="宋体"/>
          <w:color w:val="000000"/>
          <w:spacing w:val="4"/>
          <w:sz w:val="24"/>
        </w:rPr>
        <w:t>1800元</w:t>
      </w:r>
      <w:r>
        <w:rPr>
          <w:rFonts w:hint="eastAsia" w:ascii="宋体" w:hAnsi="宋体"/>
          <w:color w:val="000000"/>
          <w:szCs w:val="21"/>
        </w:rPr>
        <w:t>）。</w:t>
      </w:r>
    </w:p>
    <w:p>
      <w:pPr>
        <w:ind w:firstLine="539" w:firstLineChars="257"/>
        <w:rPr>
          <w:rFonts w:ascii="宋体"/>
          <w:szCs w:val="21"/>
        </w:rPr>
      </w:pPr>
      <w:r>
        <w:rPr>
          <w:rFonts w:hint="eastAsia" w:ascii="宋体" w:hAnsi="宋体"/>
          <w:szCs w:val="21"/>
        </w:rPr>
        <w:t xml:space="preserve">8、如我方中标： </w:t>
      </w:r>
    </w:p>
    <w:p>
      <w:pPr>
        <w:ind w:firstLine="539" w:firstLineChars="257"/>
        <w:rPr>
          <w:rFonts w:ascii="宋体"/>
          <w:szCs w:val="21"/>
        </w:rPr>
      </w:pPr>
      <w:r>
        <w:rPr>
          <w:rFonts w:hint="eastAsia" w:ascii="宋体" w:hAnsi="宋体"/>
          <w:szCs w:val="21"/>
        </w:rPr>
        <w:t>（</w:t>
      </w:r>
      <w:r>
        <w:rPr>
          <w:rFonts w:ascii="宋体" w:hAnsi="宋体"/>
          <w:szCs w:val="21"/>
        </w:rPr>
        <w:t>1</w:t>
      </w:r>
      <w:r>
        <w:rPr>
          <w:rFonts w:hint="eastAsia" w:ascii="宋体" w:hAnsi="宋体"/>
          <w:szCs w:val="21"/>
        </w:rPr>
        <w:t>）我方承诺在收到中标通知书后，在中标通知书规定的期限内与你方签订合同。</w:t>
      </w:r>
    </w:p>
    <w:p>
      <w:pPr>
        <w:ind w:firstLine="539" w:firstLineChars="257"/>
        <w:rPr>
          <w:rFonts w:ascii="宋体"/>
          <w:szCs w:val="21"/>
        </w:rPr>
      </w:pPr>
      <w:r>
        <w:rPr>
          <w:rFonts w:hint="eastAsia" w:ascii="宋体" w:hAnsi="宋体"/>
          <w:szCs w:val="21"/>
        </w:rPr>
        <w:t>（</w:t>
      </w:r>
      <w:r>
        <w:rPr>
          <w:rFonts w:ascii="宋体" w:hAnsi="宋体"/>
          <w:szCs w:val="21"/>
        </w:rPr>
        <w:t>2</w:t>
      </w:r>
      <w:r>
        <w:rPr>
          <w:rFonts w:hint="eastAsia" w:ascii="宋体" w:hAnsi="宋体"/>
          <w:szCs w:val="21"/>
        </w:rPr>
        <w:t>）随同本投标函递交的投标函附录属于合同文件的组成部分。</w:t>
      </w:r>
    </w:p>
    <w:p>
      <w:pPr>
        <w:ind w:firstLine="539" w:firstLineChars="257"/>
        <w:rPr>
          <w:rFonts w:ascii="宋体"/>
          <w:szCs w:val="21"/>
        </w:rPr>
      </w:pPr>
      <w:r>
        <w:rPr>
          <w:rFonts w:hint="eastAsia" w:ascii="宋体" w:hAnsi="宋体"/>
          <w:szCs w:val="21"/>
        </w:rPr>
        <w:t>（</w:t>
      </w:r>
      <w:r>
        <w:rPr>
          <w:rFonts w:ascii="宋体" w:hAnsi="宋体"/>
          <w:szCs w:val="21"/>
        </w:rPr>
        <w:t>3</w:t>
      </w:r>
      <w:r>
        <w:rPr>
          <w:rFonts w:hint="eastAsia" w:ascii="宋体" w:hAnsi="宋体"/>
          <w:szCs w:val="21"/>
        </w:rPr>
        <w:t>）我方承诺按照招标文件规定向你方递交</w:t>
      </w:r>
      <w:r>
        <w:rPr>
          <w:rFonts w:hint="eastAsia" w:ascii="宋体" w:hAnsi="宋体" w:cs="宋体"/>
          <w:bCs/>
          <w:szCs w:val="21"/>
        </w:rPr>
        <w:t>履约保证金和风险管理金</w:t>
      </w:r>
      <w:r>
        <w:rPr>
          <w:rFonts w:hint="eastAsia" w:ascii="宋体" w:hAnsi="宋体"/>
          <w:szCs w:val="21"/>
        </w:rPr>
        <w:t>。</w:t>
      </w:r>
    </w:p>
    <w:p>
      <w:pPr>
        <w:ind w:firstLine="539" w:firstLineChars="257"/>
        <w:rPr>
          <w:rFonts w:ascii="宋体"/>
          <w:szCs w:val="21"/>
        </w:rPr>
      </w:pPr>
      <w:r>
        <w:rPr>
          <w:rFonts w:hint="eastAsia" w:ascii="宋体" w:hAnsi="宋体"/>
          <w:szCs w:val="21"/>
        </w:rPr>
        <w:t>（</w:t>
      </w:r>
      <w:r>
        <w:rPr>
          <w:rFonts w:ascii="宋体" w:hAnsi="宋体"/>
          <w:szCs w:val="21"/>
        </w:rPr>
        <w:t>4</w:t>
      </w:r>
      <w:r>
        <w:rPr>
          <w:rFonts w:hint="eastAsia" w:ascii="宋体" w:hAnsi="宋体"/>
          <w:szCs w:val="21"/>
        </w:rPr>
        <w:t>）我方承诺在合同约定的期限内完成并移交全部合同项目内容。</w:t>
      </w:r>
    </w:p>
    <w:p>
      <w:pPr>
        <w:ind w:firstLine="539" w:firstLineChars="257"/>
        <w:rPr>
          <w:rFonts w:ascii="宋体" w:hAnsi="宋体"/>
          <w:szCs w:val="21"/>
        </w:rPr>
      </w:pPr>
      <w:r>
        <w:rPr>
          <w:rFonts w:hint="eastAsia" w:ascii="宋体" w:hAnsi="宋体"/>
          <w:szCs w:val="21"/>
        </w:rPr>
        <w:t>9、</w:t>
      </w:r>
      <w:r>
        <w:rPr>
          <w:rFonts w:hint="eastAsia" w:hAnsi="宋体" w:cs="华文细黑"/>
        </w:rPr>
        <w:t>我方将派出</w:t>
      </w:r>
      <w:r>
        <w:rPr>
          <w:rFonts w:hint="eastAsia" w:hAnsi="宋体" w:cs="华文细黑"/>
          <w:u w:val="single"/>
        </w:rPr>
        <w:t xml:space="preserve">    （</w:t>
      </w:r>
      <w:r>
        <w:rPr>
          <w:rFonts w:hint="eastAsia" w:hAnsi="宋体" w:cs="华文细黑"/>
        </w:rPr>
        <w:t>姓名和职务、联系方式）作为本项目的项目经理。</w:t>
      </w:r>
    </w:p>
    <w:p>
      <w:pPr>
        <w:ind w:firstLine="539" w:firstLineChars="257"/>
        <w:rPr>
          <w:rFonts w:ascii="宋体"/>
          <w:szCs w:val="21"/>
        </w:rPr>
      </w:pPr>
      <w:r>
        <w:rPr>
          <w:rFonts w:hint="eastAsia" w:ascii="宋体" w:hAnsi="宋体"/>
          <w:szCs w:val="21"/>
        </w:rPr>
        <w:t>10、我方在此声明，所递交的投标文件及有关资料内容完整、真实和准确，且不存在弄虚作假及其他违规行为。</w:t>
      </w:r>
    </w:p>
    <w:p>
      <w:pPr>
        <w:ind w:firstLine="539" w:firstLineChars="257"/>
        <w:rPr>
          <w:rFonts w:ascii="宋体"/>
          <w:szCs w:val="21"/>
        </w:rPr>
      </w:pPr>
      <w:r>
        <w:rPr>
          <w:rFonts w:hint="eastAsia" w:ascii="宋体" w:hAnsi="宋体"/>
          <w:szCs w:val="21"/>
        </w:rPr>
        <w:t>11、（其他补充说明）。</w:t>
      </w:r>
    </w:p>
    <w:p>
      <w:pPr>
        <w:ind w:firstLine="420" w:firstLineChars="200"/>
        <w:rPr>
          <w:rFonts w:ascii="宋体"/>
          <w:szCs w:val="21"/>
        </w:rPr>
      </w:pPr>
    </w:p>
    <w:p>
      <w:pPr>
        <w:tabs>
          <w:tab w:val="left" w:pos="1183"/>
        </w:tabs>
        <w:ind w:firstLine="539" w:firstLineChars="257"/>
        <w:rPr>
          <w:rFonts w:ascii="宋体"/>
          <w:szCs w:val="21"/>
        </w:rPr>
      </w:pPr>
      <w:r>
        <w:rPr>
          <w:rFonts w:ascii="宋体"/>
          <w:szCs w:val="21"/>
        </w:rPr>
        <w:tab/>
      </w:r>
    </w:p>
    <w:p>
      <w:pPr>
        <w:ind w:firstLine="539" w:firstLineChars="257"/>
        <w:rPr>
          <w:rFonts w:ascii="宋体"/>
          <w:szCs w:val="21"/>
        </w:rPr>
      </w:pPr>
      <w:r>
        <w:rPr>
          <w:rFonts w:hint="eastAsia" w:ascii="宋体" w:hAnsi="宋体"/>
          <w:szCs w:val="21"/>
        </w:rPr>
        <w:t>投标人：（盖单位章）</w:t>
      </w:r>
    </w:p>
    <w:p>
      <w:pPr>
        <w:ind w:firstLine="539" w:firstLineChars="257"/>
        <w:rPr>
          <w:rFonts w:ascii="宋体"/>
          <w:szCs w:val="21"/>
        </w:rPr>
      </w:pPr>
      <w:r>
        <w:rPr>
          <w:rFonts w:hint="eastAsia" w:ascii="宋体" w:hAnsi="宋体"/>
          <w:szCs w:val="21"/>
        </w:rPr>
        <w:t>法定代表人或其委托代理人：（签字）</w:t>
      </w:r>
    </w:p>
    <w:p>
      <w:pPr>
        <w:ind w:firstLine="539" w:firstLineChars="257"/>
        <w:rPr>
          <w:rFonts w:ascii="宋体"/>
          <w:szCs w:val="21"/>
        </w:rPr>
      </w:pPr>
      <w:r>
        <w:rPr>
          <w:rFonts w:hint="eastAsia" w:ascii="宋体" w:hAnsi="宋体"/>
          <w:szCs w:val="21"/>
        </w:rPr>
        <w:t>地址：</w:t>
      </w:r>
    </w:p>
    <w:p>
      <w:pPr>
        <w:ind w:firstLine="539" w:firstLineChars="257"/>
        <w:rPr>
          <w:rFonts w:ascii="宋体"/>
          <w:szCs w:val="21"/>
        </w:rPr>
      </w:pPr>
      <w:r>
        <w:rPr>
          <w:rFonts w:hint="eastAsia" w:ascii="宋体" w:hAnsi="宋体"/>
          <w:szCs w:val="21"/>
        </w:rPr>
        <w:t>网址：</w:t>
      </w:r>
    </w:p>
    <w:p>
      <w:pPr>
        <w:ind w:firstLine="539" w:firstLineChars="257"/>
        <w:rPr>
          <w:rFonts w:ascii="宋体"/>
          <w:szCs w:val="21"/>
        </w:rPr>
      </w:pPr>
      <w:r>
        <w:rPr>
          <w:rFonts w:hint="eastAsia" w:ascii="宋体" w:hAnsi="宋体"/>
          <w:szCs w:val="21"/>
        </w:rPr>
        <w:t>电话：</w:t>
      </w:r>
    </w:p>
    <w:p>
      <w:pPr>
        <w:ind w:firstLine="539" w:firstLineChars="257"/>
        <w:rPr>
          <w:rFonts w:ascii="宋体" w:hAnsi="宋体"/>
          <w:szCs w:val="21"/>
        </w:rPr>
      </w:pPr>
      <w:r>
        <w:rPr>
          <w:rFonts w:hint="eastAsia" w:ascii="宋体" w:hAnsi="宋体"/>
          <w:szCs w:val="21"/>
        </w:rPr>
        <w:t xml:space="preserve">传真：     </w:t>
      </w:r>
    </w:p>
    <w:p>
      <w:pPr>
        <w:ind w:firstLine="539" w:firstLineChars="257"/>
        <w:jc w:val="right"/>
        <w:rPr>
          <w:rFonts w:cs="宋体"/>
          <w:kern w:val="0"/>
          <w:szCs w:val="21"/>
        </w:rPr>
      </w:pPr>
      <w:r>
        <w:rPr>
          <w:rFonts w:hint="eastAsia" w:cs="宋体"/>
          <w:kern w:val="0"/>
          <w:szCs w:val="21"/>
        </w:rPr>
        <w:t>2020年 月  日</w:t>
      </w:r>
    </w:p>
    <w:p>
      <w:pPr>
        <w:ind w:firstLine="539" w:firstLineChars="257"/>
        <w:jc w:val="right"/>
        <w:rPr>
          <w:rFonts w:cs="宋体"/>
          <w:kern w:val="0"/>
          <w:szCs w:val="21"/>
        </w:rPr>
      </w:pPr>
    </w:p>
    <w:p>
      <w:pPr>
        <w:ind w:firstLine="539" w:firstLineChars="257"/>
        <w:jc w:val="right"/>
        <w:rPr>
          <w:rFonts w:cs="宋体"/>
          <w:kern w:val="0"/>
          <w:szCs w:val="21"/>
        </w:rPr>
      </w:pPr>
    </w:p>
    <w:p>
      <w:pPr>
        <w:rPr>
          <w:rFonts w:ascii="Helvetica" w:hAnsi="Helvetica" w:cs="Helvetica"/>
          <w:b/>
          <w:bCs/>
          <w:kern w:val="0"/>
          <w:sz w:val="24"/>
        </w:rPr>
      </w:pPr>
    </w:p>
    <w:sectPr>
      <w:headerReference r:id="rId8" w:type="first"/>
      <w:footerReference r:id="rId11" w:type="first"/>
      <w:headerReference r:id="rId6" w:type="default"/>
      <w:footerReference r:id="rId9" w:type="default"/>
      <w:headerReference r:id="rId7" w:type="even"/>
      <w:footerReference r:id="rId10"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华文细黑">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7"/>
      </w:rPr>
    </w:pPr>
    <w:r>
      <w:fldChar w:fldCharType="begin"/>
    </w:r>
    <w:r>
      <w:rPr>
        <w:rStyle w:val="17"/>
      </w:rPr>
      <w:instrText xml:space="preserve">PAGE  </w:instrText>
    </w:r>
    <w:r>
      <w:fldChar w:fldCharType="separate"/>
    </w:r>
    <w:r>
      <w:rPr>
        <w:rStyle w:val="17"/>
      </w:rPr>
      <w:t>8</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7"/>
      </w:rPr>
    </w:pPr>
    <w:r>
      <w:fldChar w:fldCharType="begin"/>
    </w:r>
    <w:r>
      <w:rPr>
        <w:rStyle w:val="17"/>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7"/>
      </w:rPr>
    </w:pPr>
    <w:r>
      <w:fldChar w:fldCharType="begin"/>
    </w:r>
    <w:r>
      <w:rPr>
        <w:rStyle w:val="17"/>
      </w:rPr>
      <w:instrText xml:space="preserve">PAGE  </w:instrText>
    </w:r>
    <w:r>
      <w:fldChar w:fldCharType="separate"/>
    </w:r>
    <w:r>
      <w:rPr>
        <w:rStyle w:val="17"/>
      </w:rPr>
      <w:t>10</w:t>
    </w:r>
    <w: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7"/>
      </w:rPr>
    </w:pPr>
    <w:r>
      <w:fldChar w:fldCharType="begin"/>
    </w:r>
    <w:r>
      <w:rPr>
        <w:rStyle w:val="17"/>
      </w:rPr>
      <w:instrText xml:space="preserve">PAGE  </w:instrText>
    </w:r>
    <w:r>
      <w:fldChar w:fldCharType="end"/>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511F9"/>
    <w:multiLevelType w:val="multilevel"/>
    <w:tmpl w:val="1BC511F9"/>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85F"/>
    <w:rsid w:val="00001616"/>
    <w:rsid w:val="0000494D"/>
    <w:rsid w:val="00007A72"/>
    <w:rsid w:val="000115FE"/>
    <w:rsid w:val="00016CA1"/>
    <w:rsid w:val="00021C23"/>
    <w:rsid w:val="00024B9F"/>
    <w:rsid w:val="00024C67"/>
    <w:rsid w:val="00027149"/>
    <w:rsid w:val="00030DE3"/>
    <w:rsid w:val="00031739"/>
    <w:rsid w:val="00032F1C"/>
    <w:rsid w:val="00034E25"/>
    <w:rsid w:val="0003548A"/>
    <w:rsid w:val="000366BC"/>
    <w:rsid w:val="00053727"/>
    <w:rsid w:val="00057701"/>
    <w:rsid w:val="0006009D"/>
    <w:rsid w:val="00063954"/>
    <w:rsid w:val="000660A3"/>
    <w:rsid w:val="00074B59"/>
    <w:rsid w:val="0007613D"/>
    <w:rsid w:val="000811BF"/>
    <w:rsid w:val="00083DB1"/>
    <w:rsid w:val="000859F3"/>
    <w:rsid w:val="00093D86"/>
    <w:rsid w:val="000943AC"/>
    <w:rsid w:val="00095F0C"/>
    <w:rsid w:val="000A5789"/>
    <w:rsid w:val="000A5A61"/>
    <w:rsid w:val="000A690F"/>
    <w:rsid w:val="000A7CFF"/>
    <w:rsid w:val="000B0A23"/>
    <w:rsid w:val="000B12AD"/>
    <w:rsid w:val="000B31E4"/>
    <w:rsid w:val="000B71F8"/>
    <w:rsid w:val="000C02D2"/>
    <w:rsid w:val="000C26F4"/>
    <w:rsid w:val="000C3C6A"/>
    <w:rsid w:val="000D0160"/>
    <w:rsid w:val="000D167E"/>
    <w:rsid w:val="000D5C14"/>
    <w:rsid w:val="000D7C0B"/>
    <w:rsid w:val="000E1229"/>
    <w:rsid w:val="000E18A0"/>
    <w:rsid w:val="000E39FB"/>
    <w:rsid w:val="000E6C82"/>
    <w:rsid w:val="000F39A0"/>
    <w:rsid w:val="000F55EC"/>
    <w:rsid w:val="000F5FB3"/>
    <w:rsid w:val="00103E81"/>
    <w:rsid w:val="001064C9"/>
    <w:rsid w:val="0010792E"/>
    <w:rsid w:val="00107F92"/>
    <w:rsid w:val="00116CF9"/>
    <w:rsid w:val="00122C24"/>
    <w:rsid w:val="00122D05"/>
    <w:rsid w:val="00125F52"/>
    <w:rsid w:val="00127F1D"/>
    <w:rsid w:val="00131C3C"/>
    <w:rsid w:val="00133CD0"/>
    <w:rsid w:val="001341F8"/>
    <w:rsid w:val="001362AD"/>
    <w:rsid w:val="001409D9"/>
    <w:rsid w:val="00140B19"/>
    <w:rsid w:val="00150284"/>
    <w:rsid w:val="00150E60"/>
    <w:rsid w:val="00156DC3"/>
    <w:rsid w:val="00157181"/>
    <w:rsid w:val="001617F3"/>
    <w:rsid w:val="001664FF"/>
    <w:rsid w:val="0016691B"/>
    <w:rsid w:val="00170C74"/>
    <w:rsid w:val="00184255"/>
    <w:rsid w:val="001A03BC"/>
    <w:rsid w:val="001A1DC6"/>
    <w:rsid w:val="001A4A60"/>
    <w:rsid w:val="001A4D8E"/>
    <w:rsid w:val="001A6CCE"/>
    <w:rsid w:val="001A7DC0"/>
    <w:rsid w:val="001B2354"/>
    <w:rsid w:val="001B47FF"/>
    <w:rsid w:val="001B6E85"/>
    <w:rsid w:val="001C1B5D"/>
    <w:rsid w:val="001C2FA3"/>
    <w:rsid w:val="001C7FA2"/>
    <w:rsid w:val="001D08E0"/>
    <w:rsid w:val="001D1413"/>
    <w:rsid w:val="001D2180"/>
    <w:rsid w:val="001E01F9"/>
    <w:rsid w:val="001F1EB4"/>
    <w:rsid w:val="001F34BD"/>
    <w:rsid w:val="001F4411"/>
    <w:rsid w:val="001F6031"/>
    <w:rsid w:val="001F6790"/>
    <w:rsid w:val="0020417C"/>
    <w:rsid w:val="00204660"/>
    <w:rsid w:val="00214BE6"/>
    <w:rsid w:val="002241ED"/>
    <w:rsid w:val="00232D46"/>
    <w:rsid w:val="00233418"/>
    <w:rsid w:val="002366B4"/>
    <w:rsid w:val="002366CB"/>
    <w:rsid w:val="00236A59"/>
    <w:rsid w:val="002424EB"/>
    <w:rsid w:val="0025132E"/>
    <w:rsid w:val="0025429F"/>
    <w:rsid w:val="00261805"/>
    <w:rsid w:val="002631D3"/>
    <w:rsid w:val="00267785"/>
    <w:rsid w:val="00272188"/>
    <w:rsid w:val="00272A27"/>
    <w:rsid w:val="00275F00"/>
    <w:rsid w:val="00281285"/>
    <w:rsid w:val="002838A9"/>
    <w:rsid w:val="0028768E"/>
    <w:rsid w:val="002945DD"/>
    <w:rsid w:val="00295538"/>
    <w:rsid w:val="002A0833"/>
    <w:rsid w:val="002A2908"/>
    <w:rsid w:val="002A2C2A"/>
    <w:rsid w:val="002A5ABA"/>
    <w:rsid w:val="002C74F8"/>
    <w:rsid w:val="002D2DB8"/>
    <w:rsid w:val="002D397A"/>
    <w:rsid w:val="002D4078"/>
    <w:rsid w:val="002D48EC"/>
    <w:rsid w:val="002D7A28"/>
    <w:rsid w:val="002D7C25"/>
    <w:rsid w:val="002E0329"/>
    <w:rsid w:val="002E0C09"/>
    <w:rsid w:val="002E3F5E"/>
    <w:rsid w:val="002E7457"/>
    <w:rsid w:val="002E799C"/>
    <w:rsid w:val="002F354C"/>
    <w:rsid w:val="002F52C8"/>
    <w:rsid w:val="00306706"/>
    <w:rsid w:val="0031087D"/>
    <w:rsid w:val="00311918"/>
    <w:rsid w:val="0031419D"/>
    <w:rsid w:val="00332852"/>
    <w:rsid w:val="00333AF5"/>
    <w:rsid w:val="00333F5F"/>
    <w:rsid w:val="00341833"/>
    <w:rsid w:val="00346147"/>
    <w:rsid w:val="00347BB2"/>
    <w:rsid w:val="00363150"/>
    <w:rsid w:val="00363CBB"/>
    <w:rsid w:val="00373CB4"/>
    <w:rsid w:val="003765D3"/>
    <w:rsid w:val="003844A8"/>
    <w:rsid w:val="00385DAA"/>
    <w:rsid w:val="0038778E"/>
    <w:rsid w:val="00390CFB"/>
    <w:rsid w:val="00391314"/>
    <w:rsid w:val="00392BDD"/>
    <w:rsid w:val="003A26E7"/>
    <w:rsid w:val="003A5BD1"/>
    <w:rsid w:val="003C4523"/>
    <w:rsid w:val="003C5ABD"/>
    <w:rsid w:val="003C6B2A"/>
    <w:rsid w:val="003C78D7"/>
    <w:rsid w:val="003D0490"/>
    <w:rsid w:val="003E2F1B"/>
    <w:rsid w:val="003E3AA4"/>
    <w:rsid w:val="003F06DB"/>
    <w:rsid w:val="003F6599"/>
    <w:rsid w:val="00402E50"/>
    <w:rsid w:val="00403D2F"/>
    <w:rsid w:val="00403E9A"/>
    <w:rsid w:val="00404D5E"/>
    <w:rsid w:val="00405116"/>
    <w:rsid w:val="00405E54"/>
    <w:rsid w:val="00407CFB"/>
    <w:rsid w:val="004135CA"/>
    <w:rsid w:val="0042000E"/>
    <w:rsid w:val="00420A5B"/>
    <w:rsid w:val="00432B56"/>
    <w:rsid w:val="00434C8A"/>
    <w:rsid w:val="0043677B"/>
    <w:rsid w:val="004368F4"/>
    <w:rsid w:val="00441B37"/>
    <w:rsid w:val="0044243D"/>
    <w:rsid w:val="00453C59"/>
    <w:rsid w:val="00460952"/>
    <w:rsid w:val="00467C95"/>
    <w:rsid w:val="00472150"/>
    <w:rsid w:val="00477C27"/>
    <w:rsid w:val="004841D0"/>
    <w:rsid w:val="00490A1A"/>
    <w:rsid w:val="00493133"/>
    <w:rsid w:val="0049745E"/>
    <w:rsid w:val="004A775D"/>
    <w:rsid w:val="004A7BE8"/>
    <w:rsid w:val="004B1215"/>
    <w:rsid w:val="004C0CDA"/>
    <w:rsid w:val="004C131C"/>
    <w:rsid w:val="004C36C1"/>
    <w:rsid w:val="004C3C53"/>
    <w:rsid w:val="004C6AD2"/>
    <w:rsid w:val="004C6E24"/>
    <w:rsid w:val="004D0A11"/>
    <w:rsid w:val="004D147B"/>
    <w:rsid w:val="004D2272"/>
    <w:rsid w:val="004D4193"/>
    <w:rsid w:val="004D5B0B"/>
    <w:rsid w:val="004D7206"/>
    <w:rsid w:val="004E7018"/>
    <w:rsid w:val="004F05F6"/>
    <w:rsid w:val="004F0847"/>
    <w:rsid w:val="00500D4E"/>
    <w:rsid w:val="005011B0"/>
    <w:rsid w:val="00504427"/>
    <w:rsid w:val="0051560A"/>
    <w:rsid w:val="005222D5"/>
    <w:rsid w:val="00523712"/>
    <w:rsid w:val="00524B9B"/>
    <w:rsid w:val="00526BEE"/>
    <w:rsid w:val="0052711C"/>
    <w:rsid w:val="005317C3"/>
    <w:rsid w:val="005319AA"/>
    <w:rsid w:val="005321A2"/>
    <w:rsid w:val="0053416B"/>
    <w:rsid w:val="00536585"/>
    <w:rsid w:val="00547833"/>
    <w:rsid w:val="0055164D"/>
    <w:rsid w:val="00561F83"/>
    <w:rsid w:val="00565D6A"/>
    <w:rsid w:val="00570191"/>
    <w:rsid w:val="00570946"/>
    <w:rsid w:val="005737C9"/>
    <w:rsid w:val="005816EC"/>
    <w:rsid w:val="00587EF1"/>
    <w:rsid w:val="00594510"/>
    <w:rsid w:val="005952B9"/>
    <w:rsid w:val="005958E1"/>
    <w:rsid w:val="005967E6"/>
    <w:rsid w:val="00597E5F"/>
    <w:rsid w:val="005A4785"/>
    <w:rsid w:val="005B006A"/>
    <w:rsid w:val="005B3289"/>
    <w:rsid w:val="005B44CE"/>
    <w:rsid w:val="005B5594"/>
    <w:rsid w:val="005B66FB"/>
    <w:rsid w:val="005C5FDB"/>
    <w:rsid w:val="005D5A48"/>
    <w:rsid w:val="005E0228"/>
    <w:rsid w:val="005E271E"/>
    <w:rsid w:val="005E46B9"/>
    <w:rsid w:val="005F2C3B"/>
    <w:rsid w:val="005F386F"/>
    <w:rsid w:val="005F3BDB"/>
    <w:rsid w:val="005F55B5"/>
    <w:rsid w:val="005F71A8"/>
    <w:rsid w:val="005F72FC"/>
    <w:rsid w:val="00602BB3"/>
    <w:rsid w:val="00611C30"/>
    <w:rsid w:val="00613DCD"/>
    <w:rsid w:val="006173CF"/>
    <w:rsid w:val="00621F33"/>
    <w:rsid w:val="00626A1A"/>
    <w:rsid w:val="00627923"/>
    <w:rsid w:val="00631983"/>
    <w:rsid w:val="00640931"/>
    <w:rsid w:val="00642839"/>
    <w:rsid w:val="0064406E"/>
    <w:rsid w:val="0064539A"/>
    <w:rsid w:val="006548D3"/>
    <w:rsid w:val="00656FCB"/>
    <w:rsid w:val="00657D4E"/>
    <w:rsid w:val="0066442A"/>
    <w:rsid w:val="00665304"/>
    <w:rsid w:val="0066553D"/>
    <w:rsid w:val="0066731D"/>
    <w:rsid w:val="00670560"/>
    <w:rsid w:val="00671D0B"/>
    <w:rsid w:val="00673068"/>
    <w:rsid w:val="00675D23"/>
    <w:rsid w:val="00676F20"/>
    <w:rsid w:val="00677A9A"/>
    <w:rsid w:val="00680BEF"/>
    <w:rsid w:val="00683394"/>
    <w:rsid w:val="0068340A"/>
    <w:rsid w:val="0068507A"/>
    <w:rsid w:val="006850B9"/>
    <w:rsid w:val="006864BD"/>
    <w:rsid w:val="0069799B"/>
    <w:rsid w:val="006A0D28"/>
    <w:rsid w:val="006A105F"/>
    <w:rsid w:val="006A2683"/>
    <w:rsid w:val="006B0CE3"/>
    <w:rsid w:val="006B43C0"/>
    <w:rsid w:val="006C396A"/>
    <w:rsid w:val="006C49D8"/>
    <w:rsid w:val="006D037E"/>
    <w:rsid w:val="006D28A2"/>
    <w:rsid w:val="006D351E"/>
    <w:rsid w:val="006D3CDA"/>
    <w:rsid w:val="006E6333"/>
    <w:rsid w:val="00700547"/>
    <w:rsid w:val="00712349"/>
    <w:rsid w:val="00714F1F"/>
    <w:rsid w:val="0072051A"/>
    <w:rsid w:val="00720E25"/>
    <w:rsid w:val="00722103"/>
    <w:rsid w:val="00723DA9"/>
    <w:rsid w:val="00723F62"/>
    <w:rsid w:val="00724348"/>
    <w:rsid w:val="007310CD"/>
    <w:rsid w:val="00735393"/>
    <w:rsid w:val="00736438"/>
    <w:rsid w:val="00744647"/>
    <w:rsid w:val="00751282"/>
    <w:rsid w:val="00753B51"/>
    <w:rsid w:val="007545D6"/>
    <w:rsid w:val="007561E6"/>
    <w:rsid w:val="00756DEF"/>
    <w:rsid w:val="00760DCF"/>
    <w:rsid w:val="00762AF3"/>
    <w:rsid w:val="00765277"/>
    <w:rsid w:val="007668A8"/>
    <w:rsid w:val="007679FC"/>
    <w:rsid w:val="00771185"/>
    <w:rsid w:val="00771B13"/>
    <w:rsid w:val="007727F1"/>
    <w:rsid w:val="00774FF6"/>
    <w:rsid w:val="00776726"/>
    <w:rsid w:val="00780247"/>
    <w:rsid w:val="00782C0C"/>
    <w:rsid w:val="0078305C"/>
    <w:rsid w:val="007878BC"/>
    <w:rsid w:val="00787F94"/>
    <w:rsid w:val="007928F1"/>
    <w:rsid w:val="007947D4"/>
    <w:rsid w:val="007A0247"/>
    <w:rsid w:val="007A124E"/>
    <w:rsid w:val="007A24EC"/>
    <w:rsid w:val="007A63BB"/>
    <w:rsid w:val="007A7B30"/>
    <w:rsid w:val="007B0DB0"/>
    <w:rsid w:val="007C6E13"/>
    <w:rsid w:val="007C7286"/>
    <w:rsid w:val="007D0BD2"/>
    <w:rsid w:val="007D33E0"/>
    <w:rsid w:val="007D3A9C"/>
    <w:rsid w:val="007D577D"/>
    <w:rsid w:val="007D6476"/>
    <w:rsid w:val="007F0E16"/>
    <w:rsid w:val="007F344E"/>
    <w:rsid w:val="007F7523"/>
    <w:rsid w:val="00800EAE"/>
    <w:rsid w:val="00801295"/>
    <w:rsid w:val="00801D15"/>
    <w:rsid w:val="00802827"/>
    <w:rsid w:val="00802D1A"/>
    <w:rsid w:val="00803829"/>
    <w:rsid w:val="00803843"/>
    <w:rsid w:val="00803CDF"/>
    <w:rsid w:val="00804579"/>
    <w:rsid w:val="00805545"/>
    <w:rsid w:val="008063C8"/>
    <w:rsid w:val="008067A0"/>
    <w:rsid w:val="00806D80"/>
    <w:rsid w:val="008070E2"/>
    <w:rsid w:val="00811107"/>
    <w:rsid w:val="008120ED"/>
    <w:rsid w:val="008141CF"/>
    <w:rsid w:val="00814D7D"/>
    <w:rsid w:val="00815078"/>
    <w:rsid w:val="008179A4"/>
    <w:rsid w:val="00821950"/>
    <w:rsid w:val="008244C2"/>
    <w:rsid w:val="00827C22"/>
    <w:rsid w:val="00834614"/>
    <w:rsid w:val="0083501B"/>
    <w:rsid w:val="0085434D"/>
    <w:rsid w:val="00854F0D"/>
    <w:rsid w:val="00854F47"/>
    <w:rsid w:val="008603BE"/>
    <w:rsid w:val="00862A01"/>
    <w:rsid w:val="00864FBB"/>
    <w:rsid w:val="008719BB"/>
    <w:rsid w:val="008754C0"/>
    <w:rsid w:val="00875F3A"/>
    <w:rsid w:val="008813D3"/>
    <w:rsid w:val="00881476"/>
    <w:rsid w:val="00881CE4"/>
    <w:rsid w:val="008869D1"/>
    <w:rsid w:val="00890E5B"/>
    <w:rsid w:val="00891CFE"/>
    <w:rsid w:val="008927EF"/>
    <w:rsid w:val="008A2A18"/>
    <w:rsid w:val="008A4776"/>
    <w:rsid w:val="008A6218"/>
    <w:rsid w:val="008A7437"/>
    <w:rsid w:val="008A7B44"/>
    <w:rsid w:val="008B085B"/>
    <w:rsid w:val="008B099E"/>
    <w:rsid w:val="008B132B"/>
    <w:rsid w:val="008B3547"/>
    <w:rsid w:val="008C07C9"/>
    <w:rsid w:val="008C2E27"/>
    <w:rsid w:val="008C2F39"/>
    <w:rsid w:val="008C3D4A"/>
    <w:rsid w:val="008D1BCB"/>
    <w:rsid w:val="008D2BBC"/>
    <w:rsid w:val="008D7506"/>
    <w:rsid w:val="008E0BD8"/>
    <w:rsid w:val="008E1C2E"/>
    <w:rsid w:val="008E1EF4"/>
    <w:rsid w:val="008E36A4"/>
    <w:rsid w:val="008F0B88"/>
    <w:rsid w:val="008F1A10"/>
    <w:rsid w:val="008F5D30"/>
    <w:rsid w:val="0090045A"/>
    <w:rsid w:val="00905864"/>
    <w:rsid w:val="00906DCB"/>
    <w:rsid w:val="009079D3"/>
    <w:rsid w:val="00912749"/>
    <w:rsid w:val="009166D3"/>
    <w:rsid w:val="00917B69"/>
    <w:rsid w:val="00920FCB"/>
    <w:rsid w:val="009221A0"/>
    <w:rsid w:val="00924BFE"/>
    <w:rsid w:val="00925A09"/>
    <w:rsid w:val="00936762"/>
    <w:rsid w:val="009372BC"/>
    <w:rsid w:val="009406CF"/>
    <w:rsid w:val="00945D4A"/>
    <w:rsid w:val="009550E2"/>
    <w:rsid w:val="00955EA6"/>
    <w:rsid w:val="009628CE"/>
    <w:rsid w:val="00964690"/>
    <w:rsid w:val="0097079B"/>
    <w:rsid w:val="00972D0F"/>
    <w:rsid w:val="00975807"/>
    <w:rsid w:val="00993EA2"/>
    <w:rsid w:val="0099785F"/>
    <w:rsid w:val="00997891"/>
    <w:rsid w:val="009A1096"/>
    <w:rsid w:val="009A3ACB"/>
    <w:rsid w:val="009A7EDC"/>
    <w:rsid w:val="009B39B3"/>
    <w:rsid w:val="009B42BD"/>
    <w:rsid w:val="009C0944"/>
    <w:rsid w:val="009C3888"/>
    <w:rsid w:val="009D1F54"/>
    <w:rsid w:val="009D4296"/>
    <w:rsid w:val="009D5CA8"/>
    <w:rsid w:val="009E2502"/>
    <w:rsid w:val="009E269C"/>
    <w:rsid w:val="009E2F7B"/>
    <w:rsid w:val="009E6319"/>
    <w:rsid w:val="009E7858"/>
    <w:rsid w:val="009F6157"/>
    <w:rsid w:val="009F7074"/>
    <w:rsid w:val="009F7949"/>
    <w:rsid w:val="00A01BC1"/>
    <w:rsid w:val="00A04102"/>
    <w:rsid w:val="00A070EC"/>
    <w:rsid w:val="00A117D2"/>
    <w:rsid w:val="00A1192E"/>
    <w:rsid w:val="00A1578C"/>
    <w:rsid w:val="00A2047F"/>
    <w:rsid w:val="00A23C12"/>
    <w:rsid w:val="00A25598"/>
    <w:rsid w:val="00A26AD4"/>
    <w:rsid w:val="00A35C6D"/>
    <w:rsid w:val="00A4149C"/>
    <w:rsid w:val="00A43804"/>
    <w:rsid w:val="00A4504F"/>
    <w:rsid w:val="00A4591E"/>
    <w:rsid w:val="00A4619D"/>
    <w:rsid w:val="00A5342B"/>
    <w:rsid w:val="00A574B0"/>
    <w:rsid w:val="00A6229C"/>
    <w:rsid w:val="00A6280A"/>
    <w:rsid w:val="00A84C55"/>
    <w:rsid w:val="00A93F4C"/>
    <w:rsid w:val="00A97A29"/>
    <w:rsid w:val="00AA0B77"/>
    <w:rsid w:val="00AA1148"/>
    <w:rsid w:val="00AA3984"/>
    <w:rsid w:val="00AA5F84"/>
    <w:rsid w:val="00AB1310"/>
    <w:rsid w:val="00AB33E1"/>
    <w:rsid w:val="00AB6482"/>
    <w:rsid w:val="00AC382A"/>
    <w:rsid w:val="00AC6934"/>
    <w:rsid w:val="00AE5D8F"/>
    <w:rsid w:val="00AE6E5A"/>
    <w:rsid w:val="00AF1566"/>
    <w:rsid w:val="00AF6D4A"/>
    <w:rsid w:val="00B03A8D"/>
    <w:rsid w:val="00B12DEC"/>
    <w:rsid w:val="00B14795"/>
    <w:rsid w:val="00B155A8"/>
    <w:rsid w:val="00B16D0C"/>
    <w:rsid w:val="00B173F6"/>
    <w:rsid w:val="00B22CAC"/>
    <w:rsid w:val="00B22CE1"/>
    <w:rsid w:val="00B3238D"/>
    <w:rsid w:val="00B340BE"/>
    <w:rsid w:val="00B429A2"/>
    <w:rsid w:val="00B4300C"/>
    <w:rsid w:val="00B50FAC"/>
    <w:rsid w:val="00B55E90"/>
    <w:rsid w:val="00B613D2"/>
    <w:rsid w:val="00B6282D"/>
    <w:rsid w:val="00B641E1"/>
    <w:rsid w:val="00B6423B"/>
    <w:rsid w:val="00B72E74"/>
    <w:rsid w:val="00B733AE"/>
    <w:rsid w:val="00B75C02"/>
    <w:rsid w:val="00B76FED"/>
    <w:rsid w:val="00B8326F"/>
    <w:rsid w:val="00B84283"/>
    <w:rsid w:val="00B84C29"/>
    <w:rsid w:val="00B87E78"/>
    <w:rsid w:val="00B9025B"/>
    <w:rsid w:val="00B90768"/>
    <w:rsid w:val="00B911D8"/>
    <w:rsid w:val="00B9159A"/>
    <w:rsid w:val="00B9550D"/>
    <w:rsid w:val="00BA32D4"/>
    <w:rsid w:val="00BA7B29"/>
    <w:rsid w:val="00BB5C96"/>
    <w:rsid w:val="00BB5CE5"/>
    <w:rsid w:val="00BC2382"/>
    <w:rsid w:val="00BC2772"/>
    <w:rsid w:val="00BC6F2B"/>
    <w:rsid w:val="00BD30FE"/>
    <w:rsid w:val="00BE1AA5"/>
    <w:rsid w:val="00BF2FB3"/>
    <w:rsid w:val="00BF3FDA"/>
    <w:rsid w:val="00BF4EFB"/>
    <w:rsid w:val="00BF5F68"/>
    <w:rsid w:val="00C015E9"/>
    <w:rsid w:val="00C03864"/>
    <w:rsid w:val="00C06FD8"/>
    <w:rsid w:val="00C16C53"/>
    <w:rsid w:val="00C2157E"/>
    <w:rsid w:val="00C218D6"/>
    <w:rsid w:val="00C23478"/>
    <w:rsid w:val="00C26B94"/>
    <w:rsid w:val="00C311AA"/>
    <w:rsid w:val="00C312B9"/>
    <w:rsid w:val="00C31AC3"/>
    <w:rsid w:val="00C32AC9"/>
    <w:rsid w:val="00C40BCE"/>
    <w:rsid w:val="00C45F7F"/>
    <w:rsid w:val="00C46803"/>
    <w:rsid w:val="00C57008"/>
    <w:rsid w:val="00C618B9"/>
    <w:rsid w:val="00C63AAA"/>
    <w:rsid w:val="00C74885"/>
    <w:rsid w:val="00C748E0"/>
    <w:rsid w:val="00C74BFD"/>
    <w:rsid w:val="00C86193"/>
    <w:rsid w:val="00C86C45"/>
    <w:rsid w:val="00C91792"/>
    <w:rsid w:val="00C9218C"/>
    <w:rsid w:val="00C948F9"/>
    <w:rsid w:val="00C94D00"/>
    <w:rsid w:val="00CA3715"/>
    <w:rsid w:val="00CB3DC8"/>
    <w:rsid w:val="00CB5721"/>
    <w:rsid w:val="00CB6609"/>
    <w:rsid w:val="00CD0C90"/>
    <w:rsid w:val="00CD3FA6"/>
    <w:rsid w:val="00CD45D5"/>
    <w:rsid w:val="00CD68E7"/>
    <w:rsid w:val="00CD68EE"/>
    <w:rsid w:val="00CD766F"/>
    <w:rsid w:val="00CE0E67"/>
    <w:rsid w:val="00CE1748"/>
    <w:rsid w:val="00CE2033"/>
    <w:rsid w:val="00CE4B30"/>
    <w:rsid w:val="00CE5076"/>
    <w:rsid w:val="00CE7273"/>
    <w:rsid w:val="00CF10D3"/>
    <w:rsid w:val="00CF3F2F"/>
    <w:rsid w:val="00CF47D6"/>
    <w:rsid w:val="00CF645A"/>
    <w:rsid w:val="00CF7022"/>
    <w:rsid w:val="00D01437"/>
    <w:rsid w:val="00D021F7"/>
    <w:rsid w:val="00D04D20"/>
    <w:rsid w:val="00D06B9D"/>
    <w:rsid w:val="00D11580"/>
    <w:rsid w:val="00D12A04"/>
    <w:rsid w:val="00D151A6"/>
    <w:rsid w:val="00D15EDE"/>
    <w:rsid w:val="00D339FF"/>
    <w:rsid w:val="00D35438"/>
    <w:rsid w:val="00D3677B"/>
    <w:rsid w:val="00D37278"/>
    <w:rsid w:val="00D422F0"/>
    <w:rsid w:val="00D42478"/>
    <w:rsid w:val="00D47834"/>
    <w:rsid w:val="00D517D6"/>
    <w:rsid w:val="00D5438F"/>
    <w:rsid w:val="00D547BD"/>
    <w:rsid w:val="00D5556E"/>
    <w:rsid w:val="00D575E9"/>
    <w:rsid w:val="00D57A7C"/>
    <w:rsid w:val="00D60A30"/>
    <w:rsid w:val="00D6701B"/>
    <w:rsid w:val="00D714B5"/>
    <w:rsid w:val="00D8013F"/>
    <w:rsid w:val="00D8034B"/>
    <w:rsid w:val="00D87C5E"/>
    <w:rsid w:val="00D91947"/>
    <w:rsid w:val="00D952C2"/>
    <w:rsid w:val="00D9777C"/>
    <w:rsid w:val="00DA1E73"/>
    <w:rsid w:val="00DA269B"/>
    <w:rsid w:val="00DA39D9"/>
    <w:rsid w:val="00DA7DF6"/>
    <w:rsid w:val="00DA7F74"/>
    <w:rsid w:val="00DB061E"/>
    <w:rsid w:val="00DB105F"/>
    <w:rsid w:val="00DB4E94"/>
    <w:rsid w:val="00DB6500"/>
    <w:rsid w:val="00DB75A5"/>
    <w:rsid w:val="00DC02DE"/>
    <w:rsid w:val="00DD032B"/>
    <w:rsid w:val="00DD059F"/>
    <w:rsid w:val="00DD0695"/>
    <w:rsid w:val="00DD239F"/>
    <w:rsid w:val="00DF0D8B"/>
    <w:rsid w:val="00DF22E9"/>
    <w:rsid w:val="00DF61FD"/>
    <w:rsid w:val="00E0031C"/>
    <w:rsid w:val="00E00BEE"/>
    <w:rsid w:val="00E06BAF"/>
    <w:rsid w:val="00E13AD2"/>
    <w:rsid w:val="00E140E0"/>
    <w:rsid w:val="00E27B52"/>
    <w:rsid w:val="00E31FBF"/>
    <w:rsid w:val="00E37F6D"/>
    <w:rsid w:val="00E40957"/>
    <w:rsid w:val="00E51820"/>
    <w:rsid w:val="00E61C0D"/>
    <w:rsid w:val="00E66BF8"/>
    <w:rsid w:val="00E67127"/>
    <w:rsid w:val="00E71076"/>
    <w:rsid w:val="00E71B7B"/>
    <w:rsid w:val="00E71BFB"/>
    <w:rsid w:val="00E71E36"/>
    <w:rsid w:val="00E74540"/>
    <w:rsid w:val="00E84BCB"/>
    <w:rsid w:val="00E8777B"/>
    <w:rsid w:val="00E97124"/>
    <w:rsid w:val="00EB1D16"/>
    <w:rsid w:val="00EB2824"/>
    <w:rsid w:val="00EB337A"/>
    <w:rsid w:val="00EB4017"/>
    <w:rsid w:val="00EB50F6"/>
    <w:rsid w:val="00EB5C19"/>
    <w:rsid w:val="00EB7D72"/>
    <w:rsid w:val="00EC0095"/>
    <w:rsid w:val="00EC1E8F"/>
    <w:rsid w:val="00ED0B60"/>
    <w:rsid w:val="00ED3583"/>
    <w:rsid w:val="00ED4BD6"/>
    <w:rsid w:val="00EE1EB7"/>
    <w:rsid w:val="00EE6206"/>
    <w:rsid w:val="00EF162E"/>
    <w:rsid w:val="00EF3D06"/>
    <w:rsid w:val="00F01C8D"/>
    <w:rsid w:val="00F027A1"/>
    <w:rsid w:val="00F11698"/>
    <w:rsid w:val="00F1601B"/>
    <w:rsid w:val="00F2210D"/>
    <w:rsid w:val="00F2366D"/>
    <w:rsid w:val="00F255CA"/>
    <w:rsid w:val="00F26B59"/>
    <w:rsid w:val="00F32847"/>
    <w:rsid w:val="00F506CE"/>
    <w:rsid w:val="00F52D60"/>
    <w:rsid w:val="00F5472C"/>
    <w:rsid w:val="00F60C5D"/>
    <w:rsid w:val="00F648E6"/>
    <w:rsid w:val="00F6533D"/>
    <w:rsid w:val="00F664A9"/>
    <w:rsid w:val="00F80992"/>
    <w:rsid w:val="00F82059"/>
    <w:rsid w:val="00F83030"/>
    <w:rsid w:val="00FA16F4"/>
    <w:rsid w:val="00FA380B"/>
    <w:rsid w:val="00FA4C1B"/>
    <w:rsid w:val="00FA4E45"/>
    <w:rsid w:val="00FA54D6"/>
    <w:rsid w:val="00FA597C"/>
    <w:rsid w:val="00FB403D"/>
    <w:rsid w:val="00FB7A41"/>
    <w:rsid w:val="00FC43BF"/>
    <w:rsid w:val="00FD0B40"/>
    <w:rsid w:val="00FD15C0"/>
    <w:rsid w:val="00FD248B"/>
    <w:rsid w:val="00FD250E"/>
    <w:rsid w:val="00FD461E"/>
    <w:rsid w:val="00FE0C08"/>
    <w:rsid w:val="00FE4B2C"/>
    <w:rsid w:val="02A16A9D"/>
    <w:rsid w:val="033B2830"/>
    <w:rsid w:val="04A93F10"/>
    <w:rsid w:val="083178D8"/>
    <w:rsid w:val="09B17285"/>
    <w:rsid w:val="0BC17BC5"/>
    <w:rsid w:val="0C2B74C9"/>
    <w:rsid w:val="0CC72191"/>
    <w:rsid w:val="0DAC4361"/>
    <w:rsid w:val="0F9930A5"/>
    <w:rsid w:val="0FAF3436"/>
    <w:rsid w:val="11A7535E"/>
    <w:rsid w:val="12A7468E"/>
    <w:rsid w:val="1337019D"/>
    <w:rsid w:val="14C63449"/>
    <w:rsid w:val="185F0981"/>
    <w:rsid w:val="1D0C252B"/>
    <w:rsid w:val="1F8D77E0"/>
    <w:rsid w:val="1FAD6316"/>
    <w:rsid w:val="22A07431"/>
    <w:rsid w:val="261207A7"/>
    <w:rsid w:val="267C6E3C"/>
    <w:rsid w:val="26BE3117"/>
    <w:rsid w:val="28B03BA8"/>
    <w:rsid w:val="2C061FF4"/>
    <w:rsid w:val="2E1702C4"/>
    <w:rsid w:val="30B93B2F"/>
    <w:rsid w:val="31412C9B"/>
    <w:rsid w:val="316F0E38"/>
    <w:rsid w:val="36365341"/>
    <w:rsid w:val="36E474BB"/>
    <w:rsid w:val="38BC0359"/>
    <w:rsid w:val="38E25516"/>
    <w:rsid w:val="3B086042"/>
    <w:rsid w:val="3C651CA6"/>
    <w:rsid w:val="40453387"/>
    <w:rsid w:val="417B239F"/>
    <w:rsid w:val="42913BAC"/>
    <w:rsid w:val="42AA6249"/>
    <w:rsid w:val="4371423D"/>
    <w:rsid w:val="45A6459D"/>
    <w:rsid w:val="47A84D2D"/>
    <w:rsid w:val="531F5A7B"/>
    <w:rsid w:val="578F09C5"/>
    <w:rsid w:val="57D51EDE"/>
    <w:rsid w:val="5B163352"/>
    <w:rsid w:val="5DB9472A"/>
    <w:rsid w:val="60C83CAF"/>
    <w:rsid w:val="62A76083"/>
    <w:rsid w:val="62ED28B6"/>
    <w:rsid w:val="63A726F3"/>
    <w:rsid w:val="6484319A"/>
    <w:rsid w:val="64D51380"/>
    <w:rsid w:val="6572401F"/>
    <w:rsid w:val="66061B75"/>
    <w:rsid w:val="668A6D84"/>
    <w:rsid w:val="68505D2A"/>
    <w:rsid w:val="68FF4D94"/>
    <w:rsid w:val="6C792A07"/>
    <w:rsid w:val="6E166803"/>
    <w:rsid w:val="748E0C08"/>
    <w:rsid w:val="77F363C3"/>
    <w:rsid w:val="788414C4"/>
    <w:rsid w:val="78C47B0F"/>
    <w:rsid w:val="79C7533F"/>
    <w:rsid w:val="79E10803"/>
    <w:rsid w:val="7E590A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qFormat="1" w:unhideWhenUsed="0" w:uiPriority="0" w:name="Document Map" w:locked="1"/>
    <w:lsdException w:uiPriority="99"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locked/>
    <w:uiPriority w:val="0"/>
    <w:pPr>
      <w:shd w:val="clear" w:color="auto" w:fill="000080"/>
    </w:pPr>
  </w:style>
  <w:style w:type="paragraph" w:styleId="3">
    <w:name w:val="annotation text"/>
    <w:basedOn w:val="1"/>
    <w:link w:val="23"/>
    <w:qFormat/>
    <w:uiPriority w:val="99"/>
    <w:pPr>
      <w:jc w:val="left"/>
    </w:pPr>
    <w:rPr>
      <w:kern w:val="0"/>
      <w:sz w:val="24"/>
    </w:rPr>
  </w:style>
  <w:style w:type="paragraph" w:styleId="4">
    <w:name w:val="Body Text"/>
    <w:basedOn w:val="1"/>
    <w:link w:val="25"/>
    <w:unhideWhenUsed/>
    <w:qFormat/>
    <w:locked/>
    <w:uiPriority w:val="99"/>
    <w:pPr>
      <w:spacing w:after="120"/>
    </w:pPr>
  </w:style>
  <w:style w:type="paragraph" w:styleId="5">
    <w:name w:val="Date"/>
    <w:basedOn w:val="1"/>
    <w:next w:val="1"/>
    <w:link w:val="26"/>
    <w:qFormat/>
    <w:uiPriority w:val="99"/>
    <w:pPr>
      <w:ind w:left="100" w:leftChars="2500"/>
    </w:pPr>
    <w:rPr>
      <w:kern w:val="0"/>
      <w:sz w:val="24"/>
    </w:rPr>
  </w:style>
  <w:style w:type="paragraph" w:styleId="6">
    <w:name w:val="Balloon Text"/>
    <w:basedOn w:val="1"/>
    <w:link w:val="27"/>
    <w:semiHidden/>
    <w:qFormat/>
    <w:uiPriority w:val="99"/>
    <w:rPr>
      <w:kern w:val="0"/>
      <w:sz w:val="18"/>
      <w:szCs w:val="18"/>
    </w:rPr>
  </w:style>
  <w:style w:type="paragraph" w:styleId="7">
    <w:name w:val="footer"/>
    <w:basedOn w:val="1"/>
    <w:link w:val="22"/>
    <w:qFormat/>
    <w:uiPriority w:val="99"/>
    <w:pPr>
      <w:tabs>
        <w:tab w:val="center" w:pos="4153"/>
        <w:tab w:val="right" w:pos="8306"/>
      </w:tabs>
      <w:snapToGrid w:val="0"/>
      <w:jc w:val="left"/>
    </w:pPr>
    <w:rPr>
      <w:kern w:val="0"/>
      <w:sz w:val="18"/>
      <w:szCs w:val="18"/>
    </w:rPr>
  </w:style>
  <w:style w:type="paragraph" w:styleId="8">
    <w:name w:val="header"/>
    <w:basedOn w:val="1"/>
    <w:link w:val="21"/>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Body Text 2"/>
    <w:basedOn w:val="1"/>
    <w:link w:val="20"/>
    <w:qFormat/>
    <w:locked/>
    <w:uiPriority w:val="99"/>
    <w:pPr>
      <w:spacing w:line="600" w:lineRule="exact"/>
    </w:pPr>
    <w:rPr>
      <w:color w:val="000000"/>
      <w:sz w:val="28"/>
      <w:szCs w:val="28"/>
    </w:rPr>
  </w:style>
  <w:style w:type="paragraph" w:styleId="10">
    <w:name w:val="HTML Preformatted"/>
    <w:basedOn w:val="1"/>
    <w:link w:val="2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1">
    <w:name w:val="Normal (Web)"/>
    <w:basedOn w:val="1"/>
    <w:unhideWhenUsed/>
    <w:qFormat/>
    <w:locked/>
    <w:uiPriority w:val="99"/>
    <w:pPr>
      <w:widowControl/>
      <w:spacing w:before="100" w:beforeAutospacing="1" w:after="100" w:afterAutospacing="1"/>
      <w:jc w:val="left"/>
    </w:pPr>
    <w:rPr>
      <w:rFonts w:ascii="宋体" w:hAnsi="宋体" w:cs="宋体"/>
      <w:kern w:val="0"/>
      <w:sz w:val="24"/>
    </w:rPr>
  </w:style>
  <w:style w:type="paragraph" w:styleId="12">
    <w:name w:val="annotation subject"/>
    <w:basedOn w:val="3"/>
    <w:next w:val="3"/>
    <w:link w:val="28"/>
    <w:qFormat/>
    <w:uiPriority w:val="99"/>
    <w:rPr>
      <w:b/>
      <w:bCs/>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page number"/>
    <w:qFormat/>
    <w:uiPriority w:val="99"/>
    <w:rPr>
      <w:rFonts w:cs="Times New Roman"/>
    </w:rPr>
  </w:style>
  <w:style w:type="character" w:styleId="18">
    <w:name w:val="Hyperlink"/>
    <w:basedOn w:val="15"/>
    <w:unhideWhenUsed/>
    <w:qFormat/>
    <w:locked/>
    <w:uiPriority w:val="99"/>
    <w:rPr>
      <w:color w:val="0000FF"/>
      <w:u w:val="single"/>
    </w:rPr>
  </w:style>
  <w:style w:type="character" w:styleId="19">
    <w:name w:val="annotation reference"/>
    <w:qFormat/>
    <w:uiPriority w:val="99"/>
    <w:rPr>
      <w:rFonts w:cs="Times New Roman"/>
      <w:sz w:val="21"/>
    </w:rPr>
  </w:style>
  <w:style w:type="character" w:customStyle="1" w:styleId="20">
    <w:name w:val="正文文本 2 Char"/>
    <w:link w:val="9"/>
    <w:qFormat/>
    <w:uiPriority w:val="99"/>
    <w:rPr>
      <w:rFonts w:ascii="Times New Roman" w:hAnsi="Times New Roman"/>
      <w:color w:val="000000"/>
      <w:kern w:val="2"/>
      <w:sz w:val="28"/>
      <w:szCs w:val="28"/>
    </w:rPr>
  </w:style>
  <w:style w:type="character" w:customStyle="1" w:styleId="21">
    <w:name w:val="页眉 Char"/>
    <w:link w:val="8"/>
    <w:qFormat/>
    <w:locked/>
    <w:uiPriority w:val="99"/>
    <w:rPr>
      <w:rFonts w:ascii="Times New Roman" w:hAnsi="Times New Roman" w:eastAsia="宋体" w:cs="Times New Roman"/>
      <w:sz w:val="18"/>
      <w:szCs w:val="18"/>
    </w:rPr>
  </w:style>
  <w:style w:type="character" w:customStyle="1" w:styleId="22">
    <w:name w:val="页脚 Char"/>
    <w:link w:val="7"/>
    <w:qFormat/>
    <w:locked/>
    <w:uiPriority w:val="99"/>
    <w:rPr>
      <w:rFonts w:ascii="Times New Roman" w:hAnsi="Times New Roman" w:eastAsia="宋体" w:cs="Times New Roman"/>
      <w:sz w:val="18"/>
      <w:szCs w:val="18"/>
    </w:rPr>
  </w:style>
  <w:style w:type="character" w:customStyle="1" w:styleId="23">
    <w:name w:val="批注文字 Char"/>
    <w:link w:val="3"/>
    <w:qFormat/>
    <w:locked/>
    <w:uiPriority w:val="99"/>
    <w:rPr>
      <w:rFonts w:ascii="Times New Roman" w:hAnsi="Times New Roman" w:eastAsia="宋体" w:cs="Times New Roman"/>
      <w:sz w:val="24"/>
      <w:szCs w:val="24"/>
    </w:rPr>
  </w:style>
  <w:style w:type="character" w:customStyle="1" w:styleId="24">
    <w:name w:val="HTML 预设格式 Char"/>
    <w:link w:val="10"/>
    <w:qFormat/>
    <w:locked/>
    <w:uiPriority w:val="99"/>
    <w:rPr>
      <w:rFonts w:ascii="宋体" w:hAnsi="宋体" w:eastAsia="宋体" w:cs="宋体"/>
      <w:kern w:val="0"/>
      <w:sz w:val="24"/>
      <w:szCs w:val="24"/>
    </w:rPr>
  </w:style>
  <w:style w:type="character" w:customStyle="1" w:styleId="25">
    <w:name w:val="正文文本 Char"/>
    <w:basedOn w:val="15"/>
    <w:link w:val="4"/>
    <w:semiHidden/>
    <w:qFormat/>
    <w:uiPriority w:val="99"/>
    <w:rPr>
      <w:rFonts w:ascii="Times New Roman" w:hAnsi="Times New Roman"/>
      <w:kern w:val="2"/>
      <w:sz w:val="21"/>
      <w:szCs w:val="24"/>
    </w:rPr>
  </w:style>
  <w:style w:type="character" w:customStyle="1" w:styleId="26">
    <w:name w:val="日期 Char"/>
    <w:link w:val="5"/>
    <w:qFormat/>
    <w:locked/>
    <w:uiPriority w:val="99"/>
    <w:rPr>
      <w:rFonts w:ascii="Times New Roman" w:hAnsi="Times New Roman" w:eastAsia="宋体" w:cs="Times New Roman"/>
      <w:sz w:val="24"/>
      <w:szCs w:val="24"/>
    </w:rPr>
  </w:style>
  <w:style w:type="character" w:customStyle="1" w:styleId="27">
    <w:name w:val="批注框文本 Char"/>
    <w:link w:val="6"/>
    <w:semiHidden/>
    <w:qFormat/>
    <w:locked/>
    <w:uiPriority w:val="99"/>
    <w:rPr>
      <w:rFonts w:ascii="Times New Roman" w:hAnsi="Times New Roman" w:eastAsia="宋体" w:cs="Times New Roman"/>
      <w:sz w:val="18"/>
      <w:szCs w:val="18"/>
    </w:rPr>
  </w:style>
  <w:style w:type="character" w:customStyle="1" w:styleId="28">
    <w:name w:val="批注主题 Char"/>
    <w:link w:val="12"/>
    <w:qFormat/>
    <w:locked/>
    <w:uiPriority w:val="99"/>
    <w:rPr>
      <w:rFonts w:ascii="Times New Roman" w:hAnsi="Times New Roman" w:eastAsia="宋体" w:cs="Times New Roman"/>
      <w:b/>
      <w:bCs/>
      <w:sz w:val="24"/>
      <w:szCs w:val="24"/>
    </w:rPr>
  </w:style>
  <w:style w:type="paragraph" w:styleId="29">
    <w:name w:val="List Paragraph"/>
    <w:basedOn w:val="1"/>
    <w:qFormat/>
    <w:uiPriority w:val="99"/>
    <w:pPr>
      <w:ind w:firstLine="420" w:firstLineChars="200"/>
    </w:pPr>
  </w:style>
  <w:style w:type="character" w:customStyle="1" w:styleId="30">
    <w:name w:val="font21"/>
    <w:basedOn w:val="15"/>
    <w:qFormat/>
    <w:uiPriority w:val="0"/>
    <w:rPr>
      <w:rFonts w:hint="default" w:ascii="Times New Roman" w:hAnsi="Times New Roman" w:cs="Times New Roman"/>
      <w:color w:val="000000"/>
      <w:sz w:val="24"/>
      <w:szCs w:val="24"/>
      <w:u w:val="none"/>
    </w:rPr>
  </w:style>
  <w:style w:type="character" w:customStyle="1" w:styleId="31">
    <w:name w:val="font31"/>
    <w:basedOn w:val="15"/>
    <w:qFormat/>
    <w:uiPriority w:val="0"/>
    <w:rPr>
      <w:rFonts w:hint="eastAsia" w:ascii="宋体" w:hAnsi="宋体" w:eastAsia="宋体" w:cs="宋体"/>
      <w:color w:val="000000"/>
      <w:sz w:val="24"/>
      <w:szCs w:val="24"/>
      <w:u w:val="none"/>
    </w:rPr>
  </w:style>
  <w:style w:type="character" w:customStyle="1" w:styleId="32">
    <w:name w:val="font01"/>
    <w:basedOn w:val="15"/>
    <w:qFormat/>
    <w:uiPriority w:val="0"/>
    <w:rPr>
      <w:rFonts w:hint="default" w:ascii="仿宋_GB2312" w:eastAsia="仿宋_GB2312" w:cs="仿宋_GB2312"/>
      <w:color w:val="000000"/>
      <w:sz w:val="24"/>
      <w:szCs w:val="24"/>
      <w:u w:val="none"/>
    </w:rPr>
  </w:style>
  <w:style w:type="character" w:customStyle="1" w:styleId="33">
    <w:name w:val="font61"/>
    <w:basedOn w:val="15"/>
    <w:qFormat/>
    <w:uiPriority w:val="0"/>
    <w:rPr>
      <w:rFonts w:ascii="Arial" w:hAnsi="Arial" w:cs="Arial"/>
      <w:color w:val="000000"/>
      <w:sz w:val="24"/>
      <w:szCs w:val="24"/>
      <w:u w:val="none"/>
    </w:rPr>
  </w:style>
  <w:style w:type="character" w:customStyle="1" w:styleId="34">
    <w:name w:val="font71"/>
    <w:basedOn w:val="1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949</Words>
  <Characters>5414</Characters>
  <Lines>45</Lines>
  <Paragraphs>12</Paragraphs>
  <TotalTime>0</TotalTime>
  <ScaleCrop>false</ScaleCrop>
  <LinksUpToDate>false</LinksUpToDate>
  <CharactersWithSpaces>6351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2020-12-14T00:42:00Z</dcterms:created>
  <dc:creator>admin</dc:creator>
  <cp:lastModifiedBy>曹洋华</cp:lastModifiedBy>
  <cp:lastPrinted>2019-12-04T23:45:00Z</cp:lastPrinted>
  <dcterms:modified xsi:type="dcterms:W3CDTF">2020-12-15T03:13:49Z</dcterms:modified>
  <dc:title>南京财经大学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