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江苏省南通卫生高等职业技术学校单体空调维保服务项目</w:t>
      </w:r>
    </w:p>
    <w:p>
      <w:pPr>
        <w:pStyle w:val="2"/>
        <w:rPr>
          <w:rFonts w:hint="eastAsia" w:ascii="仿宋" w:hAnsi="仿宋" w:eastAsia="仿宋" w:cs="仿宋"/>
          <w:color w:val="auto"/>
          <w:lang w:eastAsia="zh-CN"/>
        </w:rPr>
      </w:pPr>
    </w:p>
    <w:p>
      <w:pPr>
        <w:jc w:val="center"/>
        <w:rPr>
          <w:rFonts w:hint="eastAsia" w:ascii="仿宋" w:hAnsi="仿宋" w:eastAsia="仿宋" w:cs="仿宋"/>
          <w:b/>
          <w:color w:val="auto"/>
          <w:sz w:val="56"/>
          <w:szCs w:val="56"/>
          <w:lang w:val="en-US" w:eastAsia="zh-CN"/>
        </w:rPr>
      </w:pPr>
      <w:r>
        <w:rPr>
          <w:rFonts w:hint="eastAsia" w:ascii="仿宋" w:hAnsi="仿宋" w:eastAsia="仿宋" w:cs="仿宋"/>
          <w:b/>
          <w:color w:val="auto"/>
          <w:sz w:val="56"/>
          <w:szCs w:val="56"/>
        </w:rPr>
        <w:t>磋商采购文件</w:t>
      </w:r>
      <w:r>
        <w:rPr>
          <w:rFonts w:hint="eastAsia" w:ascii="仿宋" w:hAnsi="仿宋" w:eastAsia="仿宋" w:cs="仿宋"/>
          <w:b/>
          <w:color w:val="auto"/>
          <w:sz w:val="56"/>
          <w:szCs w:val="56"/>
          <w:lang w:eastAsia="zh-CN"/>
        </w:rPr>
        <w:t>（</w:t>
      </w:r>
      <w:r>
        <w:rPr>
          <w:rFonts w:hint="eastAsia" w:ascii="仿宋" w:hAnsi="仿宋" w:eastAsia="仿宋" w:cs="仿宋"/>
          <w:b/>
          <w:color w:val="auto"/>
          <w:sz w:val="56"/>
          <w:szCs w:val="56"/>
          <w:lang w:val="en-US" w:eastAsia="zh-CN"/>
        </w:rPr>
        <w:t>第三次）</w:t>
      </w:r>
    </w:p>
    <w:p>
      <w:pPr>
        <w:keepNext/>
        <w:spacing w:line="500" w:lineRule="exact"/>
        <w:jc w:val="center"/>
        <w:outlineLvl w:val="5"/>
        <w:rPr>
          <w:rFonts w:hint="eastAsia" w:ascii="仿宋" w:hAnsi="仿宋" w:eastAsia="仿宋" w:cs="仿宋"/>
          <w:b/>
          <w:color w:val="auto"/>
          <w:kern w:val="0"/>
          <w:sz w:val="44"/>
          <w:szCs w:val="20"/>
        </w:rPr>
      </w:pPr>
    </w:p>
    <w:p>
      <w:pPr>
        <w:keepNext/>
        <w:spacing w:line="500" w:lineRule="exact"/>
        <w:jc w:val="center"/>
        <w:outlineLvl w:val="5"/>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采购文件编号：WXBS2022044</w:t>
      </w:r>
    </w:p>
    <w:p>
      <w:pPr>
        <w:spacing w:line="500" w:lineRule="exact"/>
        <w:jc w:val="center"/>
        <w:rPr>
          <w:rFonts w:hint="eastAsia" w:ascii="仿宋" w:hAnsi="仿宋" w:eastAsia="仿宋" w:cs="仿宋"/>
          <w:b/>
          <w:color w:val="auto"/>
          <w:sz w:val="36"/>
        </w:rPr>
      </w:pPr>
    </w:p>
    <w:p>
      <w:pPr>
        <w:spacing w:line="500" w:lineRule="exact"/>
        <w:jc w:val="center"/>
        <w:rPr>
          <w:rFonts w:hint="eastAsia" w:ascii="仿宋" w:hAnsi="仿宋" w:eastAsia="仿宋" w:cs="仿宋"/>
          <w:b/>
          <w:color w:val="auto"/>
          <w:sz w:val="36"/>
        </w:rPr>
      </w:pPr>
    </w:p>
    <w:p>
      <w:pPr>
        <w:spacing w:line="500" w:lineRule="exact"/>
        <w:jc w:val="center"/>
        <w:rPr>
          <w:rFonts w:hint="eastAsia" w:ascii="仿宋" w:hAnsi="仿宋" w:eastAsia="仿宋" w:cs="仿宋"/>
          <w:b/>
          <w:color w:val="auto"/>
          <w:sz w:val="36"/>
        </w:rPr>
      </w:pPr>
    </w:p>
    <w:p>
      <w:pPr>
        <w:spacing w:line="500" w:lineRule="exact"/>
        <w:rPr>
          <w:rFonts w:hint="eastAsia" w:ascii="仿宋" w:hAnsi="仿宋" w:eastAsia="仿宋" w:cs="仿宋"/>
          <w:color w:val="auto"/>
        </w:rPr>
      </w:pPr>
      <w:r>
        <w:rPr>
          <w:rFonts w:hint="eastAsia" w:ascii="仿宋" w:hAnsi="仿宋" w:eastAsia="仿宋" w:cs="仿宋"/>
          <w:color w:val="auto"/>
          <w:lang w:val="en-US" w:eastAsia="zh-CN"/>
        </w:rPr>
        <w:pict>
          <v:shape id="对象 2" o:spid="_x0000_s1027" o:spt="75" type="#_x0000_t75" style="position:absolute;left:0pt;margin-left:136.5pt;margin-top:31.2pt;height:140.95pt;width:183.75pt;mso-wrap-distance-bottom:0pt;mso-wrap-distance-top:0pt;z-index:251659264;mso-width-relative:page;mso-height-relative:page;" o:ole="t" filled="f" o:preferrelative="t" stroked="f" coordsize="21600,21600" o:allowincell="f">
            <v:path/>
            <v:fill on="f" focussize="0,0"/>
            <v:stroke on="f" joinstyle="miter"/>
            <v:imagedata r:id="rId7" o:title=""/>
            <o:lock v:ext="edit" aspectratio="t"/>
            <w10:wrap type="topAndBottom"/>
          </v:shape>
          <o:OLEObject Type="Embed" ProgID="" ShapeID="对象 2" DrawAspect="Content" ObjectID="_1468075725" r:id="rId6">
            <o:LockedField>false</o:LockedField>
          </o:OLEObject>
        </w:pict>
      </w:r>
    </w:p>
    <w:p>
      <w:pPr>
        <w:spacing w:line="500" w:lineRule="exact"/>
        <w:jc w:val="center"/>
        <w:rPr>
          <w:rFonts w:hint="eastAsia" w:ascii="仿宋" w:hAnsi="仿宋" w:eastAsia="仿宋" w:cs="仿宋"/>
          <w:color w:val="auto"/>
          <w:sz w:val="32"/>
        </w:rPr>
      </w:pPr>
    </w:p>
    <w:p>
      <w:pPr>
        <w:spacing w:line="500" w:lineRule="exact"/>
        <w:jc w:val="center"/>
        <w:rPr>
          <w:rFonts w:hint="eastAsia" w:ascii="仿宋" w:hAnsi="仿宋" w:eastAsia="仿宋" w:cs="仿宋"/>
          <w:color w:val="auto"/>
          <w:sz w:val="32"/>
        </w:rPr>
      </w:pPr>
    </w:p>
    <w:p>
      <w:pPr>
        <w:spacing w:line="500" w:lineRule="exact"/>
        <w:jc w:val="center"/>
        <w:rPr>
          <w:rFonts w:hint="eastAsia" w:ascii="仿宋" w:hAnsi="仿宋" w:eastAsia="仿宋" w:cs="仿宋"/>
          <w:color w:val="auto"/>
          <w:sz w:val="32"/>
        </w:rPr>
      </w:pPr>
    </w:p>
    <w:p>
      <w:pPr>
        <w:spacing w:line="500" w:lineRule="exact"/>
        <w:jc w:val="center"/>
        <w:rPr>
          <w:rFonts w:hint="eastAsia" w:ascii="仿宋" w:hAnsi="仿宋" w:eastAsia="仿宋" w:cs="仿宋"/>
          <w:color w:val="auto"/>
          <w:sz w:val="32"/>
        </w:rPr>
      </w:pPr>
    </w:p>
    <w:p>
      <w:pPr>
        <w:spacing w:line="500" w:lineRule="exact"/>
        <w:rPr>
          <w:rFonts w:hint="eastAsia" w:ascii="仿宋" w:hAnsi="仿宋" w:eastAsia="仿宋" w:cs="仿宋"/>
          <w:color w:val="auto"/>
          <w:sz w:val="32"/>
        </w:rPr>
      </w:pPr>
    </w:p>
    <w:p>
      <w:pPr>
        <w:spacing w:line="500" w:lineRule="exact"/>
        <w:jc w:val="center"/>
        <w:rPr>
          <w:rFonts w:hint="eastAsia" w:ascii="仿宋" w:hAnsi="仿宋" w:eastAsia="仿宋" w:cs="仿宋"/>
          <w:b/>
          <w:color w:val="auto"/>
          <w:spacing w:val="20"/>
          <w:sz w:val="44"/>
        </w:rPr>
      </w:pPr>
      <w:r>
        <w:rPr>
          <w:rFonts w:hint="eastAsia" w:ascii="仿宋" w:hAnsi="仿宋" w:eastAsia="仿宋" w:cs="仿宋"/>
          <w:b/>
          <w:color w:val="auto"/>
          <w:spacing w:val="20"/>
          <w:sz w:val="44"/>
        </w:rPr>
        <w:t>江苏中润工程建设咨询有限公司</w:t>
      </w:r>
    </w:p>
    <w:p>
      <w:pPr>
        <w:adjustRightInd w:val="0"/>
        <w:spacing w:before="120" w:after="120" w:line="500" w:lineRule="exact"/>
        <w:ind w:left="-2" w:right="120"/>
        <w:jc w:val="center"/>
        <w:textAlignment w:val="baseline"/>
        <w:rPr>
          <w:rFonts w:hint="eastAsia" w:ascii="仿宋" w:hAnsi="仿宋" w:eastAsia="仿宋" w:cs="仿宋"/>
          <w:b/>
          <w:bCs/>
          <w:color w:val="auto"/>
          <w:kern w:val="0"/>
          <w:sz w:val="32"/>
        </w:rPr>
      </w:pPr>
      <w:r>
        <w:rPr>
          <w:rFonts w:hint="eastAsia" w:ascii="仿宋" w:hAnsi="仿宋" w:eastAsia="仿宋" w:cs="仿宋"/>
          <w:b/>
          <w:bCs/>
          <w:color w:val="auto"/>
          <w:kern w:val="0"/>
          <w:sz w:val="32"/>
        </w:rPr>
        <w:t>2022年</w:t>
      </w:r>
      <w:r>
        <w:rPr>
          <w:rFonts w:hint="eastAsia" w:ascii="仿宋" w:hAnsi="仿宋" w:eastAsia="仿宋" w:cs="仿宋"/>
          <w:b/>
          <w:bCs/>
          <w:color w:val="auto"/>
          <w:kern w:val="0"/>
          <w:sz w:val="32"/>
          <w:lang w:val="en-US" w:eastAsia="zh-CN"/>
        </w:rPr>
        <w:t>09</w:t>
      </w:r>
      <w:r>
        <w:rPr>
          <w:rFonts w:hint="eastAsia" w:ascii="仿宋" w:hAnsi="仿宋" w:eastAsia="仿宋" w:cs="仿宋"/>
          <w:b/>
          <w:bCs/>
          <w:color w:val="auto"/>
          <w:kern w:val="0"/>
          <w:sz w:val="32"/>
        </w:rPr>
        <w:t>月</w:t>
      </w:r>
      <w:r>
        <w:rPr>
          <w:rFonts w:hint="eastAsia" w:ascii="仿宋" w:hAnsi="仿宋" w:eastAsia="仿宋" w:cs="仿宋"/>
          <w:b/>
          <w:bCs/>
          <w:color w:val="auto"/>
          <w:kern w:val="0"/>
          <w:sz w:val="32"/>
          <w:lang w:val="en-US" w:eastAsia="zh-CN"/>
        </w:rPr>
        <w:t>02</w:t>
      </w:r>
      <w:r>
        <w:rPr>
          <w:rFonts w:hint="eastAsia" w:ascii="仿宋" w:hAnsi="仿宋" w:eastAsia="仿宋" w:cs="仿宋"/>
          <w:b/>
          <w:bCs/>
          <w:color w:val="auto"/>
          <w:kern w:val="0"/>
          <w:sz w:val="32"/>
        </w:rPr>
        <w:t>日</w:t>
      </w:r>
    </w:p>
    <w:p>
      <w:pPr>
        <w:adjustRightInd w:val="0"/>
        <w:snapToGrid w:val="0"/>
        <w:spacing w:line="500" w:lineRule="exact"/>
        <w:ind w:left="-158" w:leftChars="-75"/>
        <w:rPr>
          <w:rFonts w:hint="eastAsia" w:ascii="仿宋" w:hAnsi="仿宋" w:eastAsia="仿宋" w:cs="仿宋"/>
          <w:b/>
          <w:snapToGrid w:val="0"/>
          <w:color w:val="auto"/>
          <w:sz w:val="26"/>
          <w:szCs w:val="28"/>
          <w:u w:val="single"/>
        </w:rPr>
      </w:pPr>
      <w:r>
        <w:rPr>
          <w:rFonts w:hint="eastAsia" w:ascii="仿宋" w:hAnsi="仿宋" w:eastAsia="仿宋" w:cs="仿宋"/>
          <w:b/>
          <w:snapToGrid w:val="0"/>
          <w:color w:val="auto"/>
          <w:sz w:val="26"/>
          <w:szCs w:val="28"/>
          <w:u w:val="single"/>
        </w:rPr>
        <w:t xml:space="preserve">                                                                    </w:t>
      </w:r>
    </w:p>
    <w:p>
      <w:pPr>
        <w:adjustRightInd w:val="0"/>
        <w:snapToGrid w:val="0"/>
        <w:ind w:left="-158" w:leftChars="-75"/>
        <w:rPr>
          <w:rFonts w:hint="eastAsia" w:ascii="仿宋" w:hAnsi="仿宋" w:eastAsia="仿宋" w:cs="仿宋"/>
          <w:snapToGrid w:val="0"/>
          <w:color w:val="auto"/>
          <w:sz w:val="30"/>
          <w:szCs w:val="30"/>
        </w:rPr>
      </w:pPr>
      <w:r>
        <w:rPr>
          <w:rFonts w:hint="eastAsia" w:ascii="仿宋" w:hAnsi="仿宋" w:eastAsia="仿宋" w:cs="仿宋"/>
          <w:b/>
          <w:snapToGrid w:val="0"/>
          <w:color w:val="auto"/>
          <w:sz w:val="32"/>
          <w:szCs w:val="32"/>
        </w:rPr>
        <w:t>地址:</w:t>
      </w:r>
      <w:r>
        <w:rPr>
          <w:rFonts w:hint="eastAsia" w:ascii="仿宋" w:hAnsi="仿宋" w:eastAsia="仿宋" w:cs="仿宋"/>
          <w:snapToGrid w:val="0"/>
          <w:color w:val="auto"/>
          <w:sz w:val="32"/>
          <w:szCs w:val="32"/>
        </w:rPr>
        <w:t xml:space="preserve"> </w:t>
      </w:r>
      <w:r>
        <w:rPr>
          <w:rFonts w:hint="eastAsia" w:ascii="仿宋" w:hAnsi="仿宋" w:eastAsia="仿宋" w:cs="仿宋"/>
          <w:b/>
          <w:snapToGrid w:val="0"/>
          <w:color w:val="auto"/>
          <w:sz w:val="30"/>
          <w:szCs w:val="30"/>
        </w:rPr>
        <w:t>南通市崇川区崇川路58号</w:t>
      </w:r>
      <w:r>
        <w:rPr>
          <w:rFonts w:hint="eastAsia" w:ascii="仿宋" w:hAnsi="仿宋" w:eastAsia="仿宋" w:cs="仿宋"/>
          <w:snapToGrid w:val="0"/>
          <w:color w:val="auto"/>
          <w:sz w:val="30"/>
          <w:szCs w:val="30"/>
        </w:rPr>
        <w:t xml:space="preserve">            </w:t>
      </w:r>
      <w:r>
        <w:rPr>
          <w:rFonts w:hint="eastAsia" w:ascii="仿宋" w:hAnsi="仿宋" w:eastAsia="仿宋" w:cs="仿宋"/>
          <w:b/>
          <w:snapToGrid w:val="0"/>
          <w:color w:val="auto"/>
          <w:sz w:val="30"/>
          <w:szCs w:val="30"/>
        </w:rPr>
        <w:t>邮政编码：226008</w:t>
      </w:r>
      <w:r>
        <w:rPr>
          <w:rFonts w:hint="eastAsia" w:ascii="仿宋" w:hAnsi="仿宋" w:eastAsia="仿宋" w:cs="仿宋"/>
          <w:snapToGrid w:val="0"/>
          <w:color w:val="auto"/>
          <w:sz w:val="30"/>
          <w:szCs w:val="30"/>
        </w:rPr>
        <w:t xml:space="preserve">          </w:t>
      </w:r>
    </w:p>
    <w:p>
      <w:pPr>
        <w:adjustRightInd w:val="0"/>
        <w:snapToGrid w:val="0"/>
        <w:spacing w:line="500" w:lineRule="exact"/>
        <w:ind w:left="-158" w:leftChars="-75" w:right="-601" w:rightChars="-286"/>
        <w:rPr>
          <w:rFonts w:hint="eastAsia" w:ascii="仿宋" w:hAnsi="仿宋" w:eastAsia="仿宋" w:cs="仿宋"/>
          <w:color w:val="auto"/>
          <w:sz w:val="44"/>
          <w:szCs w:val="44"/>
          <w:lang w:val="zh-CN"/>
        </w:rPr>
      </w:pPr>
      <w:r>
        <w:rPr>
          <w:rFonts w:hint="eastAsia" w:ascii="仿宋" w:hAnsi="仿宋" w:eastAsia="仿宋" w:cs="仿宋"/>
          <w:color w:val="auto"/>
          <w:sz w:val="28"/>
          <w:szCs w:val="28"/>
        </w:rPr>
        <w:t>http://www.ntjszr.com/</w:t>
      </w:r>
      <w:r>
        <w:rPr>
          <w:rFonts w:hint="eastAsia" w:ascii="仿宋" w:hAnsi="仿宋" w:eastAsia="仿宋" w:cs="仿宋"/>
          <w:snapToGrid w:val="0"/>
          <w:color w:val="auto"/>
          <w:sz w:val="26"/>
          <w:szCs w:val="28"/>
        </w:rPr>
        <w:t xml:space="preserve">  </w:t>
      </w:r>
    </w:p>
    <w:p>
      <w:pPr>
        <w:autoSpaceDE w:val="0"/>
        <w:autoSpaceDN w:val="0"/>
        <w:adjustRightInd w:val="0"/>
        <w:snapToGrid w:val="0"/>
        <w:spacing w:line="360" w:lineRule="auto"/>
        <w:jc w:val="center"/>
        <w:rPr>
          <w:rFonts w:hint="eastAsia" w:ascii="仿宋" w:hAnsi="仿宋" w:eastAsia="仿宋" w:cs="仿宋"/>
          <w:color w:val="auto"/>
          <w:sz w:val="44"/>
          <w:szCs w:val="44"/>
          <w:lang w:val="zh-CN"/>
        </w:rPr>
      </w:pPr>
    </w:p>
    <w:p>
      <w:pPr>
        <w:autoSpaceDE w:val="0"/>
        <w:autoSpaceDN w:val="0"/>
        <w:adjustRightInd w:val="0"/>
        <w:snapToGrid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44"/>
          <w:szCs w:val="44"/>
          <w:lang w:val="zh-CN"/>
        </w:rPr>
        <w:t xml:space="preserve">目 </w:t>
      </w:r>
      <w:r>
        <w:rPr>
          <w:rFonts w:hint="eastAsia" w:ascii="仿宋" w:hAnsi="仿宋" w:eastAsia="仿宋" w:cs="仿宋"/>
          <w:color w:val="auto"/>
          <w:sz w:val="44"/>
          <w:szCs w:val="44"/>
        </w:rPr>
        <w:t xml:space="preserve">  </w:t>
      </w:r>
      <w:r>
        <w:rPr>
          <w:rFonts w:hint="eastAsia" w:ascii="仿宋" w:hAnsi="仿宋" w:eastAsia="仿宋" w:cs="仿宋"/>
          <w:color w:val="auto"/>
          <w:sz w:val="44"/>
          <w:szCs w:val="44"/>
          <w:lang w:val="zh-CN"/>
        </w:rPr>
        <w:t>录</w:t>
      </w:r>
    </w:p>
    <w:p>
      <w:pPr>
        <w:autoSpaceDE w:val="0"/>
        <w:autoSpaceDN w:val="0"/>
        <w:adjustRightInd w:val="0"/>
        <w:snapToGrid w:val="0"/>
        <w:spacing w:line="360" w:lineRule="auto"/>
        <w:ind w:firstLine="556"/>
        <w:rPr>
          <w:rFonts w:hint="eastAsia" w:ascii="仿宋" w:hAnsi="仿宋" w:eastAsia="仿宋" w:cs="仿宋"/>
          <w:color w:val="auto"/>
          <w:sz w:val="32"/>
          <w:szCs w:val="32"/>
        </w:rPr>
      </w:pPr>
      <w:r>
        <w:rPr>
          <w:rFonts w:hint="eastAsia" w:ascii="仿宋" w:hAnsi="仿宋" w:eastAsia="仿宋" w:cs="仿宋"/>
          <w:color w:val="auto"/>
          <w:sz w:val="32"/>
          <w:szCs w:val="32"/>
        </w:rPr>
        <w:t>第一部分  磋商公告</w:t>
      </w:r>
    </w:p>
    <w:p>
      <w:pPr>
        <w:autoSpaceDE w:val="0"/>
        <w:autoSpaceDN w:val="0"/>
        <w:adjustRightInd w:val="0"/>
        <w:snapToGrid w:val="0"/>
        <w:spacing w:line="360" w:lineRule="auto"/>
        <w:ind w:firstLine="556"/>
        <w:rPr>
          <w:rFonts w:hint="eastAsia" w:ascii="仿宋" w:hAnsi="仿宋" w:eastAsia="仿宋" w:cs="仿宋"/>
          <w:color w:val="auto"/>
          <w:sz w:val="32"/>
          <w:szCs w:val="32"/>
        </w:rPr>
      </w:pPr>
      <w:r>
        <w:rPr>
          <w:rFonts w:hint="eastAsia" w:ascii="仿宋" w:hAnsi="仿宋" w:eastAsia="仿宋" w:cs="仿宋"/>
          <w:color w:val="auto"/>
          <w:sz w:val="32"/>
          <w:szCs w:val="32"/>
        </w:rPr>
        <w:t>第二部分  磋商须知</w:t>
      </w:r>
    </w:p>
    <w:p>
      <w:pPr>
        <w:autoSpaceDE w:val="0"/>
        <w:autoSpaceDN w:val="0"/>
        <w:adjustRightInd w:val="0"/>
        <w:snapToGrid w:val="0"/>
        <w:spacing w:line="360" w:lineRule="auto"/>
        <w:ind w:firstLine="537"/>
        <w:rPr>
          <w:rFonts w:hint="eastAsia" w:ascii="仿宋" w:hAnsi="仿宋" w:eastAsia="仿宋" w:cs="仿宋"/>
          <w:color w:val="auto"/>
          <w:sz w:val="32"/>
          <w:szCs w:val="32"/>
        </w:rPr>
      </w:pPr>
      <w:r>
        <w:rPr>
          <w:rFonts w:hint="eastAsia" w:ascii="仿宋" w:hAnsi="仿宋" w:eastAsia="仿宋" w:cs="仿宋"/>
          <w:color w:val="auto"/>
          <w:sz w:val="32"/>
          <w:szCs w:val="32"/>
        </w:rPr>
        <w:t>第三部分  项目需求</w:t>
      </w:r>
    </w:p>
    <w:p>
      <w:pPr>
        <w:autoSpaceDE w:val="0"/>
        <w:autoSpaceDN w:val="0"/>
        <w:adjustRightInd w:val="0"/>
        <w:snapToGrid w:val="0"/>
        <w:spacing w:line="360" w:lineRule="auto"/>
        <w:ind w:firstLine="537"/>
        <w:rPr>
          <w:rFonts w:hint="eastAsia" w:ascii="仿宋" w:hAnsi="仿宋" w:eastAsia="仿宋" w:cs="仿宋"/>
          <w:color w:val="auto"/>
          <w:sz w:val="32"/>
          <w:szCs w:val="32"/>
        </w:rPr>
      </w:pPr>
      <w:r>
        <w:rPr>
          <w:rFonts w:hint="eastAsia" w:ascii="仿宋" w:hAnsi="仿宋" w:eastAsia="仿宋" w:cs="仿宋"/>
          <w:color w:val="auto"/>
          <w:sz w:val="32"/>
          <w:szCs w:val="32"/>
        </w:rPr>
        <w:t>第四部分  评审方法和评审标准</w:t>
      </w:r>
    </w:p>
    <w:p>
      <w:pPr>
        <w:autoSpaceDE w:val="0"/>
        <w:autoSpaceDN w:val="0"/>
        <w:adjustRightInd w:val="0"/>
        <w:snapToGrid w:val="0"/>
        <w:spacing w:line="360" w:lineRule="auto"/>
        <w:ind w:firstLine="556"/>
        <w:rPr>
          <w:rFonts w:hint="eastAsia" w:ascii="仿宋" w:hAnsi="仿宋" w:eastAsia="仿宋" w:cs="仿宋"/>
          <w:color w:val="auto"/>
          <w:sz w:val="32"/>
          <w:szCs w:val="32"/>
        </w:rPr>
      </w:pPr>
      <w:r>
        <w:rPr>
          <w:rFonts w:hint="eastAsia" w:ascii="仿宋" w:hAnsi="仿宋" w:eastAsia="仿宋" w:cs="仿宋"/>
          <w:color w:val="auto"/>
          <w:sz w:val="32"/>
          <w:szCs w:val="32"/>
        </w:rPr>
        <w:t>第五部分  响应文件组成</w:t>
      </w:r>
    </w:p>
    <w:p>
      <w:pPr>
        <w:tabs>
          <w:tab w:val="left" w:pos="7740"/>
        </w:tabs>
        <w:spacing w:line="500" w:lineRule="exact"/>
        <w:rPr>
          <w:rFonts w:hint="eastAsia" w:ascii="仿宋" w:hAnsi="仿宋" w:eastAsia="仿宋" w:cs="仿宋"/>
          <w:bCs/>
          <w:color w:val="auto"/>
          <w:sz w:val="32"/>
          <w:szCs w:val="32"/>
        </w:rPr>
      </w:pPr>
    </w:p>
    <w:p>
      <w:pPr>
        <w:tabs>
          <w:tab w:val="left" w:pos="7740"/>
        </w:tabs>
        <w:spacing w:line="500" w:lineRule="exact"/>
        <w:rPr>
          <w:rFonts w:hint="eastAsia" w:ascii="仿宋" w:hAnsi="仿宋" w:eastAsia="仿宋" w:cs="仿宋"/>
          <w:bCs/>
          <w:color w:val="auto"/>
          <w:sz w:val="32"/>
          <w:szCs w:val="32"/>
        </w:rPr>
      </w:pPr>
    </w:p>
    <w:p>
      <w:pPr>
        <w:autoSpaceDE w:val="0"/>
        <w:autoSpaceDN w:val="0"/>
        <w:adjustRightInd w:val="0"/>
        <w:spacing w:line="500" w:lineRule="exact"/>
        <w:jc w:val="center"/>
        <w:rPr>
          <w:rFonts w:hint="eastAsia" w:ascii="仿宋" w:hAnsi="仿宋" w:eastAsia="仿宋" w:cs="仿宋"/>
          <w:b/>
          <w:bCs/>
          <w:color w:val="auto"/>
          <w:sz w:val="36"/>
          <w:szCs w:val="36"/>
          <w:lang w:val="zh-CN"/>
        </w:rPr>
      </w:pPr>
    </w:p>
    <w:p>
      <w:pPr>
        <w:autoSpaceDE w:val="0"/>
        <w:autoSpaceDN w:val="0"/>
        <w:adjustRightInd w:val="0"/>
        <w:spacing w:line="500" w:lineRule="exact"/>
        <w:rPr>
          <w:rFonts w:hint="eastAsia" w:ascii="仿宋" w:hAnsi="仿宋" w:eastAsia="仿宋" w:cs="仿宋"/>
          <w:b/>
          <w:bCs/>
          <w:color w:val="auto"/>
          <w:sz w:val="36"/>
          <w:szCs w:val="36"/>
          <w:lang w:val="zh-CN"/>
        </w:rPr>
      </w:pPr>
    </w:p>
    <w:p>
      <w:pPr>
        <w:autoSpaceDE w:val="0"/>
        <w:autoSpaceDN w:val="0"/>
        <w:adjustRightInd w:val="0"/>
        <w:spacing w:line="500" w:lineRule="exact"/>
        <w:jc w:val="center"/>
        <w:rPr>
          <w:rFonts w:hint="eastAsia" w:ascii="仿宋" w:hAnsi="仿宋" w:eastAsia="仿宋" w:cs="仿宋"/>
          <w:b/>
          <w:bCs/>
          <w:color w:val="auto"/>
          <w:sz w:val="36"/>
          <w:szCs w:val="36"/>
          <w:lang w:val="zh-CN"/>
        </w:rPr>
      </w:pPr>
    </w:p>
    <w:p>
      <w:pPr>
        <w:autoSpaceDE w:val="0"/>
        <w:autoSpaceDN w:val="0"/>
        <w:adjustRightInd w:val="0"/>
        <w:spacing w:line="500" w:lineRule="exact"/>
        <w:jc w:val="center"/>
        <w:rPr>
          <w:rFonts w:hint="eastAsia" w:ascii="仿宋" w:hAnsi="仿宋" w:eastAsia="仿宋" w:cs="仿宋"/>
          <w:b/>
          <w:bCs/>
          <w:color w:val="auto"/>
          <w:sz w:val="36"/>
          <w:szCs w:val="36"/>
          <w:lang w:val="zh-CN"/>
        </w:rPr>
      </w:pPr>
    </w:p>
    <w:p>
      <w:pPr>
        <w:autoSpaceDE w:val="0"/>
        <w:autoSpaceDN w:val="0"/>
        <w:adjustRightInd w:val="0"/>
        <w:spacing w:line="500" w:lineRule="exact"/>
        <w:jc w:val="center"/>
        <w:rPr>
          <w:rFonts w:hint="eastAsia" w:ascii="仿宋" w:hAnsi="仿宋" w:eastAsia="仿宋" w:cs="仿宋"/>
          <w:b/>
          <w:bCs/>
          <w:color w:val="auto"/>
          <w:sz w:val="36"/>
          <w:szCs w:val="36"/>
          <w:lang w:val="zh-CN"/>
        </w:rPr>
      </w:pPr>
    </w:p>
    <w:p>
      <w:pPr>
        <w:autoSpaceDE w:val="0"/>
        <w:autoSpaceDN w:val="0"/>
        <w:adjustRightInd w:val="0"/>
        <w:spacing w:line="500" w:lineRule="exact"/>
        <w:jc w:val="center"/>
        <w:rPr>
          <w:rFonts w:hint="eastAsia" w:ascii="仿宋" w:hAnsi="仿宋" w:eastAsia="仿宋" w:cs="仿宋"/>
          <w:b/>
          <w:bCs/>
          <w:color w:val="auto"/>
          <w:sz w:val="36"/>
          <w:szCs w:val="36"/>
          <w:lang w:val="zh-CN"/>
        </w:rPr>
      </w:pPr>
    </w:p>
    <w:p>
      <w:pPr>
        <w:autoSpaceDE w:val="0"/>
        <w:autoSpaceDN w:val="0"/>
        <w:adjustRightInd w:val="0"/>
        <w:spacing w:line="500" w:lineRule="exact"/>
        <w:jc w:val="center"/>
        <w:rPr>
          <w:rFonts w:hint="eastAsia" w:ascii="仿宋" w:hAnsi="仿宋" w:eastAsia="仿宋" w:cs="仿宋"/>
          <w:b/>
          <w:bCs/>
          <w:color w:val="auto"/>
          <w:sz w:val="36"/>
          <w:szCs w:val="36"/>
          <w:lang w:val="zh-CN"/>
        </w:rPr>
      </w:pPr>
    </w:p>
    <w:p>
      <w:pPr>
        <w:autoSpaceDE w:val="0"/>
        <w:autoSpaceDN w:val="0"/>
        <w:adjustRightInd w:val="0"/>
        <w:spacing w:line="500" w:lineRule="exact"/>
        <w:jc w:val="center"/>
        <w:rPr>
          <w:rFonts w:hint="eastAsia" w:ascii="仿宋" w:hAnsi="仿宋" w:eastAsia="仿宋" w:cs="仿宋"/>
          <w:b/>
          <w:bCs/>
          <w:color w:val="auto"/>
          <w:sz w:val="36"/>
          <w:szCs w:val="36"/>
          <w:lang w:val="zh-CN"/>
        </w:rPr>
      </w:pPr>
    </w:p>
    <w:p>
      <w:pPr>
        <w:autoSpaceDE w:val="0"/>
        <w:autoSpaceDN w:val="0"/>
        <w:adjustRightInd w:val="0"/>
        <w:spacing w:line="500" w:lineRule="exact"/>
        <w:jc w:val="center"/>
        <w:rPr>
          <w:rFonts w:hint="eastAsia" w:ascii="仿宋" w:hAnsi="仿宋" w:eastAsia="仿宋" w:cs="仿宋"/>
          <w:b/>
          <w:bCs/>
          <w:color w:val="auto"/>
          <w:sz w:val="36"/>
          <w:szCs w:val="36"/>
          <w:lang w:val="zh-CN"/>
        </w:rPr>
      </w:pPr>
    </w:p>
    <w:p>
      <w:pPr>
        <w:autoSpaceDE w:val="0"/>
        <w:autoSpaceDN w:val="0"/>
        <w:adjustRightInd w:val="0"/>
        <w:spacing w:line="500" w:lineRule="exact"/>
        <w:jc w:val="center"/>
        <w:rPr>
          <w:rFonts w:hint="eastAsia" w:ascii="仿宋" w:hAnsi="仿宋" w:eastAsia="仿宋" w:cs="仿宋"/>
          <w:b/>
          <w:bCs/>
          <w:color w:val="auto"/>
          <w:sz w:val="36"/>
          <w:szCs w:val="36"/>
          <w:lang w:val="zh-CN"/>
        </w:rPr>
      </w:pPr>
    </w:p>
    <w:p>
      <w:pPr>
        <w:autoSpaceDE w:val="0"/>
        <w:autoSpaceDN w:val="0"/>
        <w:adjustRightInd w:val="0"/>
        <w:spacing w:line="500" w:lineRule="exact"/>
        <w:jc w:val="center"/>
        <w:rPr>
          <w:rFonts w:hint="eastAsia" w:ascii="仿宋" w:hAnsi="仿宋" w:eastAsia="仿宋" w:cs="仿宋"/>
          <w:b/>
          <w:bCs/>
          <w:color w:val="auto"/>
          <w:sz w:val="36"/>
          <w:szCs w:val="36"/>
          <w:lang w:val="zh-CN"/>
        </w:rPr>
      </w:pPr>
    </w:p>
    <w:p>
      <w:pPr>
        <w:autoSpaceDE w:val="0"/>
        <w:autoSpaceDN w:val="0"/>
        <w:adjustRightInd w:val="0"/>
        <w:spacing w:line="500" w:lineRule="exact"/>
        <w:jc w:val="center"/>
        <w:rPr>
          <w:rFonts w:hint="eastAsia" w:ascii="仿宋" w:hAnsi="仿宋" w:eastAsia="仿宋" w:cs="仿宋"/>
          <w:b/>
          <w:bCs/>
          <w:color w:val="auto"/>
          <w:sz w:val="36"/>
          <w:szCs w:val="36"/>
          <w:lang w:val="zh-CN"/>
        </w:rPr>
      </w:pPr>
    </w:p>
    <w:p>
      <w:pPr>
        <w:autoSpaceDE w:val="0"/>
        <w:autoSpaceDN w:val="0"/>
        <w:adjustRightInd w:val="0"/>
        <w:spacing w:line="500" w:lineRule="exact"/>
        <w:jc w:val="center"/>
        <w:rPr>
          <w:rFonts w:hint="eastAsia" w:ascii="仿宋" w:hAnsi="仿宋" w:eastAsia="仿宋" w:cs="仿宋"/>
          <w:b/>
          <w:bCs/>
          <w:color w:val="auto"/>
          <w:sz w:val="36"/>
          <w:szCs w:val="36"/>
          <w:lang w:val="zh-CN"/>
        </w:rPr>
      </w:pPr>
    </w:p>
    <w:p>
      <w:pPr>
        <w:autoSpaceDE w:val="0"/>
        <w:autoSpaceDN w:val="0"/>
        <w:adjustRightInd w:val="0"/>
        <w:snapToGrid w:val="0"/>
        <w:spacing w:line="500" w:lineRule="exact"/>
        <w:jc w:val="center"/>
        <w:outlineLvl w:val="0"/>
        <w:rPr>
          <w:rFonts w:hint="eastAsia" w:ascii="仿宋" w:hAnsi="仿宋" w:eastAsia="仿宋" w:cs="仿宋"/>
          <w:color w:val="auto"/>
          <w:sz w:val="36"/>
          <w:szCs w:val="36"/>
          <w:lang w:val="zh-CN"/>
        </w:rPr>
      </w:pPr>
    </w:p>
    <w:p>
      <w:pPr>
        <w:autoSpaceDE w:val="0"/>
        <w:autoSpaceDN w:val="0"/>
        <w:adjustRightInd w:val="0"/>
        <w:snapToGrid w:val="0"/>
        <w:spacing w:line="500" w:lineRule="exact"/>
        <w:jc w:val="center"/>
        <w:outlineLvl w:val="0"/>
        <w:rPr>
          <w:rFonts w:hint="eastAsia" w:ascii="仿宋" w:hAnsi="仿宋" w:eastAsia="仿宋" w:cs="仿宋"/>
          <w:color w:val="auto"/>
          <w:sz w:val="36"/>
          <w:szCs w:val="36"/>
          <w:lang w:val="zh-CN"/>
        </w:rPr>
      </w:pPr>
    </w:p>
    <w:p>
      <w:pPr>
        <w:autoSpaceDE w:val="0"/>
        <w:autoSpaceDN w:val="0"/>
        <w:adjustRightInd w:val="0"/>
        <w:snapToGrid w:val="0"/>
        <w:spacing w:line="500" w:lineRule="exact"/>
        <w:jc w:val="center"/>
        <w:outlineLvl w:val="0"/>
        <w:rPr>
          <w:rFonts w:hint="eastAsia" w:ascii="仿宋" w:hAnsi="仿宋" w:eastAsia="仿宋" w:cs="仿宋"/>
          <w:color w:val="auto"/>
          <w:sz w:val="36"/>
          <w:szCs w:val="36"/>
          <w:lang w:val="zh-CN"/>
        </w:rPr>
      </w:pPr>
    </w:p>
    <w:p>
      <w:pPr>
        <w:autoSpaceDE w:val="0"/>
        <w:autoSpaceDN w:val="0"/>
        <w:adjustRightInd w:val="0"/>
        <w:snapToGrid w:val="0"/>
        <w:spacing w:line="500" w:lineRule="exact"/>
        <w:jc w:val="center"/>
        <w:outlineLvl w:val="0"/>
        <w:rPr>
          <w:rFonts w:hint="eastAsia" w:ascii="仿宋" w:hAnsi="仿宋" w:eastAsia="仿宋" w:cs="仿宋"/>
          <w:color w:val="auto"/>
          <w:sz w:val="36"/>
          <w:szCs w:val="36"/>
          <w:lang w:val="zh-CN"/>
        </w:rPr>
      </w:pPr>
    </w:p>
    <w:p>
      <w:pPr>
        <w:autoSpaceDE w:val="0"/>
        <w:autoSpaceDN w:val="0"/>
        <w:adjustRightInd w:val="0"/>
        <w:snapToGrid w:val="0"/>
        <w:spacing w:line="500" w:lineRule="exact"/>
        <w:jc w:val="center"/>
        <w:outlineLvl w:val="0"/>
        <w:rPr>
          <w:rFonts w:hint="eastAsia" w:ascii="仿宋" w:hAnsi="仿宋" w:eastAsia="仿宋" w:cs="仿宋"/>
          <w:color w:val="auto"/>
          <w:sz w:val="36"/>
          <w:szCs w:val="36"/>
          <w:lang w:val="zh-CN"/>
        </w:rPr>
      </w:pPr>
      <w:r>
        <w:rPr>
          <w:rFonts w:hint="eastAsia" w:ascii="仿宋" w:hAnsi="仿宋" w:eastAsia="仿宋" w:cs="仿宋"/>
          <w:color w:val="auto"/>
          <w:sz w:val="36"/>
          <w:szCs w:val="36"/>
          <w:lang w:val="zh-CN"/>
        </w:rPr>
        <w:t>第一部分  磋商公告</w:t>
      </w:r>
    </w:p>
    <w:p>
      <w:pPr>
        <w:adjustRightInd w:val="0"/>
        <w:snapToGrid w:val="0"/>
        <w:spacing w:line="460" w:lineRule="exact"/>
        <w:ind w:firstLine="560" w:firstLineChars="200"/>
        <w:rPr>
          <w:rFonts w:hint="eastAsia" w:ascii="仿宋" w:hAnsi="仿宋" w:eastAsia="仿宋" w:cs="仿宋"/>
          <w:color w:val="auto"/>
          <w:sz w:val="28"/>
          <w:szCs w:val="28"/>
        </w:rPr>
      </w:pPr>
    </w:p>
    <w:p>
      <w:pPr>
        <w:pStyle w:val="49"/>
        <w:rPr>
          <w:rFonts w:hint="eastAsia" w:ascii="仿宋" w:hAnsi="仿宋" w:eastAsia="仿宋" w:cs="仿宋"/>
          <w:color w:val="auto"/>
        </w:rPr>
      </w:pPr>
    </w:p>
    <w:p>
      <w:pPr>
        <w:pBdr>
          <w:top w:val="single" w:color="auto" w:sz="4" w:space="1"/>
          <w:left w:val="single" w:color="auto" w:sz="4" w:space="1"/>
          <w:bottom w:val="single" w:color="auto" w:sz="4" w:space="1"/>
          <w:right w:val="single" w:color="auto" w:sz="4" w:space="4"/>
        </w:pBdr>
        <w:adjustRightInd w:val="0"/>
        <w:snapToGrid w:val="0"/>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项目概况</w:t>
      </w:r>
    </w:p>
    <w:p>
      <w:pPr>
        <w:pBdr>
          <w:top w:val="single" w:color="auto" w:sz="4" w:space="1"/>
          <w:left w:val="single" w:color="auto" w:sz="4" w:space="1"/>
          <w:bottom w:val="single" w:color="auto" w:sz="4" w:space="1"/>
          <w:right w:val="single" w:color="auto" w:sz="4" w:space="4"/>
        </w:pBdr>
        <w:adjustRightInd w:val="0"/>
        <w:snapToGrid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(江苏省南通卫生高等职业技术学校中央空调维保服务)采购项目的潜在供应商应在（南通市卫健委、学校网站）获取采购文件，并于2022年0</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日9点30分（北京时间）前提交响应文件。</w:t>
      </w:r>
    </w:p>
    <w:p>
      <w:pPr>
        <w:widowControl/>
        <w:shd w:val="clear" w:color="auto" w:fill="FFFFFF"/>
        <w:adjustRightInd w:val="0"/>
        <w:snapToGrid w:val="0"/>
        <w:spacing w:line="460" w:lineRule="exact"/>
        <w:ind w:firstLine="590" w:firstLineChars="200"/>
        <w:rPr>
          <w:rFonts w:hint="eastAsia" w:ascii="仿宋" w:hAnsi="仿宋" w:eastAsia="仿宋" w:cs="仿宋"/>
          <w:b/>
          <w:color w:val="auto"/>
          <w:spacing w:val="7"/>
          <w:kern w:val="0"/>
          <w:sz w:val="28"/>
          <w:szCs w:val="28"/>
        </w:rPr>
      </w:pPr>
      <w:r>
        <w:rPr>
          <w:rFonts w:hint="eastAsia" w:ascii="仿宋" w:hAnsi="仿宋" w:eastAsia="仿宋" w:cs="仿宋"/>
          <w:b/>
          <w:color w:val="auto"/>
          <w:spacing w:val="7"/>
          <w:kern w:val="0"/>
          <w:sz w:val="28"/>
          <w:szCs w:val="28"/>
        </w:rPr>
        <w:t>一、项目基本情况</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项目编号：WXBS2022044</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项目名称：江苏省南通卫生高等职业技术学校单体空调维保服务项目</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项目类型：服务</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所属行业：其他未列明行业 </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预算金额：9万元/年</w:t>
      </w:r>
    </w:p>
    <w:p>
      <w:pPr>
        <w:adjustRightInd w:val="0"/>
        <w:snapToGrid w:val="0"/>
        <w:spacing w:line="4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最高限价：9万元/年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报价超过最高限价的为无效报价。</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采购需求：详见磋商文件，请仔细研究。</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合同履行期限：本项目合同服务期一年。如成交供应商在合同期内考核合格，则在第一年合同期满时，且采购人、成交供应商双方同意，成交供应商承诺不增加服务费用的前提下，双方可续签下一年度合同，最多续签两次。如成交供应商在合同期内年度考核不合格，则不再续签下一年度合同。</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本项目是否接受联合体投标：否。</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二、供应商的资格要求：</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2.本项目的特定资格要求：</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2.1拟派维保服务人员须为供应商的正式员工，并具有</w:t>
      </w:r>
      <w:r>
        <w:rPr>
          <w:rFonts w:hint="eastAsia" w:ascii="仿宋" w:hAnsi="仿宋" w:eastAsia="仿宋" w:cs="仿宋"/>
          <w:color w:val="auto"/>
          <w:sz w:val="28"/>
          <w:szCs w:val="28"/>
          <w:lang w:val="en-US" w:eastAsia="zh-CN"/>
        </w:rPr>
        <w:t>行政部门或行业主管部门</w:t>
      </w:r>
      <w:r>
        <w:rPr>
          <w:rFonts w:hint="eastAsia" w:ascii="仿宋" w:hAnsi="仿宋" w:eastAsia="仿宋" w:cs="仿宋"/>
          <w:color w:val="auto"/>
          <w:sz w:val="28"/>
          <w:szCs w:val="28"/>
        </w:rPr>
        <w:t>颁发的制冷上岗证、电工上岗证（至少各一人）。须同时提供：①相关证书原件的复印件或扫描件；②拟派人员与供应商签订的有效劳动合同复印件或扫描件；③社保机构出具且盖章的供应商为其连续交纳的近6个月（至少缴纳至2022年7月）的养老保险缴费清单复印件或扫描件。</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2.2供应商单位负责人为同一人或者存在直接控股、管理关系的不同供应商，不得同时参加同一合同项下的采购活动。</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三、获取采购文件</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时间：2022年</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02</w:t>
      </w:r>
      <w:r>
        <w:rPr>
          <w:rFonts w:hint="eastAsia" w:ascii="仿宋" w:hAnsi="仿宋" w:eastAsia="仿宋" w:cs="仿宋"/>
          <w:color w:val="auto"/>
          <w:sz w:val="28"/>
          <w:szCs w:val="28"/>
        </w:rPr>
        <w:t>日至2022年</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日</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地点：南通市卫健委、学校网站</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方式：自行下载磋商文件，或者到代理机构获取。</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四、提交响应文件截止时间、磋商时间和地点</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2022年</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日9点30分（北京时间），逾时，采购人将拒绝接受磋商响应文件。</w:t>
      </w:r>
    </w:p>
    <w:p>
      <w:pPr>
        <w:adjustRightInd w:val="0"/>
        <w:snapToGrid w:val="0"/>
        <w:spacing w:line="460" w:lineRule="exact"/>
        <w:ind w:firstLine="560" w:firstLineChars="200"/>
        <w:rPr>
          <w:rFonts w:hint="eastAsia" w:ascii="仿宋" w:hAnsi="仿宋" w:eastAsia="仿宋" w:cs="仿宋"/>
          <w:i/>
          <w:color w:val="auto"/>
          <w:sz w:val="28"/>
          <w:szCs w:val="28"/>
        </w:rPr>
      </w:pPr>
      <w:r>
        <w:rPr>
          <w:rFonts w:hint="eastAsia" w:ascii="仿宋" w:hAnsi="仿宋" w:eastAsia="仿宋" w:cs="仿宋"/>
          <w:color w:val="auto"/>
          <w:sz w:val="28"/>
          <w:szCs w:val="28"/>
        </w:rPr>
        <w:t>地点：南通市崇川路58号南通产业技术研究院9号楼10楼1003开标室</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五、公告期限</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自本公告发布之日起3个工作日。</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六、其他补充事宜</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1.投标保证金：免收</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2.项目磋商活动模式：见面磋商模式，供应商在</w:t>
      </w:r>
      <w:r>
        <w:rPr>
          <w:rFonts w:hint="eastAsia" w:ascii="仿宋" w:hAnsi="仿宋" w:eastAsia="仿宋" w:cs="仿宋"/>
          <w:color w:val="auto"/>
          <w:sz w:val="28"/>
          <w:szCs w:val="28"/>
          <w:u w:val="single"/>
        </w:rPr>
        <w:t>南通市崇川路58号南通产业技术研究院9号楼10楼1003</w:t>
      </w:r>
      <w:r>
        <w:rPr>
          <w:rFonts w:hint="eastAsia" w:ascii="仿宋" w:hAnsi="仿宋" w:eastAsia="仿宋" w:cs="仿宋"/>
          <w:color w:val="auto"/>
          <w:sz w:val="28"/>
          <w:szCs w:val="28"/>
        </w:rPr>
        <w:t>参加磋商活动。</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3.项目演示、样品、答辩等（如有请描述）：无</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widowControl/>
        <w:shd w:val="clear" w:color="auto" w:fill="FFFFFF"/>
        <w:adjustRightInd w:val="0"/>
        <w:snapToGrid w:val="0"/>
        <w:spacing w:line="460" w:lineRule="exact"/>
        <w:ind w:firstLine="590" w:firstLineChars="200"/>
        <w:rPr>
          <w:rFonts w:hint="eastAsia" w:ascii="仿宋" w:hAnsi="仿宋" w:eastAsia="仿宋" w:cs="仿宋"/>
          <w:b/>
          <w:color w:val="auto"/>
          <w:spacing w:val="7"/>
          <w:kern w:val="0"/>
          <w:sz w:val="28"/>
          <w:szCs w:val="28"/>
        </w:rPr>
      </w:pPr>
      <w:r>
        <w:rPr>
          <w:rFonts w:hint="eastAsia" w:ascii="仿宋" w:hAnsi="仿宋" w:eastAsia="仿宋" w:cs="仿宋"/>
          <w:b/>
          <w:color w:val="auto"/>
          <w:spacing w:val="7"/>
          <w:kern w:val="0"/>
          <w:sz w:val="28"/>
          <w:szCs w:val="28"/>
        </w:rPr>
        <w:t>七、凡对本次采购提出询问，请按以下方式联系。</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1.采购人信息</w:t>
      </w:r>
    </w:p>
    <w:p>
      <w:pPr>
        <w:widowControl/>
        <w:shd w:val="clear" w:color="auto" w:fill="FFFFFF"/>
        <w:adjustRightInd w:val="0"/>
        <w:snapToGrid w:val="0"/>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名称：江苏省南通卫生高等职业技术学校　　　　　　　　　　　　</w:t>
      </w:r>
    </w:p>
    <w:p>
      <w:pPr>
        <w:widowControl/>
        <w:shd w:val="clear" w:color="auto" w:fill="FFFFFF"/>
        <w:adjustRightInd w:val="0"/>
        <w:snapToGrid w:val="0"/>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联系人：单老师　　　　　　　　　</w:t>
      </w:r>
    </w:p>
    <w:p>
      <w:pPr>
        <w:widowControl/>
        <w:shd w:val="clear" w:color="auto" w:fill="FFFFFF"/>
        <w:adjustRightInd w:val="0"/>
        <w:snapToGrid w:val="0"/>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联系方式：13511591058</w:t>
      </w:r>
    </w:p>
    <w:p>
      <w:pPr>
        <w:widowControl/>
        <w:shd w:val="clear" w:color="auto" w:fill="FFFFFF"/>
        <w:adjustRightInd w:val="0"/>
        <w:snapToGrid w:val="0"/>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2.采购代理机构信息</w:t>
      </w:r>
    </w:p>
    <w:p>
      <w:pPr>
        <w:widowControl/>
        <w:shd w:val="clear" w:color="auto" w:fill="FFFFFF"/>
        <w:adjustRightInd w:val="0"/>
        <w:snapToGrid w:val="0"/>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名称：江苏中润工程建设咨询有限公司</w:t>
      </w:r>
    </w:p>
    <w:p>
      <w:pPr>
        <w:widowControl/>
        <w:shd w:val="clear" w:color="auto" w:fill="FFFFFF"/>
        <w:adjustRightInd w:val="0"/>
        <w:snapToGrid w:val="0"/>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地址：南通市崇川路58号</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联系方式：王  工 0513-55887688 </w:t>
      </w:r>
    </w:p>
    <w:p>
      <w:pPr>
        <w:adjustRightInd w:val="0"/>
        <w:snapToGrid w:val="0"/>
        <w:spacing w:line="500" w:lineRule="exact"/>
        <w:jc w:val="center"/>
        <w:rPr>
          <w:rFonts w:hint="eastAsia" w:ascii="仿宋" w:hAnsi="仿宋" w:eastAsia="仿宋" w:cs="仿宋"/>
          <w:color w:val="auto"/>
          <w:sz w:val="36"/>
          <w:szCs w:val="36"/>
          <w:lang w:val="zh-CN"/>
        </w:rPr>
      </w:pPr>
    </w:p>
    <w:p>
      <w:pPr>
        <w:adjustRightInd w:val="0"/>
        <w:snapToGrid w:val="0"/>
        <w:spacing w:line="500" w:lineRule="exact"/>
        <w:jc w:val="center"/>
        <w:rPr>
          <w:rFonts w:hint="eastAsia" w:ascii="仿宋" w:hAnsi="仿宋" w:eastAsia="仿宋" w:cs="仿宋"/>
          <w:color w:val="auto"/>
          <w:sz w:val="36"/>
          <w:szCs w:val="36"/>
          <w:lang w:val="zh-CN"/>
        </w:rPr>
      </w:pPr>
      <w:r>
        <w:rPr>
          <w:rFonts w:hint="eastAsia" w:ascii="仿宋" w:hAnsi="仿宋" w:eastAsia="仿宋" w:cs="仿宋"/>
          <w:color w:val="auto"/>
          <w:sz w:val="36"/>
          <w:szCs w:val="36"/>
          <w:lang w:val="zh-CN"/>
        </w:rPr>
        <w:br w:type="page"/>
      </w:r>
      <w:r>
        <w:rPr>
          <w:rFonts w:hint="eastAsia" w:ascii="仿宋" w:hAnsi="仿宋" w:eastAsia="仿宋" w:cs="仿宋"/>
          <w:color w:val="auto"/>
          <w:sz w:val="36"/>
          <w:szCs w:val="36"/>
          <w:lang w:val="zh-CN"/>
        </w:rPr>
        <w:t>第二部分 磋商须知</w:t>
      </w:r>
    </w:p>
    <w:p>
      <w:pPr>
        <w:keepNext/>
        <w:keepLines/>
        <w:adjustRightInd w:val="0"/>
        <w:snapToGrid w:val="0"/>
        <w:spacing w:line="460" w:lineRule="exact"/>
        <w:ind w:firstLine="562" w:firstLineChars="200"/>
        <w:outlineLvl w:val="2"/>
        <w:rPr>
          <w:rFonts w:hint="eastAsia" w:ascii="仿宋" w:hAnsi="仿宋" w:eastAsia="仿宋" w:cs="仿宋"/>
          <w:b/>
          <w:bCs/>
          <w:color w:val="auto"/>
          <w:kern w:val="0"/>
          <w:sz w:val="28"/>
          <w:szCs w:val="28"/>
        </w:rPr>
      </w:pPr>
      <w:bookmarkStart w:id="0" w:name="_Toc513029203"/>
      <w:bookmarkStart w:id="1" w:name="_Toc120614214"/>
      <w:bookmarkStart w:id="2" w:name="_Toc20823275"/>
      <w:bookmarkStart w:id="3" w:name="_Toc16938519"/>
      <w:r>
        <w:rPr>
          <w:rFonts w:hint="eastAsia" w:ascii="仿宋" w:hAnsi="仿宋" w:eastAsia="仿宋" w:cs="仿宋"/>
          <w:b/>
          <w:bCs/>
          <w:color w:val="auto"/>
          <w:kern w:val="0"/>
          <w:sz w:val="28"/>
          <w:szCs w:val="28"/>
        </w:rPr>
        <w:t>一、总则</w:t>
      </w:r>
      <w:bookmarkEnd w:id="0"/>
      <w:bookmarkEnd w:id="1"/>
      <w:bookmarkEnd w:id="2"/>
      <w:bookmarkEnd w:id="3"/>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rPr>
      </w:pPr>
      <w:bookmarkStart w:id="4" w:name="_Hlt16619475"/>
      <w:bookmarkEnd w:id="4"/>
      <w:bookmarkStart w:id="5" w:name="_Toc458694821"/>
      <w:bookmarkStart w:id="6" w:name="_Toc16938520"/>
      <w:bookmarkStart w:id="7" w:name="_Toc513029204"/>
      <w:bookmarkStart w:id="8" w:name="_Toc20823276"/>
      <w:r>
        <w:rPr>
          <w:rFonts w:hint="eastAsia" w:ascii="仿宋" w:hAnsi="仿宋" w:eastAsia="仿宋" w:cs="仿宋"/>
          <w:color w:val="auto"/>
          <w:kern w:val="0"/>
          <w:sz w:val="28"/>
          <w:szCs w:val="28"/>
        </w:rPr>
        <w:t>1</w:t>
      </w:r>
      <w:bookmarkEnd w:id="5"/>
      <w:r>
        <w:rPr>
          <w:rFonts w:hint="eastAsia" w:ascii="仿宋" w:hAnsi="仿宋" w:eastAsia="仿宋" w:cs="仿宋"/>
          <w:color w:val="auto"/>
          <w:kern w:val="0"/>
          <w:sz w:val="28"/>
          <w:szCs w:val="28"/>
        </w:rPr>
        <w:t>.采购方式</w:t>
      </w:r>
      <w:bookmarkEnd w:id="6"/>
      <w:bookmarkEnd w:id="7"/>
      <w:bookmarkEnd w:id="8"/>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 本次采取磋商采购方式，本磋商文件仅适用于磋商公告中所述项目。</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rPr>
      </w:pPr>
      <w:bookmarkStart w:id="9" w:name="_Toc20823277"/>
      <w:bookmarkStart w:id="10" w:name="_Toc16938521"/>
      <w:bookmarkStart w:id="11" w:name="_Toc513029205"/>
      <w:r>
        <w:rPr>
          <w:rFonts w:hint="eastAsia" w:ascii="仿宋" w:hAnsi="仿宋" w:eastAsia="仿宋" w:cs="仿宋"/>
          <w:color w:val="auto"/>
          <w:kern w:val="0"/>
          <w:sz w:val="28"/>
          <w:szCs w:val="28"/>
        </w:rPr>
        <w:t>2.合格的</w:t>
      </w:r>
      <w:bookmarkEnd w:id="9"/>
      <w:bookmarkEnd w:id="10"/>
      <w:bookmarkEnd w:id="11"/>
      <w:r>
        <w:rPr>
          <w:rFonts w:hint="eastAsia" w:ascii="仿宋" w:hAnsi="仿宋" w:eastAsia="仿宋" w:cs="仿宋"/>
          <w:color w:val="auto"/>
          <w:kern w:val="0"/>
          <w:sz w:val="28"/>
          <w:szCs w:val="28"/>
        </w:rPr>
        <w:t>供应商</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2.1满足磋商公告中供应商的资格要求的规定。</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2.2 满足本文件实质性条款的规定。</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rPr>
      </w:pPr>
      <w:bookmarkStart w:id="12" w:name="_Toc16938522"/>
      <w:bookmarkStart w:id="13" w:name="_Toc513029206"/>
      <w:bookmarkStart w:id="14" w:name="_Toc20823278"/>
      <w:r>
        <w:rPr>
          <w:rFonts w:hint="eastAsia" w:ascii="仿宋" w:hAnsi="仿宋" w:eastAsia="仿宋" w:cs="仿宋"/>
          <w:color w:val="auto"/>
          <w:kern w:val="0"/>
          <w:sz w:val="28"/>
          <w:szCs w:val="28"/>
        </w:rPr>
        <w:t>3.适用法律</w:t>
      </w:r>
      <w:bookmarkEnd w:id="12"/>
      <w:bookmarkEnd w:id="13"/>
      <w:bookmarkEnd w:id="14"/>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3.1 本次采购及由此产生的合同受中华人民共和国有关的法律法规制约和保护。</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rPr>
      </w:pPr>
      <w:bookmarkStart w:id="15" w:name="_Toc20823279"/>
      <w:bookmarkStart w:id="16" w:name="_Toc16938523"/>
      <w:bookmarkStart w:id="17" w:name="_Toc513029207"/>
      <w:bookmarkStart w:id="18" w:name="_Toc462564067"/>
      <w:r>
        <w:rPr>
          <w:rFonts w:hint="eastAsia" w:ascii="仿宋" w:hAnsi="仿宋" w:eastAsia="仿宋" w:cs="仿宋"/>
          <w:color w:val="auto"/>
          <w:kern w:val="0"/>
          <w:sz w:val="28"/>
          <w:szCs w:val="28"/>
        </w:rPr>
        <w:t>4.磋商费用</w:t>
      </w:r>
      <w:bookmarkEnd w:id="15"/>
      <w:bookmarkEnd w:id="16"/>
      <w:bookmarkEnd w:id="17"/>
      <w:bookmarkEnd w:id="18"/>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4.1</w:t>
      </w:r>
      <w:r>
        <w:rPr>
          <w:rFonts w:hint="eastAsia" w:ascii="仿宋" w:hAnsi="仿宋" w:eastAsia="仿宋" w:cs="仿宋"/>
          <w:color w:val="auto"/>
          <w:sz w:val="28"/>
          <w:szCs w:val="28"/>
        </w:rPr>
        <w:t xml:space="preserve"> 供应商应自行承担所有与参加磋商有关的费用，无论磋商过程中的做法和结果如何，江苏中润工程建设咨询有限公司（以下简称采购代理机构）在任何情况下均无义务和责任承担这些费用。</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4.2本次代理服务费按按1500元，向成交供应商收取。</w:t>
      </w:r>
    </w:p>
    <w:p>
      <w:pPr>
        <w:keepNext/>
        <w:adjustRightInd w:val="0"/>
        <w:snapToGrid w:val="0"/>
        <w:spacing w:line="460" w:lineRule="exact"/>
        <w:ind w:firstLine="560" w:firstLineChars="200"/>
        <w:outlineLvl w:val="3"/>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4.3采购文件资料费300元，提交响应文件时支付给代理机构。</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5.磋商文件的约束力</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5.1</w:t>
      </w:r>
      <w:r>
        <w:rPr>
          <w:rFonts w:hint="eastAsia" w:ascii="仿宋" w:hAnsi="仿宋" w:eastAsia="仿宋" w:cs="仿宋"/>
          <w:color w:val="auto"/>
          <w:sz w:val="28"/>
          <w:szCs w:val="28"/>
        </w:rPr>
        <w:t xml:space="preserve"> 供应商一旦参加本项目采购活动，即被认为接受了本磋商文件的规定和约束。</w:t>
      </w:r>
    </w:p>
    <w:p>
      <w:pPr>
        <w:keepNext/>
        <w:adjustRightInd w:val="0"/>
        <w:snapToGrid w:val="0"/>
        <w:spacing w:line="460" w:lineRule="exact"/>
        <w:ind w:firstLine="560" w:firstLineChars="200"/>
        <w:outlineLvl w:val="3"/>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6.磋商文件的解释</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6.1</w:t>
      </w:r>
      <w:r>
        <w:rPr>
          <w:rFonts w:hint="eastAsia" w:ascii="仿宋" w:hAnsi="仿宋" w:eastAsia="仿宋" w:cs="仿宋"/>
          <w:color w:val="auto"/>
          <w:sz w:val="28"/>
          <w:szCs w:val="28"/>
        </w:rPr>
        <w:t>磋商文件需求部分（供应商资格要求、项目需求、商务技术评分标准）由采购人解释，其它部分由采购代理机构解释。</w:t>
      </w:r>
    </w:p>
    <w:p>
      <w:pPr>
        <w:keepNext/>
        <w:keepLines/>
        <w:adjustRightInd w:val="0"/>
        <w:snapToGrid w:val="0"/>
        <w:spacing w:line="460" w:lineRule="exact"/>
        <w:ind w:firstLine="562" w:firstLineChars="200"/>
        <w:outlineLvl w:val="2"/>
        <w:rPr>
          <w:rFonts w:hint="eastAsia" w:ascii="仿宋" w:hAnsi="仿宋" w:eastAsia="仿宋" w:cs="仿宋"/>
          <w:b/>
          <w:bCs/>
          <w:color w:val="auto"/>
          <w:kern w:val="0"/>
          <w:sz w:val="28"/>
          <w:szCs w:val="28"/>
        </w:rPr>
      </w:pPr>
      <w:bookmarkStart w:id="19" w:name="_Toc513029209"/>
      <w:bookmarkStart w:id="20" w:name="_Toc120614215"/>
      <w:bookmarkStart w:id="21" w:name="_Toc16938525"/>
      <w:bookmarkStart w:id="22" w:name="_Toc20823281"/>
      <w:r>
        <w:rPr>
          <w:rFonts w:hint="eastAsia" w:ascii="仿宋" w:hAnsi="仿宋" w:eastAsia="仿宋" w:cs="仿宋"/>
          <w:b/>
          <w:bCs/>
          <w:color w:val="auto"/>
          <w:kern w:val="0"/>
          <w:sz w:val="28"/>
          <w:szCs w:val="28"/>
        </w:rPr>
        <w:t>二、磋商文件</w:t>
      </w:r>
      <w:bookmarkEnd w:id="19"/>
      <w:bookmarkEnd w:id="20"/>
      <w:bookmarkEnd w:id="21"/>
      <w:bookmarkEnd w:id="22"/>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rPr>
      </w:pPr>
      <w:bookmarkStart w:id="23" w:name="_Toc513029210"/>
      <w:bookmarkStart w:id="24" w:name="_Toc20823282"/>
      <w:bookmarkStart w:id="25" w:name="_Toc16938526"/>
      <w:r>
        <w:rPr>
          <w:rFonts w:hint="eastAsia" w:ascii="仿宋" w:hAnsi="仿宋" w:eastAsia="仿宋" w:cs="仿宋"/>
          <w:color w:val="auto"/>
          <w:kern w:val="0"/>
          <w:sz w:val="28"/>
          <w:szCs w:val="28"/>
        </w:rPr>
        <w:t>1.磋商文件构成</w:t>
      </w:r>
      <w:bookmarkEnd w:id="23"/>
      <w:bookmarkEnd w:id="24"/>
      <w:bookmarkEnd w:id="25"/>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1.1</w:t>
      </w:r>
      <w:r>
        <w:rPr>
          <w:rFonts w:hint="eastAsia" w:ascii="仿宋" w:hAnsi="仿宋" w:eastAsia="仿宋" w:cs="仿宋"/>
          <w:color w:val="auto"/>
          <w:sz w:val="28"/>
          <w:szCs w:val="28"/>
        </w:rPr>
        <w:t xml:space="preserve"> 磋商文件由以下部分组成：</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（1）磋商公告</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（2）磋商须知</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（3）项目需求</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（4）评审方法和评审标准</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（5）响应文件组成</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（6）附件</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请仔细检查磋商文件是否齐全，如有缺漏请立即与采购代理机构联系解决。</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1.2</w:t>
      </w:r>
      <w:r>
        <w:rPr>
          <w:rFonts w:hint="eastAsia" w:ascii="仿宋" w:hAnsi="仿宋" w:eastAsia="仿宋" w:cs="仿宋"/>
          <w:color w:val="auto"/>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rPr>
      </w:pPr>
      <w:bookmarkStart w:id="26" w:name="_Toc462564070"/>
      <w:bookmarkStart w:id="27" w:name="_Toc513029211"/>
      <w:bookmarkStart w:id="28" w:name="_Toc16938527"/>
      <w:bookmarkStart w:id="29" w:name="_Toc20823283"/>
      <w:r>
        <w:rPr>
          <w:rFonts w:hint="eastAsia" w:ascii="仿宋" w:hAnsi="仿宋" w:eastAsia="仿宋" w:cs="仿宋"/>
          <w:color w:val="auto"/>
          <w:kern w:val="0"/>
          <w:sz w:val="28"/>
          <w:szCs w:val="28"/>
        </w:rPr>
        <w:t>2.磋商文件的澄清</w:t>
      </w:r>
      <w:bookmarkEnd w:id="26"/>
      <w:bookmarkEnd w:id="27"/>
      <w:bookmarkEnd w:id="28"/>
      <w:bookmarkEnd w:id="29"/>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2.1</w:t>
      </w:r>
      <w:r>
        <w:rPr>
          <w:rFonts w:hint="eastAsia" w:ascii="仿宋" w:hAnsi="仿宋" w:eastAsia="仿宋" w:cs="仿宋"/>
          <w:color w:val="auto"/>
          <w:sz w:val="28"/>
          <w:szCs w:val="28"/>
        </w:rPr>
        <w:t xml:space="preserve"> 任何要求对磋商文件进行澄清的供应商，应在提交首次响应文件截止时间五日前按磋商公告中的通讯地址，以书面形式通知采购人。采购人有权对发出的磋商文件进行必要的澄清或修改。</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2.2采购人视情组织答疑会</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rPr>
      </w:pPr>
      <w:bookmarkStart w:id="30" w:name="_Toc462564071"/>
      <w:bookmarkStart w:id="31" w:name="_Toc16938528"/>
      <w:bookmarkStart w:id="32" w:name="_Toc20823284"/>
      <w:bookmarkStart w:id="33" w:name="_Toc513029212"/>
      <w:r>
        <w:rPr>
          <w:rFonts w:hint="eastAsia" w:ascii="仿宋" w:hAnsi="仿宋" w:eastAsia="仿宋" w:cs="仿宋"/>
          <w:color w:val="auto"/>
          <w:kern w:val="0"/>
          <w:sz w:val="28"/>
          <w:szCs w:val="28"/>
        </w:rPr>
        <w:t>3.磋商文件的修改</w:t>
      </w:r>
      <w:bookmarkEnd w:id="30"/>
      <w:bookmarkEnd w:id="31"/>
      <w:bookmarkEnd w:id="32"/>
      <w:bookmarkEnd w:id="33"/>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3.1</w:t>
      </w:r>
      <w:r>
        <w:rPr>
          <w:rFonts w:hint="eastAsia" w:ascii="仿宋" w:hAnsi="仿宋" w:eastAsia="仿宋" w:cs="仿宋"/>
          <w:color w:val="auto"/>
          <w:sz w:val="28"/>
          <w:szCs w:val="28"/>
        </w:rPr>
        <w:t xml:space="preserve"> 在响应文件提交截止时间前，采购代理机构可以对磋商文件进行修改。</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 xml:space="preserve">3.2 </w:t>
      </w:r>
      <w:r>
        <w:rPr>
          <w:rFonts w:hint="eastAsia" w:ascii="仿宋" w:hAnsi="仿宋" w:eastAsia="仿宋" w:cs="仿宋"/>
          <w:color w:val="auto"/>
          <w:sz w:val="28"/>
          <w:szCs w:val="28"/>
        </w:rPr>
        <w:t>采购代理机构有权按照法定的要求推迟响应文件提交截止日期和磋商日期。</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 xml:space="preserve">3.3 </w:t>
      </w:r>
      <w:r>
        <w:rPr>
          <w:rFonts w:hint="eastAsia" w:ascii="仿宋" w:hAnsi="仿宋" w:eastAsia="仿宋" w:cs="仿宋"/>
          <w:color w:val="auto"/>
          <w:sz w:val="28"/>
          <w:szCs w:val="28"/>
        </w:rPr>
        <w:t>磋商文件的修改将在南通市卫健委、学校网站公布，补充文件将作为磋商文件的组成部分，并对供应商具有约束力。</w:t>
      </w:r>
    </w:p>
    <w:p>
      <w:pPr>
        <w:keepNext/>
        <w:keepLines/>
        <w:adjustRightInd w:val="0"/>
        <w:snapToGrid w:val="0"/>
        <w:spacing w:line="460" w:lineRule="exact"/>
        <w:ind w:firstLine="562" w:firstLineChars="200"/>
        <w:outlineLvl w:val="2"/>
        <w:rPr>
          <w:rFonts w:hint="eastAsia" w:ascii="仿宋" w:hAnsi="仿宋" w:eastAsia="仿宋" w:cs="仿宋"/>
          <w:b/>
          <w:bCs/>
          <w:color w:val="auto"/>
          <w:kern w:val="0"/>
          <w:sz w:val="28"/>
          <w:szCs w:val="28"/>
        </w:rPr>
      </w:pPr>
      <w:bookmarkStart w:id="34" w:name="_Toc462564072"/>
      <w:bookmarkStart w:id="35" w:name="_Toc16938529"/>
      <w:bookmarkStart w:id="36" w:name="_Toc120614216"/>
      <w:bookmarkStart w:id="37" w:name="_Toc20823285"/>
      <w:bookmarkStart w:id="38" w:name="_Toc513029213"/>
      <w:r>
        <w:rPr>
          <w:rFonts w:hint="eastAsia" w:ascii="仿宋" w:hAnsi="仿宋" w:eastAsia="仿宋" w:cs="仿宋"/>
          <w:b/>
          <w:bCs/>
          <w:color w:val="auto"/>
          <w:kern w:val="0"/>
          <w:sz w:val="28"/>
          <w:szCs w:val="28"/>
        </w:rPr>
        <w:t>三、响应文件的编制</w:t>
      </w:r>
      <w:bookmarkEnd w:id="34"/>
      <w:bookmarkEnd w:id="35"/>
      <w:bookmarkEnd w:id="36"/>
      <w:bookmarkEnd w:id="37"/>
      <w:bookmarkEnd w:id="38"/>
    </w:p>
    <w:p>
      <w:pPr>
        <w:keepNext/>
        <w:adjustRightInd w:val="0"/>
        <w:snapToGrid w:val="0"/>
        <w:spacing w:line="460" w:lineRule="exact"/>
        <w:ind w:firstLine="560" w:firstLineChars="200"/>
        <w:outlineLvl w:val="3"/>
        <w:rPr>
          <w:rFonts w:hint="eastAsia" w:ascii="仿宋" w:hAnsi="仿宋" w:eastAsia="仿宋" w:cs="仿宋"/>
          <w:bCs/>
          <w:color w:val="auto"/>
          <w:kern w:val="0"/>
          <w:sz w:val="28"/>
          <w:szCs w:val="28"/>
        </w:rPr>
      </w:pPr>
      <w:bookmarkStart w:id="39" w:name="_Toc16938530"/>
      <w:bookmarkStart w:id="40" w:name="_Toc20823286"/>
      <w:bookmarkStart w:id="41" w:name="_Toc462564073"/>
      <w:bookmarkStart w:id="42" w:name="_Toc513029214"/>
      <w:r>
        <w:rPr>
          <w:rFonts w:hint="eastAsia" w:ascii="仿宋" w:hAnsi="仿宋" w:eastAsia="仿宋" w:cs="仿宋"/>
          <w:color w:val="auto"/>
          <w:kern w:val="0"/>
          <w:sz w:val="28"/>
          <w:szCs w:val="28"/>
        </w:rPr>
        <w:t>1.响应文件的语言及度量衡单位</w:t>
      </w:r>
      <w:bookmarkEnd w:id="39"/>
      <w:bookmarkEnd w:id="40"/>
      <w:bookmarkEnd w:id="41"/>
      <w:bookmarkEnd w:id="42"/>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1.1</w:t>
      </w:r>
      <w:r>
        <w:rPr>
          <w:rFonts w:hint="eastAsia" w:ascii="仿宋" w:hAnsi="仿宋" w:eastAsia="仿宋" w:cs="仿宋"/>
          <w:color w:val="auto"/>
          <w:sz w:val="28"/>
          <w:szCs w:val="28"/>
        </w:rPr>
        <w:t>供应商提交的响应文件以及供应商与采购代理机构及采购人就有关磋商的所有来往通知、函件和文件均应使用</w:t>
      </w:r>
      <w:r>
        <w:rPr>
          <w:rFonts w:hint="eastAsia" w:ascii="仿宋" w:hAnsi="仿宋" w:eastAsia="仿宋" w:cs="仿宋"/>
          <w:bCs/>
          <w:color w:val="auto"/>
          <w:sz w:val="28"/>
          <w:szCs w:val="28"/>
        </w:rPr>
        <w:t>简体中文</w:t>
      </w:r>
      <w:r>
        <w:rPr>
          <w:rFonts w:hint="eastAsia" w:ascii="仿宋" w:hAnsi="仿宋" w:eastAsia="仿宋" w:cs="仿宋"/>
          <w:color w:val="auto"/>
          <w:sz w:val="28"/>
          <w:szCs w:val="28"/>
        </w:rPr>
        <w:t>。</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1.2</w:t>
      </w:r>
      <w:r>
        <w:rPr>
          <w:rFonts w:hint="eastAsia" w:ascii="仿宋" w:hAnsi="仿宋" w:eastAsia="仿宋" w:cs="仿宋"/>
          <w:color w:val="auto"/>
          <w:sz w:val="28"/>
          <w:szCs w:val="28"/>
        </w:rPr>
        <w:t xml:space="preserve"> 除技术性能另有规定外，响应文件所使用的度量衡单位，均须采用国家法定计量单位。</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rPr>
      </w:pPr>
      <w:bookmarkStart w:id="43" w:name="_Toc513029215"/>
      <w:bookmarkStart w:id="44" w:name="_Toc16938531"/>
      <w:bookmarkStart w:id="45" w:name="_Toc20823287"/>
      <w:bookmarkStart w:id="46" w:name="_Toc462564074"/>
      <w:r>
        <w:rPr>
          <w:rFonts w:hint="eastAsia" w:ascii="仿宋" w:hAnsi="仿宋" w:eastAsia="仿宋" w:cs="仿宋"/>
          <w:color w:val="auto"/>
          <w:kern w:val="0"/>
          <w:sz w:val="28"/>
          <w:szCs w:val="28"/>
        </w:rPr>
        <w:t>2.响应文件构成</w:t>
      </w:r>
      <w:bookmarkEnd w:id="43"/>
      <w:bookmarkEnd w:id="44"/>
      <w:bookmarkEnd w:id="45"/>
      <w:bookmarkEnd w:id="46"/>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2.1</w:t>
      </w:r>
      <w:r>
        <w:rPr>
          <w:rFonts w:hint="eastAsia" w:ascii="仿宋" w:hAnsi="仿宋" w:eastAsia="仿宋" w:cs="仿宋"/>
          <w:color w:val="auto"/>
          <w:sz w:val="28"/>
          <w:szCs w:val="28"/>
        </w:rPr>
        <w:t xml:space="preserve"> 供应商编写的响应文件应包括资格审查证明材料文件、商务技术标文件、价格标文件。供应商按“第五部分 响应文件组成”要求编写响应文件。</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rPr>
      </w:pPr>
      <w:bookmarkStart w:id="47" w:name="_Hlt26670360"/>
      <w:bookmarkEnd w:id="47"/>
      <w:bookmarkStart w:id="48" w:name="_Hlt26668975"/>
      <w:bookmarkEnd w:id="48"/>
      <w:bookmarkStart w:id="49" w:name="_Hlt26954838"/>
      <w:bookmarkEnd w:id="49"/>
      <w:bookmarkStart w:id="50" w:name="_Toc49090511"/>
      <w:bookmarkStart w:id="51" w:name="_Toc14577360"/>
      <w:r>
        <w:rPr>
          <w:rFonts w:hint="eastAsia" w:ascii="仿宋" w:hAnsi="仿宋" w:eastAsia="仿宋" w:cs="仿宋"/>
          <w:color w:val="auto"/>
          <w:kern w:val="0"/>
          <w:sz w:val="28"/>
          <w:szCs w:val="28"/>
        </w:rPr>
        <w:t>3.</w:t>
      </w:r>
      <w:bookmarkEnd w:id="50"/>
      <w:bookmarkEnd w:id="51"/>
      <w:r>
        <w:rPr>
          <w:rFonts w:hint="eastAsia" w:ascii="仿宋" w:hAnsi="仿宋" w:eastAsia="仿宋" w:cs="仿宋"/>
          <w:color w:val="auto"/>
          <w:kern w:val="0"/>
          <w:sz w:val="28"/>
          <w:szCs w:val="28"/>
        </w:rPr>
        <w:t>磋商响应有效期</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3.1磋商响应有效期为采购代理机构规定的响应文件</w:t>
      </w:r>
      <w:r>
        <w:rPr>
          <w:rFonts w:hint="eastAsia" w:ascii="仿宋" w:hAnsi="仿宋" w:eastAsia="仿宋" w:cs="仿宋"/>
          <w:color w:val="auto"/>
          <w:sz w:val="28"/>
          <w:szCs w:val="28"/>
        </w:rPr>
        <w:t>提交</w:t>
      </w:r>
      <w:r>
        <w:rPr>
          <w:rFonts w:hint="eastAsia" w:ascii="仿宋" w:hAnsi="仿宋" w:eastAsia="仿宋" w:cs="仿宋"/>
          <w:bCs/>
          <w:color w:val="auto"/>
          <w:sz w:val="28"/>
          <w:szCs w:val="28"/>
        </w:rPr>
        <w:t>截止时间后</w:t>
      </w:r>
      <w:r>
        <w:rPr>
          <w:rFonts w:hint="eastAsia" w:ascii="仿宋" w:hAnsi="仿宋" w:eastAsia="仿宋" w:cs="仿宋"/>
          <w:b/>
          <w:color w:val="auto"/>
          <w:sz w:val="28"/>
          <w:szCs w:val="28"/>
          <w:u w:val="single"/>
        </w:rPr>
        <w:t>六十（60）天</w:t>
      </w:r>
      <w:r>
        <w:rPr>
          <w:rFonts w:hint="eastAsia" w:ascii="仿宋" w:hAnsi="仿宋" w:eastAsia="仿宋" w:cs="仿宋"/>
          <w:bCs/>
          <w:color w:val="auto"/>
          <w:sz w:val="28"/>
          <w:szCs w:val="28"/>
        </w:rPr>
        <w:t>。磋商响应有效期比规定短的将被视为非实质性响应而予以拒绝。</w:t>
      </w:r>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4. 磋商响应有效期的延长</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仿宋" w:hAnsi="仿宋" w:eastAsia="仿宋" w:cs="仿宋"/>
          <w:color w:val="auto"/>
          <w:sz w:val="28"/>
          <w:szCs w:val="28"/>
        </w:rPr>
        <w:t>受磋商响应有效期约束的所有权利与义务均延长至新的有效期</w:t>
      </w:r>
      <w:r>
        <w:rPr>
          <w:rFonts w:hint="eastAsia" w:ascii="仿宋" w:hAnsi="仿宋" w:eastAsia="仿宋" w:cs="仿宋"/>
          <w:bCs/>
          <w:color w:val="auto"/>
          <w:sz w:val="28"/>
          <w:szCs w:val="28"/>
        </w:rPr>
        <w:t>。</w:t>
      </w:r>
    </w:p>
    <w:p>
      <w:pPr>
        <w:keepNext/>
        <w:keepLines/>
        <w:adjustRightInd w:val="0"/>
        <w:snapToGrid w:val="0"/>
        <w:spacing w:line="460" w:lineRule="exact"/>
        <w:ind w:firstLine="562" w:firstLineChars="200"/>
        <w:outlineLvl w:val="2"/>
        <w:rPr>
          <w:rFonts w:hint="eastAsia" w:ascii="仿宋" w:hAnsi="仿宋" w:eastAsia="仿宋" w:cs="仿宋"/>
          <w:b/>
          <w:bCs/>
          <w:color w:val="auto"/>
          <w:kern w:val="0"/>
          <w:sz w:val="28"/>
          <w:szCs w:val="28"/>
        </w:rPr>
      </w:pPr>
      <w:bookmarkStart w:id="52" w:name="_Hlt26954739"/>
      <w:bookmarkEnd w:id="52"/>
      <w:bookmarkStart w:id="53" w:name="_Hlt26954852"/>
      <w:bookmarkEnd w:id="53"/>
      <w:bookmarkStart w:id="54" w:name="_Toc513029224"/>
      <w:bookmarkStart w:id="55" w:name="_Toc20823296"/>
      <w:bookmarkStart w:id="56" w:name="_Toc120614217"/>
      <w:bookmarkStart w:id="57" w:name="_Toc16938540"/>
      <w:r>
        <w:rPr>
          <w:rFonts w:hint="eastAsia" w:ascii="仿宋" w:hAnsi="仿宋" w:eastAsia="仿宋" w:cs="仿宋"/>
          <w:b/>
          <w:bCs/>
          <w:color w:val="auto"/>
          <w:kern w:val="0"/>
          <w:sz w:val="28"/>
          <w:szCs w:val="28"/>
        </w:rPr>
        <w:t>四、响应文件的提交</w:t>
      </w:r>
      <w:bookmarkEnd w:id="54"/>
      <w:bookmarkEnd w:id="55"/>
      <w:bookmarkEnd w:id="56"/>
      <w:bookmarkEnd w:id="57"/>
    </w:p>
    <w:p>
      <w:pPr>
        <w:keepNext/>
        <w:adjustRightInd w:val="0"/>
        <w:snapToGrid w:val="0"/>
        <w:spacing w:line="460" w:lineRule="exact"/>
        <w:ind w:firstLine="560" w:firstLineChars="200"/>
        <w:outlineLvl w:val="3"/>
        <w:rPr>
          <w:rFonts w:hint="eastAsia" w:ascii="仿宋" w:hAnsi="仿宋" w:eastAsia="仿宋" w:cs="仿宋"/>
          <w:b/>
          <w:bCs/>
          <w:color w:val="auto"/>
          <w:kern w:val="0"/>
          <w:sz w:val="28"/>
          <w:szCs w:val="28"/>
        </w:rPr>
      </w:pPr>
      <w:bookmarkStart w:id="58" w:name="_Toc462564084"/>
      <w:bookmarkStart w:id="59" w:name="_Toc16938541"/>
      <w:bookmarkStart w:id="60" w:name="_Toc20823297"/>
      <w:bookmarkStart w:id="61" w:name="_Toc513029225"/>
      <w:r>
        <w:rPr>
          <w:rFonts w:hint="eastAsia" w:ascii="仿宋" w:hAnsi="仿宋" w:eastAsia="仿宋" w:cs="仿宋"/>
          <w:color w:val="auto"/>
          <w:kern w:val="0"/>
          <w:sz w:val="28"/>
          <w:szCs w:val="28"/>
        </w:rPr>
        <w:t>1.响应文件</w:t>
      </w:r>
      <w:bookmarkEnd w:id="58"/>
      <w:bookmarkEnd w:id="59"/>
      <w:bookmarkEnd w:id="60"/>
      <w:bookmarkEnd w:id="61"/>
      <w:r>
        <w:rPr>
          <w:rFonts w:hint="eastAsia" w:ascii="仿宋" w:hAnsi="仿宋" w:eastAsia="仿宋" w:cs="仿宋"/>
          <w:color w:val="auto"/>
          <w:kern w:val="0"/>
          <w:sz w:val="28"/>
          <w:szCs w:val="28"/>
        </w:rPr>
        <w:t>的提交</w:t>
      </w:r>
    </w:p>
    <w:p>
      <w:pPr>
        <w:adjustRightInd w:val="0"/>
        <w:snapToGrid w:val="0"/>
        <w:spacing w:line="460" w:lineRule="exact"/>
        <w:ind w:firstLine="560" w:firstLineChars="200"/>
        <w:rPr>
          <w:rFonts w:hint="eastAsia" w:ascii="仿宋" w:hAnsi="仿宋" w:eastAsia="仿宋" w:cs="仿宋"/>
          <w:bCs/>
          <w:color w:val="auto"/>
          <w:sz w:val="28"/>
          <w:szCs w:val="28"/>
        </w:rPr>
      </w:pPr>
      <w:bookmarkStart w:id="62" w:name="_Toc513029226"/>
      <w:bookmarkStart w:id="63" w:name="_Toc16938542"/>
      <w:bookmarkStart w:id="64" w:name="_Toc20823298"/>
      <w:r>
        <w:rPr>
          <w:rFonts w:hint="eastAsia" w:ascii="仿宋" w:hAnsi="仿宋" w:eastAsia="仿宋" w:cs="仿宋"/>
          <w:bCs/>
          <w:color w:val="auto"/>
          <w:sz w:val="28"/>
          <w:szCs w:val="28"/>
        </w:rPr>
        <w:t>1.1响应文件三部分内容（资格审查文件、商务技术文件、价格文件）须分别单独密封，</w:t>
      </w:r>
      <w:r>
        <w:rPr>
          <w:rFonts w:hint="eastAsia" w:ascii="仿宋" w:hAnsi="仿宋" w:eastAsia="仿宋" w:cs="仿宋"/>
          <w:bCs/>
          <w:color w:val="auto"/>
          <w:sz w:val="28"/>
          <w:szCs w:val="28"/>
          <w:lang w:val="zh-CN"/>
        </w:rPr>
        <w:t>并牢</w:t>
      </w:r>
      <w:r>
        <w:rPr>
          <w:rFonts w:hint="eastAsia" w:ascii="仿宋" w:hAnsi="仿宋" w:eastAsia="仿宋" w:cs="仿宋"/>
          <w:bCs/>
          <w:color w:val="auto"/>
          <w:sz w:val="28"/>
          <w:szCs w:val="28"/>
        </w:rPr>
        <w:t>固装订成册，不得相互混淆，文件自编目录并连续标注页码，不得将内容拆开。价格文件不得出现于其他磋商文件中。</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1.2响应文件每一部分内容均须提供“一正、两副”纸质响应文件，并将正本、副本及图纸类等（如需提供图纸等其它资料的话）合并密封，统一装在一个密封袋或密封箱内（如有A3大小的图纸类，可单独密封）。</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1.3纸质响应文件须</w:t>
      </w:r>
      <w:r>
        <w:rPr>
          <w:rFonts w:hint="eastAsia" w:ascii="仿宋" w:hAnsi="仿宋" w:eastAsia="仿宋" w:cs="仿宋"/>
          <w:bCs/>
          <w:color w:val="auto"/>
          <w:sz w:val="28"/>
          <w:szCs w:val="28"/>
          <w:lang w:val="zh-CN"/>
        </w:rPr>
        <w:t>采用A4纸（</w:t>
      </w:r>
      <w:r>
        <w:rPr>
          <w:rFonts w:hint="eastAsia" w:ascii="仿宋" w:hAnsi="仿宋" w:eastAsia="仿宋" w:cs="仿宋"/>
          <w:bCs/>
          <w:color w:val="auto"/>
          <w:sz w:val="28"/>
          <w:szCs w:val="28"/>
        </w:rPr>
        <w:t>图纸等除外），正本须打印并由法定代表人或授权人签字并加盖单位印章。副本可复印，但须加盖单位印章。文件内容中不得行间插字、涂改、增删，如修补错漏处，须由响应文件签署人签字并加盖公章。</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1.4响应文件密封后应标明响应文件项目名称、项目编号、边缝处加盖单位骑缝章或骑缝签字，并注明于磋商前不得启封。</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1.5递交时间：供应商须在规定的响应文件接收截止时间前送达指定地点。供应商提交磋商文件，即视为已响应参加采购活动。</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友情提醒：代理机构将拒绝接收未按照磋商文件要求密封的响应文件，拒绝接收在响应文件接收截止时间后递交的响应文件。</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2.响应文件截止日期</w:t>
      </w:r>
      <w:bookmarkEnd w:id="62"/>
      <w:bookmarkEnd w:id="63"/>
      <w:bookmarkEnd w:id="64"/>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2.1 供应商提交响应文件的时间不得迟于磋商公告中规定的响应文件提交截止时间。</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供应商应充分考虑到交通路况、停车、疫情管控等风险因素，如因供应商自身原因造成的磋商响应文件提交不成功由供应商自行承担全部责任。</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2.2 采购代理机构可以按照规定，通过修改响应文件酌情延长响应文件提交截止日期，在此情况下，供应商的所有权利和义务以及供应商受制的截止日期均应以延长后新的截止日期为准。</w:t>
      </w:r>
    </w:p>
    <w:p>
      <w:pPr>
        <w:adjustRightInd w:val="0"/>
        <w:snapToGrid w:val="0"/>
        <w:spacing w:line="460" w:lineRule="exact"/>
        <w:ind w:firstLine="560" w:firstLineChars="200"/>
        <w:rPr>
          <w:rFonts w:hint="eastAsia" w:ascii="仿宋" w:hAnsi="仿宋" w:eastAsia="仿宋" w:cs="仿宋"/>
          <w:bCs/>
          <w:color w:val="auto"/>
          <w:sz w:val="28"/>
          <w:szCs w:val="28"/>
        </w:rPr>
      </w:pPr>
      <w:bookmarkStart w:id="65" w:name="_Toc513029227"/>
      <w:bookmarkStart w:id="66" w:name="_Toc16938543"/>
      <w:bookmarkStart w:id="67" w:name="_Toc20823299"/>
      <w:r>
        <w:rPr>
          <w:rFonts w:hint="eastAsia" w:ascii="仿宋" w:hAnsi="仿宋" w:eastAsia="仿宋" w:cs="仿宋"/>
          <w:bCs/>
          <w:color w:val="auto"/>
          <w:sz w:val="28"/>
          <w:szCs w:val="28"/>
        </w:rPr>
        <w:t>3.响应文件</w:t>
      </w:r>
      <w:bookmarkEnd w:id="65"/>
      <w:bookmarkEnd w:id="66"/>
      <w:bookmarkEnd w:id="67"/>
      <w:r>
        <w:rPr>
          <w:rFonts w:hint="eastAsia" w:ascii="仿宋" w:hAnsi="仿宋" w:eastAsia="仿宋" w:cs="仿宋"/>
          <w:bCs/>
          <w:color w:val="auto"/>
          <w:sz w:val="28"/>
          <w:szCs w:val="28"/>
        </w:rPr>
        <w:t>的拒收</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3.1 采购代理机构拒绝接收在其规定的响应文件提交截止时间后提交的任何响应文件。</w:t>
      </w:r>
    </w:p>
    <w:p>
      <w:pPr>
        <w:adjustRightInd w:val="0"/>
        <w:snapToGrid w:val="0"/>
        <w:spacing w:line="460" w:lineRule="exact"/>
        <w:ind w:firstLine="560" w:firstLineChars="200"/>
        <w:rPr>
          <w:rFonts w:hint="eastAsia" w:ascii="仿宋" w:hAnsi="仿宋" w:eastAsia="仿宋" w:cs="仿宋"/>
          <w:bCs/>
          <w:color w:val="auto"/>
          <w:sz w:val="28"/>
          <w:szCs w:val="28"/>
        </w:rPr>
      </w:pPr>
      <w:bookmarkStart w:id="68" w:name="_Toc16938544"/>
      <w:bookmarkStart w:id="69" w:name="_Toc513029228"/>
      <w:bookmarkStart w:id="70" w:name="_Toc20823300"/>
      <w:r>
        <w:rPr>
          <w:rFonts w:hint="eastAsia" w:ascii="仿宋" w:hAnsi="仿宋" w:eastAsia="仿宋" w:cs="仿宋"/>
          <w:bCs/>
          <w:color w:val="auto"/>
          <w:sz w:val="28"/>
          <w:szCs w:val="28"/>
        </w:rPr>
        <w:t>4. 响应文件的撤回和修改</w:t>
      </w:r>
      <w:bookmarkEnd w:id="68"/>
      <w:bookmarkEnd w:id="69"/>
      <w:bookmarkEnd w:id="70"/>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4.1 响应文件的撤回</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4.1.1 响应文件的撤回</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供应商可在响应文件提交截止时间前，书面撤回其磋商响应文件。</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4.1.2 供应商撤回磋商响应文件，则认为其不再参与本项目磋商活动。</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4.2 响应文件的修改</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在响应文件提交截止时间之后，供应商不得再对其提交的响应文件进行修改。</w:t>
      </w:r>
    </w:p>
    <w:p>
      <w:pPr>
        <w:adjustRightInd w:val="0"/>
        <w:snapToGrid w:val="0"/>
        <w:spacing w:line="460" w:lineRule="exact"/>
        <w:ind w:firstLine="562" w:firstLineChars="200"/>
        <w:rPr>
          <w:rFonts w:hint="eastAsia" w:ascii="仿宋" w:hAnsi="仿宋" w:eastAsia="仿宋" w:cs="仿宋"/>
          <w:b/>
          <w:bCs/>
          <w:color w:val="auto"/>
          <w:sz w:val="28"/>
          <w:szCs w:val="28"/>
        </w:rPr>
      </w:pPr>
      <w:bookmarkStart w:id="71" w:name="_Toc20823301"/>
      <w:bookmarkStart w:id="72" w:name="_Toc120614218"/>
      <w:bookmarkStart w:id="73" w:name="_Toc513029229"/>
      <w:bookmarkStart w:id="74" w:name="_Toc16938545"/>
      <w:r>
        <w:rPr>
          <w:rFonts w:hint="eastAsia" w:ascii="仿宋" w:hAnsi="仿宋" w:eastAsia="仿宋" w:cs="仿宋"/>
          <w:b/>
          <w:bCs/>
          <w:color w:val="auto"/>
          <w:sz w:val="28"/>
          <w:szCs w:val="28"/>
        </w:rPr>
        <w:t>五</w:t>
      </w:r>
      <w:bookmarkEnd w:id="71"/>
      <w:bookmarkEnd w:id="72"/>
      <w:bookmarkEnd w:id="73"/>
      <w:bookmarkEnd w:id="74"/>
      <w:bookmarkStart w:id="75" w:name="_Toc513029230"/>
      <w:bookmarkStart w:id="76" w:name="_Toc16938546"/>
      <w:bookmarkStart w:id="77" w:name="_Toc20823302"/>
      <w:r>
        <w:rPr>
          <w:rFonts w:hint="eastAsia" w:ascii="仿宋" w:hAnsi="仿宋" w:eastAsia="仿宋" w:cs="仿宋"/>
          <w:b/>
          <w:bCs/>
          <w:color w:val="auto"/>
          <w:sz w:val="28"/>
          <w:szCs w:val="28"/>
        </w:rPr>
        <w:t>、磋商与评审</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1.磋商仪式</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1.1采购代理机构将在磋商公告中规定的时间和地点组织磋商开始仪式。供应商应当在磋商公告中规定的时间和地点参加磋商活动。</w:t>
      </w:r>
    </w:p>
    <w:p>
      <w:pPr>
        <w:adjustRightInd w:val="0"/>
        <w:snapToGrid w:val="0"/>
        <w:spacing w:line="460" w:lineRule="exact"/>
        <w:ind w:firstLine="560" w:firstLineChars="200"/>
        <w:rPr>
          <w:rFonts w:hint="eastAsia" w:ascii="仿宋" w:hAnsi="仿宋" w:eastAsia="仿宋" w:cs="仿宋"/>
          <w:b/>
          <w:color w:val="auto"/>
          <w:sz w:val="28"/>
          <w:szCs w:val="28"/>
        </w:rPr>
      </w:pPr>
      <w:r>
        <w:rPr>
          <w:rFonts w:hint="eastAsia" w:ascii="仿宋" w:hAnsi="仿宋" w:eastAsia="仿宋" w:cs="仿宋"/>
          <w:bCs/>
          <w:color w:val="auto"/>
          <w:sz w:val="28"/>
          <w:szCs w:val="28"/>
        </w:rPr>
        <w:t>1.2 磋商活动的文件密封性检查工作</w:t>
      </w:r>
      <w:r>
        <w:rPr>
          <w:rFonts w:hint="eastAsia" w:ascii="仿宋" w:hAnsi="仿宋" w:eastAsia="仿宋" w:cs="仿宋"/>
          <w:color w:val="auto"/>
          <w:sz w:val="28"/>
          <w:szCs w:val="28"/>
        </w:rPr>
        <w:t>由采购代理机构组织。</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1.3供应商在磋商过程中涉及到的磋商文件密封性检查、磋商结果确认等工作，按照采购代理机构指引进行。</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2.磋商小组</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2.1磋商开始仪式结束后，采购代理机构将立即组织磋商小组进行评审。</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2.3超过公开招标限额标准的项目，磋商小组应当由5人以上单数组成。</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2.4采用磋商的采购项目，评审专家应当从采购评审专家库内相关专业的专家名单中随机抽取，或者从代理机构的采购专家资源库中随机抽取。市场竞争不充分的科研项目、需要扶持的科技成果转化项目，以及情况特殊、通过随机方式难以确定合适的评审专家的项目，经主管预算单位同意，可以自行选定评审专家。技术复杂、专业性强的磋商采购项目，评审专家中应当包含1名法律专家。</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2.5磋商小组独立工作，负责评审所有响应文件并确定成交侯选人。</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 磋商评审过程的保密与公正</w:t>
      </w:r>
    </w:p>
    <w:p>
      <w:pPr>
        <w:tabs>
          <w:tab w:val="left" w:pos="900"/>
        </w:tabs>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3.1磋商小组、采购人和采购代理机构工作人员、相关监督人员等与评审工作有关的人员，对评审情况以及在评审过程中获悉的国家秘密、商业秘密负有保密责任。</w:t>
      </w:r>
    </w:p>
    <w:p>
      <w:pPr>
        <w:tabs>
          <w:tab w:val="left" w:pos="900"/>
        </w:tabs>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3.2在磋商评审过程中，磋商供应商不得以任何行为影响磋商评审过程，否则其响应文件将被作为无效响应文件。</w:t>
      </w:r>
    </w:p>
    <w:p>
      <w:pPr>
        <w:tabs>
          <w:tab w:val="left" w:pos="900"/>
        </w:tabs>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color w:val="auto"/>
          <w:sz w:val="28"/>
          <w:szCs w:val="28"/>
        </w:rPr>
        <w:t>3.4</w:t>
      </w:r>
      <w:r>
        <w:rPr>
          <w:rFonts w:hint="eastAsia" w:ascii="仿宋" w:hAnsi="仿宋" w:eastAsia="仿宋" w:cs="仿宋"/>
          <w:bCs/>
          <w:color w:val="auto"/>
          <w:sz w:val="28"/>
          <w:szCs w:val="28"/>
        </w:rPr>
        <w:t>评审开始后，直至向成交供应商授予合同时止，凡是与审查、澄清、评价和比较响应的有关资料以及授标建议等，采购人、磋商小组、采购代理机构均不得向供应商或与评标无关的其他人员透露。</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3.5在评审期间，采购代理机构将设专门人员与供应商联系。</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3.6采购代理机构和评审小组不向未成交的供应商解释未成交原因，也不公布评审过程中的相关细节。</w:t>
      </w:r>
    </w:p>
    <w:p>
      <w:pPr>
        <w:tabs>
          <w:tab w:val="left" w:pos="900"/>
        </w:tabs>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4.评审过程的澄清</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4.1评审期间，为有助于对响应文件的审查、评价和比较，磋商小组有权要求响应人对其响应文件进行澄清，但并非对每个供应商都作澄清要求。</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4.2接到磋商小组澄清要求的供应商应按磋商小组规定的时间和格式做出澄清，澄清的内容作为响应文件的补充部分，但实质性的内容不得做任何更改。</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color w:val="auto"/>
          <w:sz w:val="28"/>
          <w:szCs w:val="28"/>
        </w:rPr>
        <w:t>4.3 接到磋商小组澄清要求的供应商如未按规定做出澄清，其风</w:t>
      </w:r>
      <w:r>
        <w:rPr>
          <w:rFonts w:hint="eastAsia" w:ascii="仿宋" w:hAnsi="仿宋" w:eastAsia="仿宋" w:cs="仿宋"/>
          <w:bCs/>
          <w:color w:val="auto"/>
          <w:sz w:val="28"/>
          <w:szCs w:val="28"/>
        </w:rPr>
        <w:t>险由供应商自行承担。</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5.对响应文件的初审</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5.1响应文件初审分为资格性审查和符合性审查。</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5.1.1资格性检查：依据法律法规和磋商文件的规定，由采购人对响应文件中的资格审查证明材料进行审查。</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5.1.2符合性审查：依据磋商文件的规定，由磋商小组从响应文件的有效性、完整性和对磋商文件的响应程度进行审查，以确定是否对磋商文件的实质性要求作出响应。</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5.1.3未通过资格审查或符合性审查的供应商人，采购代理机构将告知未通过资格审查或符合性审查的原因，并记录存档。</w:t>
      </w:r>
    </w:p>
    <w:p>
      <w:pPr>
        <w:tabs>
          <w:tab w:val="left" w:pos="900"/>
        </w:tabs>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pPr>
        <w:tabs>
          <w:tab w:val="left" w:pos="900"/>
        </w:tabs>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tabs>
          <w:tab w:val="left" w:pos="900"/>
        </w:tabs>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5.3如果响应文件实质上没有响应磋商文件的要求，磋商小组将予以拒绝，供应商不得通过修改或撤销不合要求的偏离或保留而使其响应文件成为实质性响应的文件。</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color w:val="auto"/>
          <w:sz w:val="28"/>
          <w:szCs w:val="28"/>
        </w:rPr>
        <w:t>5.4</w:t>
      </w:r>
      <w:r>
        <w:rPr>
          <w:rFonts w:hint="eastAsia" w:ascii="仿宋" w:hAnsi="仿宋" w:eastAsia="仿宋" w:cs="仿宋"/>
          <w:bCs/>
          <w:color w:val="auto"/>
          <w:sz w:val="28"/>
          <w:szCs w:val="28"/>
        </w:rPr>
        <w:t>磋商小组将对确定为实质性响应的文件进行进一步审核，看其是否有计算上或累加上的算术错误，修正错误的原则如下：</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（1）响应文件中</w:t>
      </w:r>
      <w:r>
        <w:rPr>
          <w:rFonts w:hint="eastAsia" w:ascii="仿宋" w:hAnsi="仿宋" w:eastAsia="仿宋" w:cs="仿宋"/>
          <w:color w:val="auto"/>
          <w:kern w:val="0"/>
          <w:sz w:val="28"/>
          <w:szCs w:val="28"/>
        </w:rPr>
        <w:t>报价总表</w:t>
      </w:r>
      <w:r>
        <w:rPr>
          <w:rFonts w:hint="eastAsia" w:ascii="仿宋" w:hAnsi="仿宋" w:eastAsia="仿宋" w:cs="仿宋"/>
          <w:bCs/>
          <w:color w:val="auto"/>
          <w:sz w:val="28"/>
          <w:szCs w:val="28"/>
        </w:rPr>
        <w:t>内容与响应文件中相应内容不一致的，以</w:t>
      </w:r>
      <w:r>
        <w:rPr>
          <w:rFonts w:hint="eastAsia" w:ascii="仿宋" w:hAnsi="仿宋" w:eastAsia="仿宋" w:cs="仿宋"/>
          <w:color w:val="auto"/>
          <w:kern w:val="0"/>
          <w:sz w:val="28"/>
          <w:szCs w:val="28"/>
        </w:rPr>
        <w:t>报价总表</w:t>
      </w:r>
      <w:r>
        <w:rPr>
          <w:rFonts w:hint="eastAsia" w:ascii="仿宋" w:hAnsi="仿宋" w:eastAsia="仿宋" w:cs="仿宋"/>
          <w:bCs/>
          <w:color w:val="auto"/>
          <w:sz w:val="28"/>
          <w:szCs w:val="28"/>
        </w:rPr>
        <w:t>为准。</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（2）大写金额和小写金额不一致的，以大写金额为准。</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（3）单价金额小数点或者百分比有明显错位的，以</w:t>
      </w:r>
      <w:r>
        <w:rPr>
          <w:rFonts w:hint="eastAsia" w:ascii="仿宋" w:hAnsi="仿宋" w:eastAsia="仿宋" w:cs="仿宋"/>
          <w:color w:val="auto"/>
          <w:kern w:val="0"/>
          <w:sz w:val="28"/>
          <w:szCs w:val="28"/>
        </w:rPr>
        <w:t>报价总表</w:t>
      </w:r>
      <w:r>
        <w:rPr>
          <w:rFonts w:hint="eastAsia" w:ascii="仿宋" w:hAnsi="仿宋" w:eastAsia="仿宋" w:cs="仿宋"/>
          <w:bCs/>
          <w:color w:val="auto"/>
          <w:sz w:val="28"/>
          <w:szCs w:val="28"/>
        </w:rPr>
        <w:t>的总价为准，并修改单价。</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（4）总价金额与按单价汇总金额不一致的，以单价金额计算结果为准。</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同时出现两种以上错误的，按照前款规定的顺序修正。</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color w:val="auto"/>
          <w:sz w:val="28"/>
          <w:szCs w:val="28"/>
        </w:rPr>
        <w:t>5</w:t>
      </w:r>
      <w:r>
        <w:rPr>
          <w:rFonts w:hint="eastAsia" w:ascii="仿宋" w:hAnsi="仿宋" w:eastAsia="仿宋" w:cs="仿宋"/>
          <w:bCs/>
          <w:color w:val="auto"/>
          <w:sz w:val="28"/>
          <w:szCs w:val="28"/>
        </w:rPr>
        <w:t>.5磋商小组将按上述修正错误的方法调整响应文件中的报价，并告知供应商，调整后的价格应对供应商具有约束力。如果供应商不接受修正后的价格，则其磋商活动将被拒绝。</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5.6磋商小组将允许修正响应文件中不构成重大偏离的、微小的、非正规的、不一致的或不规则的地方，但这些修改不能影响任何供应商相应的名次排列。</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5.7</w:t>
      </w:r>
      <w:r>
        <w:rPr>
          <w:rFonts w:hint="eastAsia" w:ascii="仿宋" w:hAnsi="仿宋" w:eastAsia="仿宋" w:cs="仿宋"/>
          <w:color w:val="auto"/>
          <w:sz w:val="28"/>
          <w:szCs w:val="28"/>
        </w:rPr>
        <w:t>供应商在评审全过程中应保持通讯畅通，并安排专人与采购代理机构及磋商小组联系（适用于不见面磋商模式）。</w:t>
      </w:r>
    </w:p>
    <w:p>
      <w:pPr>
        <w:tabs>
          <w:tab w:val="left" w:pos="6555"/>
          <w:tab w:val="right" w:pos="8306"/>
        </w:tabs>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 被认定为未实质性响应磋商文件的响应文件的情形。</w:t>
      </w:r>
    </w:p>
    <w:p>
      <w:pPr>
        <w:tabs>
          <w:tab w:val="left" w:pos="6555"/>
          <w:tab w:val="right" w:pos="8306"/>
        </w:tabs>
        <w:adjustRightInd w:val="0"/>
        <w:snapToGrid w:val="0"/>
        <w:spacing w:line="460" w:lineRule="exact"/>
        <w:ind w:firstLine="560" w:firstLineChars="200"/>
        <w:rPr>
          <w:rFonts w:hint="eastAsia" w:ascii="仿宋" w:hAnsi="仿宋" w:eastAsia="仿宋" w:cs="仿宋"/>
          <w:b/>
          <w:color w:val="auto"/>
          <w:sz w:val="28"/>
          <w:szCs w:val="28"/>
        </w:rPr>
      </w:pPr>
      <w:r>
        <w:rPr>
          <w:rFonts w:hint="eastAsia" w:ascii="仿宋" w:hAnsi="仿宋" w:eastAsia="仿宋" w:cs="仿宋"/>
          <w:bCs/>
          <w:color w:val="auto"/>
          <w:sz w:val="28"/>
          <w:szCs w:val="28"/>
        </w:rPr>
        <w:t>6.1出现下列情形之一的，作无效响应处理。</w:t>
      </w:r>
      <w:r>
        <w:rPr>
          <w:rFonts w:hint="eastAsia" w:ascii="仿宋" w:hAnsi="仿宋" w:eastAsia="仿宋" w:cs="仿宋"/>
          <w:bCs/>
          <w:color w:val="auto"/>
          <w:sz w:val="28"/>
          <w:szCs w:val="28"/>
        </w:rPr>
        <w:tab/>
      </w:r>
      <w:r>
        <w:rPr>
          <w:rFonts w:hint="eastAsia" w:ascii="仿宋" w:hAnsi="仿宋" w:eastAsia="仿宋" w:cs="仿宋"/>
          <w:b/>
          <w:color w:val="auto"/>
          <w:sz w:val="28"/>
          <w:szCs w:val="28"/>
        </w:rPr>
        <w:tab/>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6.1.1供应商在规定的时间内未成功提交磋商响应文件的。</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6.1.2未完整提交响应文件的。</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6.1.3同一供应商提交两个（含两个）以上不同的响应报价的。</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6.1.4不具备磋商文件中规定的资格要求的。 </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6.1.5响应报价超过了采购预算或最高限价的。 </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6.1.6未通过符合性检查的。</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6.1.7不符合法律、法规和磋商文件中规定的其他实质性要求的。</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6.1.8供应商被 “信用中国”网站（www.creditchina.gov.cn）列入失信被执行人或重大税收违法案件当事人名单或采购严重失信行为记录名单，或查询“信用中国”网站后发现供应商存在其他不符合本项目采购文件规定条件的信用记录。</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6.1.9 响应文件含有采购人不能接受的附加条件的。</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6.1.11响应文件未按照采购文件要求盖章、密封的。</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6.1.12投标人的商务技术部分得分相差悬殊，评标委员会认为得分畸低者没有实质性响应的。</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6.1.13其他法律、法规及本磋商文件规定的属无效响应的情形。</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6.2出现下列情形之一的，磋商失败。</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6.2.1符合条件的供应商或者对磋商文件作实质响应的供应商不足3家的（市场竞争不充分的科研项目，以及需要扶持的科技成果转化项目可以是2家）；</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6.2.2出现影响采购公正的违法违规行为的；</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6.2.3因重大变故，采购任务取消的。</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6.2.4磋商小组认定磋商文件存在歧义、重大缺陷导致评审工作无法进行。</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6.3 响应</w:t>
      </w:r>
      <w:r>
        <w:rPr>
          <w:rFonts w:hint="eastAsia" w:ascii="仿宋" w:hAnsi="仿宋" w:eastAsia="仿宋" w:cs="仿宋"/>
          <w:color w:val="auto"/>
          <w:sz w:val="28"/>
          <w:szCs w:val="28"/>
        </w:rPr>
        <w:t>文件提交</w:t>
      </w:r>
      <w:r>
        <w:rPr>
          <w:rFonts w:hint="eastAsia" w:ascii="仿宋" w:hAnsi="仿宋" w:eastAsia="仿宋" w:cs="仿宋"/>
          <w:bCs/>
          <w:color w:val="auto"/>
          <w:sz w:val="28"/>
          <w:szCs w:val="28"/>
        </w:rPr>
        <w:t>截止时间结束后参加磋商的供应商不足三家的处理：</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6.3.1如出现响应</w:t>
      </w:r>
      <w:r>
        <w:rPr>
          <w:rFonts w:hint="eastAsia" w:ascii="仿宋" w:hAnsi="仿宋" w:eastAsia="仿宋" w:cs="仿宋"/>
          <w:color w:val="auto"/>
          <w:sz w:val="28"/>
          <w:szCs w:val="28"/>
        </w:rPr>
        <w:t>文件提交</w:t>
      </w:r>
      <w:r>
        <w:rPr>
          <w:rFonts w:hint="eastAsia" w:ascii="仿宋" w:hAnsi="仿宋" w:eastAsia="仿宋" w:cs="仿宋"/>
          <w:bCs/>
          <w:color w:val="auto"/>
          <w:sz w:val="28"/>
          <w:szCs w:val="28"/>
        </w:rPr>
        <w:t>截止时间结束后参加磋商的供应商或者在评审期间对磋商文件做出实质响应的供应商不足三家情况，</w:t>
      </w:r>
      <w:bookmarkStart w:id="91" w:name="_GoBack"/>
      <w:bookmarkEnd w:id="91"/>
      <w:r>
        <w:rPr>
          <w:rFonts w:hint="eastAsia" w:ascii="仿宋" w:hAnsi="仿宋" w:eastAsia="仿宋" w:cs="仿宋"/>
          <w:bCs/>
          <w:color w:val="auto"/>
          <w:sz w:val="28"/>
          <w:szCs w:val="28"/>
          <w:lang w:eastAsia="zh-CN"/>
        </w:rPr>
        <w:t>可视情采取其他采购方式</w:t>
      </w:r>
      <w:r>
        <w:rPr>
          <w:rFonts w:hint="eastAsia" w:ascii="仿宋" w:hAnsi="仿宋" w:eastAsia="仿宋" w:cs="仿宋"/>
          <w:bCs/>
          <w:color w:val="auto"/>
          <w:sz w:val="28"/>
          <w:szCs w:val="28"/>
        </w:rPr>
        <w:t>。</w:t>
      </w:r>
    </w:p>
    <w:bookmarkEnd w:id="75"/>
    <w:bookmarkEnd w:id="76"/>
    <w:bookmarkEnd w:id="77"/>
    <w:p>
      <w:pPr>
        <w:keepNext/>
        <w:keepLines/>
        <w:adjustRightInd w:val="0"/>
        <w:snapToGrid w:val="0"/>
        <w:spacing w:line="460" w:lineRule="exact"/>
        <w:ind w:firstLine="562" w:firstLineChars="200"/>
        <w:outlineLvl w:val="2"/>
        <w:rPr>
          <w:rFonts w:hint="eastAsia" w:ascii="仿宋" w:hAnsi="仿宋" w:eastAsia="仿宋" w:cs="仿宋"/>
          <w:b/>
          <w:bCs/>
          <w:color w:val="auto"/>
          <w:kern w:val="0"/>
          <w:sz w:val="28"/>
          <w:szCs w:val="28"/>
        </w:rPr>
      </w:pPr>
      <w:bookmarkStart w:id="78" w:name="_Toc120614219"/>
      <w:r>
        <w:rPr>
          <w:rFonts w:hint="eastAsia" w:ascii="仿宋" w:hAnsi="仿宋" w:eastAsia="仿宋" w:cs="仿宋"/>
          <w:b/>
          <w:bCs/>
          <w:color w:val="auto"/>
          <w:kern w:val="0"/>
          <w:sz w:val="28"/>
          <w:szCs w:val="28"/>
        </w:rPr>
        <w:t>（六）</w:t>
      </w:r>
      <w:bookmarkEnd w:id="78"/>
      <w:r>
        <w:rPr>
          <w:rFonts w:hint="eastAsia" w:ascii="仿宋" w:hAnsi="仿宋" w:eastAsia="仿宋" w:cs="仿宋"/>
          <w:b/>
          <w:bCs/>
          <w:color w:val="auto"/>
          <w:kern w:val="0"/>
          <w:sz w:val="28"/>
          <w:szCs w:val="28"/>
        </w:rPr>
        <w:t>成交</w:t>
      </w:r>
    </w:p>
    <w:p>
      <w:pPr>
        <w:keepNext/>
        <w:adjustRightInd w:val="0"/>
        <w:snapToGrid w:val="0"/>
        <w:spacing w:line="460" w:lineRule="exact"/>
        <w:ind w:firstLine="560" w:firstLineChars="200"/>
        <w:outlineLvl w:val="3"/>
        <w:rPr>
          <w:rFonts w:hint="eastAsia" w:ascii="仿宋" w:hAnsi="仿宋" w:eastAsia="仿宋" w:cs="仿宋"/>
          <w:b/>
          <w:color w:val="auto"/>
          <w:kern w:val="0"/>
          <w:sz w:val="28"/>
          <w:szCs w:val="28"/>
        </w:rPr>
      </w:pPr>
      <w:bookmarkStart w:id="79" w:name="_Toc20823310"/>
      <w:bookmarkStart w:id="80" w:name="_Toc16938554"/>
      <w:r>
        <w:rPr>
          <w:rFonts w:hint="eastAsia" w:ascii="仿宋" w:hAnsi="仿宋" w:eastAsia="仿宋" w:cs="仿宋"/>
          <w:color w:val="auto"/>
          <w:kern w:val="0"/>
          <w:sz w:val="28"/>
          <w:szCs w:val="28"/>
        </w:rPr>
        <w:t>1.确定</w:t>
      </w:r>
      <w:bookmarkEnd w:id="79"/>
      <w:bookmarkEnd w:id="80"/>
      <w:r>
        <w:rPr>
          <w:rFonts w:hint="eastAsia" w:ascii="仿宋" w:hAnsi="仿宋" w:eastAsia="仿宋" w:cs="仿宋"/>
          <w:color w:val="auto"/>
          <w:kern w:val="0"/>
          <w:sz w:val="28"/>
          <w:szCs w:val="28"/>
        </w:rPr>
        <w:t>成交单位</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1.1成交候选供应商的选取原则和数量见磋商文件第四部分规定。 </w:t>
      </w:r>
    </w:p>
    <w:p>
      <w:pPr>
        <w:adjustRightInd w:val="0"/>
        <w:snapToGrid w:val="0"/>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1.2 采购人授权磋商小组在成交候选供应商中直接确定成交供应商。</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 xml:space="preserve">1.3 </w:t>
      </w:r>
      <w:r>
        <w:rPr>
          <w:rFonts w:hint="eastAsia" w:ascii="仿宋" w:hAnsi="仿宋" w:eastAsia="仿宋" w:cs="仿宋"/>
          <w:color w:val="auto"/>
          <w:sz w:val="28"/>
          <w:szCs w:val="28"/>
        </w:rPr>
        <w:t>采购代理机构将在“南通市卫健委、学校网站”发布成交结果公告，公告期限为1个工作日。</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1.4若有充分证据证明，成交供应商出现下列情况之一的，一经查实，将被取消成交资格：</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1.4.1提供虚假材料谋取成交的。</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1.4.2向采购人、采购代理机构行贿或者评审专家提供其他不正当利益的。</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1.4.3恶意竞争，最终总报价明显低于其自身合理成本且又无法提供证明的。</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1.4.4属于本文件规定的无效条件，但在评审过程中又未被磋商小组发现的。</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1.4.5与采购人或者其他供应商恶意串通的。</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1.4.6采取不正当手段诋毁、排挤其他供应商的。</w:t>
      </w:r>
    </w:p>
    <w:p>
      <w:pPr>
        <w:adjustRightInd w:val="0"/>
        <w:snapToGrid w:val="0"/>
        <w:spacing w:line="460" w:lineRule="exact"/>
        <w:ind w:firstLine="560" w:firstLineChars="200"/>
        <w:rPr>
          <w:rFonts w:hint="eastAsia" w:ascii="仿宋" w:hAnsi="仿宋" w:eastAsia="仿宋" w:cs="仿宋"/>
          <w:color w:val="auto"/>
          <w:sz w:val="28"/>
          <w:szCs w:val="28"/>
        </w:rPr>
      </w:pPr>
      <w:bookmarkStart w:id="81" w:name="_Toc200451960"/>
      <w:r>
        <w:rPr>
          <w:rFonts w:hint="eastAsia" w:ascii="仿宋" w:hAnsi="仿宋" w:eastAsia="仿宋" w:cs="仿宋"/>
          <w:color w:val="auto"/>
          <w:sz w:val="28"/>
          <w:szCs w:val="28"/>
        </w:rPr>
        <w:t>1.5.</w:t>
      </w:r>
      <w:r>
        <w:rPr>
          <w:rFonts w:hint="eastAsia" w:ascii="仿宋" w:hAnsi="仿宋" w:eastAsia="仿宋" w:cs="仿宋"/>
          <w:color w:val="auto"/>
          <w:kern w:val="0"/>
          <w:sz w:val="28"/>
          <w:szCs w:val="28"/>
        </w:rPr>
        <w:t>有下列情形之一的，视为供应商串通参与磋商，响应无效：</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1.5.1不同供应商的响应文件由同一单位或者个人编制；</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1.5.2不同供应商委托同一单位或者个人办理磋商事宜；</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1.5.3不同供应商的响应文件载明的项目管理成员或者联系人员为同一人；</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1.5.4不同供应商的响应文件异常一致或者响应报价呈规律性差异。</w:t>
      </w:r>
    </w:p>
    <w:p>
      <w:pPr>
        <w:keepNext/>
        <w:adjustRightInd w:val="0"/>
        <w:snapToGrid w:val="0"/>
        <w:spacing w:line="460" w:lineRule="exact"/>
        <w:ind w:firstLine="560" w:firstLineChars="200"/>
        <w:outlineLvl w:val="3"/>
        <w:rPr>
          <w:rFonts w:hint="eastAsia" w:ascii="仿宋" w:hAnsi="仿宋" w:eastAsia="仿宋" w:cs="仿宋"/>
          <w:b/>
          <w:color w:val="auto"/>
          <w:kern w:val="0"/>
          <w:sz w:val="28"/>
          <w:szCs w:val="28"/>
        </w:rPr>
      </w:pPr>
      <w:r>
        <w:rPr>
          <w:rFonts w:hint="eastAsia" w:ascii="仿宋" w:hAnsi="仿宋" w:eastAsia="仿宋" w:cs="仿宋"/>
          <w:color w:val="auto"/>
          <w:kern w:val="0"/>
          <w:sz w:val="28"/>
          <w:szCs w:val="28"/>
        </w:rPr>
        <w:t>2.质疑处理</w:t>
      </w:r>
      <w:bookmarkEnd w:id="81"/>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2.1 提出质疑的供应商应当是参与所质疑项目采购活动的供应商。潜在供应商依法获取其可质疑的磋商文件的，可以对磋商文件提出质疑。</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sz w:val="28"/>
          <w:szCs w:val="28"/>
        </w:rPr>
        <w:t>2.2.1</w:t>
      </w:r>
      <w:r>
        <w:rPr>
          <w:rFonts w:hint="eastAsia" w:ascii="仿宋" w:hAnsi="仿宋" w:eastAsia="仿宋" w:cs="仿宋"/>
          <w:color w:val="auto"/>
          <w:kern w:val="0"/>
          <w:sz w:val="28"/>
          <w:szCs w:val="28"/>
        </w:rPr>
        <w:t>对可以质疑的磋商文件提出质疑的，为收到磋商文件之日或者磋商文件公告期限届满之日；</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sz w:val="28"/>
          <w:szCs w:val="28"/>
        </w:rPr>
        <w:t>2.2.2</w:t>
      </w:r>
      <w:r>
        <w:rPr>
          <w:rFonts w:hint="eastAsia" w:ascii="仿宋" w:hAnsi="仿宋" w:eastAsia="仿宋" w:cs="仿宋"/>
          <w:color w:val="auto"/>
          <w:kern w:val="0"/>
          <w:sz w:val="28"/>
          <w:szCs w:val="28"/>
        </w:rPr>
        <w:t>对采购过程提出质疑的，为各采购程序环节结束之日；</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sz w:val="28"/>
          <w:szCs w:val="28"/>
        </w:rPr>
        <w:t>2.2.3</w:t>
      </w:r>
      <w:r>
        <w:rPr>
          <w:rFonts w:hint="eastAsia" w:ascii="仿宋" w:hAnsi="仿宋" w:eastAsia="仿宋" w:cs="仿宋"/>
          <w:color w:val="auto"/>
          <w:kern w:val="0"/>
          <w:sz w:val="28"/>
          <w:szCs w:val="28"/>
        </w:rPr>
        <w:t>对成交结果提出质疑的，为成交结果公告期限届满之日。</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供应商应当在法定质疑期内一次性提出针对同一采购程序环节的质疑。</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pPr>
        <w:adjustRightInd w:val="0"/>
        <w:snapToGrid w:val="0"/>
        <w:spacing w:line="460" w:lineRule="exact"/>
        <w:ind w:firstLine="560" w:firstLineChars="200"/>
        <w:rPr>
          <w:rFonts w:hint="eastAsia" w:ascii="仿宋" w:hAnsi="仿宋" w:eastAsia="仿宋" w:cs="仿宋"/>
          <w:b/>
          <w:color w:val="auto"/>
          <w:sz w:val="28"/>
          <w:szCs w:val="28"/>
        </w:rPr>
      </w:pPr>
      <w:r>
        <w:rPr>
          <w:rFonts w:hint="eastAsia" w:ascii="仿宋" w:hAnsi="仿宋" w:eastAsia="仿宋" w:cs="仿宋"/>
          <w:color w:val="auto"/>
          <w:sz w:val="28"/>
          <w:szCs w:val="28"/>
        </w:rPr>
        <w:t>2.4对采购方式、磋商文件中项目需求、供应商资格条件、评审方法和评审标准、资格审查结果等应当由采购人答复的质疑，请向采购人提出，由采购人负责答复。供应商对其他事项的质疑，请向采购代理机构提出，由采购代理机构负责答复。</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供应商提起质疑采取书面形式，现场送达。</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质疑受理联系地址：南通市崇川路58号南通产业技术研究院9号楼10楼1004，联系电话：0513-55887688。</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采购人质疑接收人及联系方式，见磋商文件第一部分。</w:t>
      </w:r>
    </w:p>
    <w:p>
      <w:pPr>
        <w:adjustRightInd w:val="0"/>
        <w:snapToGri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2.5供应商提出质疑应当提交质疑函和必要的证明材料，否则不予受理。质疑函应当包括下列内容：</w:t>
      </w:r>
    </w:p>
    <w:p>
      <w:pPr>
        <w:adjustRightInd w:val="0"/>
        <w:snapToGri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供应商的姓名或者名称、地址、邮编、联系人及联系电话；</w:t>
      </w:r>
    </w:p>
    <w:p>
      <w:pPr>
        <w:adjustRightInd w:val="0"/>
        <w:snapToGri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质疑项目的名称、编号；</w:t>
      </w:r>
    </w:p>
    <w:p>
      <w:pPr>
        <w:adjustRightInd w:val="0"/>
        <w:snapToGri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具体、明确的质疑事项和与质疑事项相关的请求；</w:t>
      </w:r>
    </w:p>
    <w:p>
      <w:pPr>
        <w:adjustRightInd w:val="0"/>
        <w:snapToGri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事实依据；</w:t>
      </w:r>
    </w:p>
    <w:p>
      <w:pPr>
        <w:adjustRightInd w:val="0"/>
        <w:snapToGri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必要的法律依据；</w:t>
      </w:r>
    </w:p>
    <w:p>
      <w:pPr>
        <w:adjustRightInd w:val="0"/>
        <w:snapToGri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提出质疑的日期。</w:t>
      </w:r>
    </w:p>
    <w:p>
      <w:pPr>
        <w:adjustRightInd w:val="0"/>
        <w:snapToGri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供应商为自然人的，应当由本人签字；供应商为法人或者其他组织的，应当由法定代表人、主要负责人，或者其授权代表签字或者盖章，并加盖公章”</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以下情形的质疑不予受理</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2.5.1 内容不符合上述规定的质疑。</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2.5.2 超出采购法定期限的质疑。</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2.5.3 未参加磋商活动的供应商或在磋商活动中自身权益未受到损害的供应商所提出的质疑。</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2.6 供应商提出书面质疑必须有理、有据，不得捏造事实、提供虚假材料进行恶意质疑。否则，一经查实，采购代理机构有权依据采购的有关规定，报请采购监管部门对该供应商进行相应的行政处罚和记录该供应商的失信信息。</w:t>
      </w:r>
    </w:p>
    <w:p>
      <w:pPr>
        <w:keepNext/>
        <w:adjustRightInd w:val="0"/>
        <w:snapToGrid w:val="0"/>
        <w:spacing w:line="460" w:lineRule="exact"/>
        <w:ind w:firstLine="560" w:firstLineChars="200"/>
        <w:outlineLvl w:val="3"/>
        <w:rPr>
          <w:rFonts w:hint="eastAsia" w:ascii="仿宋" w:hAnsi="仿宋" w:eastAsia="仿宋" w:cs="仿宋"/>
          <w:b/>
          <w:color w:val="auto"/>
          <w:kern w:val="0"/>
          <w:sz w:val="28"/>
          <w:szCs w:val="28"/>
        </w:rPr>
      </w:pPr>
      <w:r>
        <w:rPr>
          <w:rFonts w:hint="eastAsia" w:ascii="仿宋" w:hAnsi="仿宋" w:eastAsia="仿宋" w:cs="仿宋"/>
          <w:color w:val="auto"/>
          <w:kern w:val="0"/>
          <w:sz w:val="28"/>
          <w:szCs w:val="28"/>
        </w:rPr>
        <w:t>3．成交通知书</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3.l</w:t>
      </w: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成交结果确定后，采购人将向成交供应商发出成交通知书。成交供应商应在成交结果公告期满后5个工作日内到采购代理机构办理领取成交通知书手续，否则，由此产生的后果供应商自负。</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3.2成交通知书将是合同的一个组成部分，对采购人和成交供应商均具有法律效力。成交通知书发出后，采购人改变成交结果的，或者成交供应商放弃磋商项目的，应当依法承担法律责任。</w:t>
      </w:r>
    </w:p>
    <w:p>
      <w:pPr>
        <w:keepNext/>
        <w:keepLines/>
        <w:adjustRightInd w:val="0"/>
        <w:snapToGrid w:val="0"/>
        <w:spacing w:line="460" w:lineRule="exact"/>
        <w:ind w:firstLine="562" w:firstLineChars="200"/>
        <w:outlineLvl w:val="2"/>
        <w:rPr>
          <w:rFonts w:hint="eastAsia" w:ascii="仿宋" w:hAnsi="仿宋" w:eastAsia="仿宋" w:cs="仿宋"/>
          <w:b/>
          <w:bCs/>
          <w:color w:val="auto"/>
          <w:kern w:val="0"/>
          <w:sz w:val="28"/>
          <w:szCs w:val="28"/>
        </w:rPr>
      </w:pPr>
      <w:bookmarkStart w:id="82" w:name="_Toc120614220"/>
      <w:bookmarkStart w:id="83" w:name="_Toc513029236"/>
      <w:bookmarkStart w:id="84" w:name="_Toc16938552"/>
      <w:bookmarkStart w:id="85" w:name="_Toc20823308"/>
      <w:r>
        <w:rPr>
          <w:rFonts w:hint="eastAsia" w:ascii="仿宋" w:hAnsi="仿宋" w:eastAsia="仿宋" w:cs="仿宋"/>
          <w:b/>
          <w:bCs/>
          <w:color w:val="auto"/>
          <w:kern w:val="0"/>
          <w:sz w:val="28"/>
          <w:szCs w:val="28"/>
        </w:rPr>
        <w:t>（七）授予合同</w:t>
      </w:r>
      <w:bookmarkEnd w:id="82"/>
    </w:p>
    <w:bookmarkEnd w:id="83"/>
    <w:bookmarkEnd w:id="84"/>
    <w:bookmarkEnd w:id="85"/>
    <w:p>
      <w:pPr>
        <w:keepNext/>
        <w:adjustRightInd w:val="0"/>
        <w:snapToGrid w:val="0"/>
        <w:spacing w:line="460" w:lineRule="exact"/>
        <w:ind w:firstLine="560" w:firstLineChars="200"/>
        <w:outlineLvl w:val="3"/>
        <w:rPr>
          <w:rFonts w:hint="eastAsia" w:ascii="仿宋" w:hAnsi="仿宋" w:eastAsia="仿宋" w:cs="仿宋"/>
          <w:b/>
          <w:color w:val="auto"/>
          <w:kern w:val="0"/>
          <w:sz w:val="28"/>
          <w:szCs w:val="28"/>
        </w:rPr>
      </w:pPr>
      <w:bookmarkStart w:id="86" w:name="_Toc20823309"/>
      <w:bookmarkStart w:id="87" w:name="_Toc513029237"/>
      <w:bookmarkStart w:id="88" w:name="_Toc16938553"/>
      <w:r>
        <w:rPr>
          <w:rFonts w:hint="eastAsia" w:ascii="仿宋" w:hAnsi="仿宋" w:eastAsia="仿宋" w:cs="仿宋"/>
          <w:color w:val="auto"/>
          <w:kern w:val="0"/>
          <w:sz w:val="28"/>
          <w:szCs w:val="28"/>
        </w:rPr>
        <w:t>1.签订合同</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1</w:t>
      </w:r>
      <w:r>
        <w:rPr>
          <w:rFonts w:hint="eastAsia" w:ascii="仿宋" w:hAnsi="仿宋" w:eastAsia="仿宋" w:cs="仿宋"/>
          <w:color w:val="auto"/>
          <w:sz w:val="28"/>
          <w:szCs w:val="28"/>
        </w:rPr>
        <w:t>.l成交供应商应当在成交通知书发出之日起三十日内（在新冠疫情防控期间为十五日内），按照磋商文件确定的事项与采购人签订采购合同。</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1.2磋商文件、成交供应商的响应文件及磋商过程中有关澄清、承诺文件均应作为合同附件。</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签订合同后，成交供应商不得将货物及其他相关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bookmarkEnd w:id="86"/>
    <w:bookmarkEnd w:id="87"/>
    <w:bookmarkEnd w:id="88"/>
    <w:p>
      <w:pPr>
        <w:adjustRightInd w:val="0"/>
        <w:snapToGrid w:val="0"/>
        <w:spacing w:line="500" w:lineRule="exact"/>
        <w:jc w:val="center"/>
        <w:rPr>
          <w:rFonts w:hint="eastAsia" w:ascii="仿宋" w:hAnsi="仿宋" w:eastAsia="仿宋" w:cs="仿宋"/>
          <w:bCs/>
          <w:color w:val="auto"/>
          <w:sz w:val="36"/>
          <w:szCs w:val="36"/>
        </w:rPr>
      </w:pPr>
    </w:p>
    <w:p>
      <w:pPr>
        <w:adjustRightInd w:val="0"/>
        <w:snapToGrid w:val="0"/>
        <w:spacing w:line="500" w:lineRule="exact"/>
        <w:jc w:val="center"/>
        <w:rPr>
          <w:rFonts w:hint="eastAsia" w:ascii="仿宋" w:hAnsi="仿宋" w:eastAsia="仿宋" w:cs="仿宋"/>
          <w:color w:val="auto"/>
          <w:sz w:val="28"/>
          <w:szCs w:val="28"/>
        </w:rPr>
      </w:pPr>
      <w:r>
        <w:rPr>
          <w:rFonts w:hint="eastAsia" w:ascii="仿宋" w:hAnsi="仿宋" w:eastAsia="仿宋" w:cs="仿宋"/>
          <w:bCs/>
          <w:color w:val="auto"/>
          <w:sz w:val="36"/>
          <w:szCs w:val="36"/>
        </w:rPr>
        <w:br w:type="page"/>
      </w:r>
      <w:r>
        <w:rPr>
          <w:rFonts w:hint="eastAsia" w:ascii="仿宋" w:hAnsi="仿宋" w:eastAsia="仿宋" w:cs="仿宋"/>
          <w:bCs/>
          <w:color w:val="auto"/>
          <w:sz w:val="36"/>
          <w:szCs w:val="36"/>
        </w:rPr>
        <w:t>第三部分  项目需求</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供应商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pPr>
        <w:adjustRightInd w:val="0"/>
        <w:snapToGrid w:val="0"/>
        <w:spacing w:line="460" w:lineRule="exact"/>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一、维保要求</w:t>
      </w:r>
    </w:p>
    <w:p>
      <w:pPr>
        <w:adjustRightInd w:val="0"/>
        <w:snapToGri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1.确保机组良好的运行状态。</w:t>
      </w:r>
    </w:p>
    <w:p>
      <w:pPr>
        <w:adjustRightInd w:val="0"/>
        <w:snapToGri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2.在接到学校应急维修后，一般故障</w:t>
      </w:r>
      <w:r>
        <w:rPr>
          <w:rFonts w:hint="eastAsia" w:ascii="仿宋" w:hAnsi="仿宋" w:eastAsia="仿宋" w:cs="仿宋"/>
          <w:color w:val="auto"/>
          <w:sz w:val="28"/>
          <w:szCs w:val="28"/>
        </w:rPr>
        <w:t>24</w:t>
      </w:r>
      <w:r>
        <w:rPr>
          <w:rFonts w:hint="eastAsia" w:ascii="仿宋" w:hAnsi="仿宋" w:eastAsia="仿宋" w:cs="仿宋"/>
          <w:color w:val="auto"/>
          <w:sz w:val="28"/>
          <w:szCs w:val="28"/>
          <w:lang w:val="zh-CN"/>
        </w:rPr>
        <w:t>小时内完成，复杂性故障应在48小时内完成。</w:t>
      </w:r>
    </w:p>
    <w:p>
      <w:pPr>
        <w:adjustRightInd w:val="0"/>
        <w:snapToGrid w:val="0"/>
        <w:spacing w:line="460" w:lineRule="exact"/>
        <w:ind w:firstLine="560" w:firstLineChars="200"/>
        <w:rPr>
          <w:rFonts w:hint="eastAsia" w:ascii="仿宋" w:hAnsi="仿宋" w:eastAsia="仿宋" w:cs="仿宋"/>
          <w:b/>
          <w:bCs/>
          <w:color w:val="auto"/>
          <w:sz w:val="28"/>
          <w:szCs w:val="28"/>
        </w:rPr>
      </w:pPr>
      <w:r>
        <w:rPr>
          <w:rFonts w:hint="eastAsia" w:ascii="仿宋" w:hAnsi="仿宋" w:eastAsia="仿宋" w:cs="仿宋"/>
          <w:color w:val="auto"/>
          <w:sz w:val="28"/>
          <w:szCs w:val="28"/>
          <w:lang w:val="zh-CN"/>
        </w:rPr>
        <w:t>3.</w:t>
      </w:r>
      <w:bookmarkStart w:id="89" w:name="_Toc11432"/>
      <w:bookmarkStart w:id="90" w:name="_Toc26581"/>
      <w:r>
        <w:rPr>
          <w:rFonts w:hint="eastAsia" w:ascii="仿宋" w:hAnsi="仿宋" w:eastAsia="仿宋" w:cs="仿宋"/>
          <w:color w:val="auto"/>
          <w:sz w:val="28"/>
          <w:szCs w:val="28"/>
        </w:rPr>
        <w:t>一般部件质保期半年；质保期内部件免费更换。</w:t>
      </w:r>
    </w:p>
    <w:p>
      <w:pPr>
        <w:adjustRightInd w:val="0"/>
        <w:snapToGri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二、维保内容</w:t>
      </w:r>
      <w:bookmarkEnd w:id="89"/>
      <w:bookmarkEnd w:id="90"/>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每年五月和十一月对所有空调进行系统检查维保，具体内容如下：</w:t>
      </w:r>
    </w:p>
    <w:p>
      <w:pPr>
        <w:adjustRightInd w:val="0"/>
        <w:snapToGri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对室内、室外机组电气线路进行认真检查，发现绝缘、接地和接头损坏应立即修复。</w:t>
      </w:r>
    </w:p>
    <w:p>
      <w:pPr>
        <w:adjustRightInd w:val="0"/>
        <w:snapToGri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zh-CN"/>
        </w:rPr>
        <w:t>检查室内、外机组安装是否有变形或损坏，是否平稳、牢固。发现问题应即时处理。</w:t>
      </w:r>
    </w:p>
    <w:p>
      <w:pPr>
        <w:adjustRightInd w:val="0"/>
        <w:snapToGri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每年7－8月对所有单体空调室内机空气过滤器进行清洗，通常使用50℃以下的热水冲洗或用压缩空气吹洗，凉干后放回原位置。不允许在未装空气过滤器的情况下启动机组运转。</w:t>
      </w:r>
    </w:p>
    <w:p>
      <w:pPr>
        <w:adjustRightInd w:val="0"/>
        <w:snapToGri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每年应对室外机组进行一次全面的清洗，特别是冷凝器上的灰尘，积灰尘太多会影响传热效果、降低机组</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"https://link.zhihu.com/?target=https%3A//links.jianshu.com/go%3Fto%3Dhttp%253A%252F%252Fwww.diangon.com%252Fwenku%252Frd%252Fzhileng%252F" \t "_blank" </w:instrText>
      </w:r>
      <w:r>
        <w:rPr>
          <w:rFonts w:hint="eastAsia" w:ascii="仿宋" w:hAnsi="仿宋" w:eastAsia="仿宋" w:cs="仿宋"/>
          <w:color w:val="auto"/>
        </w:rPr>
        <w:fldChar w:fldCharType="separate"/>
      </w:r>
      <w:r>
        <w:rPr>
          <w:rFonts w:hint="eastAsia" w:ascii="仿宋" w:hAnsi="仿宋" w:eastAsia="仿宋" w:cs="仿宋"/>
          <w:color w:val="auto"/>
          <w:sz w:val="28"/>
          <w:szCs w:val="28"/>
          <w:lang w:val="zh-CN"/>
        </w:rPr>
        <w:t>制冷</w:t>
      </w:r>
      <w:r>
        <w:rPr>
          <w:rFonts w:hint="eastAsia" w:ascii="仿宋" w:hAnsi="仿宋" w:eastAsia="仿宋" w:cs="仿宋"/>
          <w:color w:val="auto"/>
          <w:sz w:val="28"/>
          <w:szCs w:val="28"/>
          <w:lang w:val="zh-CN"/>
        </w:rPr>
        <w:fldChar w:fldCharType="end"/>
      </w:r>
      <w:r>
        <w:rPr>
          <w:rFonts w:hint="eastAsia" w:ascii="仿宋" w:hAnsi="仿宋" w:eastAsia="仿宋" w:cs="仿宋"/>
          <w:color w:val="auto"/>
          <w:sz w:val="28"/>
          <w:szCs w:val="28"/>
          <w:lang w:val="zh-CN"/>
        </w:rPr>
        <w:t>能力，增加功率消耗。停止使用期间应加护罩盖好．防止灰尘进入室外机组内。</w:t>
      </w:r>
    </w:p>
    <w:p>
      <w:pPr>
        <w:adjustRightInd w:val="0"/>
        <w:snapToGri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定期检查室内、外机组之间的连接管道所包扎的绝热材料是否老化、开裂、脱落、受潮等情况，一经发现必须更换。</w:t>
      </w:r>
    </w:p>
    <w:p>
      <w:pPr>
        <w:adjustRightInd w:val="0"/>
        <w:snapToGri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6.</w:t>
      </w:r>
      <w:r>
        <w:rPr>
          <w:rFonts w:hint="eastAsia" w:ascii="仿宋" w:hAnsi="仿宋" w:eastAsia="仿宋" w:cs="仿宋"/>
          <w:color w:val="auto"/>
          <w:sz w:val="28"/>
          <w:szCs w:val="28"/>
          <w:lang w:val="zh-CN"/>
        </w:rPr>
        <w:t>禁止用水冲洗室内、外机组。防止发生触电事故。遥控器和机组均应用软干布抹擦，经常保持机组清洗干净；使遥控系统保持良好的技术状况。</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7.制冷系统的工作内容</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7.1检查制冷系统内的制冷剂是否达到规定要求的压力范围。</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7.2检查制冷系统是否有泄漏情况。如制冷剂泄漏应该先查漏，查不出来要用氮气检漏，然后抽空加氟。</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7.3检查测量压力传感器是否灵敏、正常。</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7.4检查校正压力传感器。</w:t>
      </w:r>
    </w:p>
    <w:p>
      <w:pPr>
        <w:adjustRightInd w:val="0"/>
        <w:snapToGrid w:val="0"/>
        <w:spacing w:line="460" w:lineRule="exact"/>
        <w:ind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rPr>
        <w:t>7.5检查各安全保护装置的整定值是否符合规定要求。</w:t>
      </w:r>
    </w:p>
    <w:p>
      <w:pPr>
        <w:adjustRightInd w:val="0"/>
        <w:snapToGrid w:val="0"/>
        <w:spacing w:line="460" w:lineRule="exact"/>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三、</w:t>
      </w:r>
      <w:r>
        <w:rPr>
          <w:rFonts w:hint="eastAsia" w:ascii="仿宋" w:hAnsi="仿宋" w:eastAsia="仿宋" w:cs="仿宋"/>
          <w:b/>
          <w:bCs/>
          <w:color w:val="auto"/>
          <w:sz w:val="28"/>
          <w:szCs w:val="28"/>
        </w:rPr>
        <w:t>报价清单</w:t>
      </w:r>
      <w:r>
        <w:rPr>
          <w:rFonts w:hint="eastAsia" w:ascii="仿宋" w:hAnsi="仿宋" w:eastAsia="仿宋" w:cs="仿宋"/>
          <w:b/>
          <w:bCs/>
          <w:color w:val="auto"/>
          <w:sz w:val="28"/>
          <w:szCs w:val="28"/>
          <w:lang w:val="zh-CN"/>
        </w:rPr>
        <w:t>：</w:t>
      </w:r>
    </w:p>
    <w:p>
      <w:pPr>
        <w:widowControl/>
        <w:shd w:val="clear" w:color="auto" w:fill="FFFFFF"/>
        <w:spacing w:line="315" w:lineRule="atLeast"/>
        <w:ind w:firstLine="2995"/>
        <w:jc w:val="left"/>
        <w:rPr>
          <w:rFonts w:hint="eastAsia" w:ascii="仿宋" w:hAnsi="仿宋" w:eastAsia="仿宋" w:cs="仿宋"/>
          <w:color w:val="auto"/>
          <w:kern w:val="0"/>
          <w:szCs w:val="21"/>
        </w:rPr>
      </w:pPr>
      <w:r>
        <w:rPr>
          <w:rFonts w:hint="eastAsia" w:ascii="仿宋" w:hAnsi="仿宋" w:eastAsia="仿宋" w:cs="仿宋"/>
          <w:color w:val="auto"/>
          <w:kern w:val="0"/>
          <w:sz w:val="24"/>
        </w:rPr>
        <w:t>项目报价目录清单</w:t>
      </w:r>
    </w:p>
    <w:tbl>
      <w:tblPr>
        <w:tblStyle w:val="21"/>
        <w:tblW w:w="8617" w:type="dxa"/>
        <w:tblInd w:w="0" w:type="dxa"/>
        <w:shd w:val="clear" w:color="auto" w:fill="FFFFFF"/>
        <w:tblLayout w:type="autofit"/>
        <w:tblCellMar>
          <w:top w:w="0" w:type="dxa"/>
          <w:left w:w="0" w:type="dxa"/>
          <w:bottom w:w="0" w:type="dxa"/>
          <w:right w:w="0" w:type="dxa"/>
        </w:tblCellMar>
      </w:tblPr>
      <w:tblGrid>
        <w:gridCol w:w="634"/>
        <w:gridCol w:w="2918"/>
        <w:gridCol w:w="1134"/>
        <w:gridCol w:w="1276"/>
        <w:gridCol w:w="1134"/>
        <w:gridCol w:w="1511"/>
        <w:gridCol w:w="10"/>
      </w:tblGrid>
      <w:tr>
        <w:tblPrEx>
          <w:shd w:val="clear" w:color="auto" w:fill="FFFFFF"/>
          <w:tblCellMar>
            <w:top w:w="0" w:type="dxa"/>
            <w:left w:w="0" w:type="dxa"/>
            <w:bottom w:w="0" w:type="dxa"/>
            <w:right w:w="0" w:type="dxa"/>
          </w:tblCellMar>
        </w:tblPrEx>
        <w:trPr>
          <w:gridAfter w:val="1"/>
          <w:wAfter w:w="10" w:type="dxa"/>
          <w:trHeight w:val="43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项目内容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单价/次/台</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数量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总价</w:t>
            </w:r>
          </w:p>
        </w:tc>
        <w:tc>
          <w:tcPr>
            <w:tcW w:w="15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备注</w:t>
            </w:r>
          </w:p>
        </w:tc>
      </w:tr>
      <w:tr>
        <w:tblPrEx>
          <w:shd w:val="clear" w:color="auto" w:fill="FFFFFF"/>
        </w:tblPrEx>
        <w:trPr>
          <w:gridAfter w:val="1"/>
          <w:wAfter w:w="10" w:type="dxa"/>
          <w:trHeight w:val="42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1.5匹空调室内机</w:t>
            </w:r>
            <w:r>
              <w:rPr>
                <w:rFonts w:hint="eastAsia" w:ascii="仿宋" w:hAnsi="仿宋" w:eastAsia="仿宋" w:cs="仿宋"/>
                <w:color w:val="auto"/>
                <w:kern w:val="0"/>
                <w:szCs w:val="21"/>
                <w:lang w:val="en-US" w:eastAsia="zh-CN"/>
              </w:rPr>
              <w:t>滤网</w:t>
            </w:r>
            <w:r>
              <w:rPr>
                <w:rFonts w:hint="eastAsia" w:ascii="仿宋" w:hAnsi="仿宋" w:eastAsia="仿宋" w:cs="仿宋"/>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1.5匹空调移机（拆）</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1.5匹空调移机（装）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30台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2匹空调室内机</w:t>
            </w:r>
            <w:r>
              <w:rPr>
                <w:rFonts w:hint="eastAsia" w:ascii="仿宋" w:hAnsi="仿宋" w:eastAsia="仿宋" w:cs="仿宋"/>
                <w:color w:val="auto"/>
                <w:kern w:val="0"/>
                <w:szCs w:val="21"/>
                <w:lang w:val="en-US" w:eastAsia="zh-CN"/>
              </w:rPr>
              <w:t>滤网</w:t>
            </w:r>
            <w:r>
              <w:rPr>
                <w:rFonts w:hint="eastAsia" w:ascii="仿宋" w:hAnsi="仿宋" w:eastAsia="仿宋" w:cs="仿宋"/>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300台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3匹空调</w:t>
            </w:r>
            <w:r>
              <w:rPr>
                <w:rFonts w:hint="eastAsia" w:ascii="仿宋" w:hAnsi="仿宋" w:eastAsia="仿宋" w:cs="仿宋"/>
                <w:color w:val="auto"/>
                <w:kern w:val="0"/>
                <w:szCs w:val="21"/>
                <w:lang w:val="en-US" w:eastAsia="zh-CN"/>
              </w:rPr>
              <w:t>滤网</w:t>
            </w:r>
            <w:r>
              <w:rPr>
                <w:rFonts w:hint="eastAsia" w:ascii="仿宋" w:hAnsi="仿宋" w:eastAsia="仿宋" w:cs="仿宋"/>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 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5匹空调</w:t>
            </w:r>
            <w:r>
              <w:rPr>
                <w:rFonts w:hint="eastAsia" w:ascii="仿宋" w:hAnsi="仿宋" w:eastAsia="仿宋" w:cs="仿宋"/>
                <w:color w:val="auto"/>
                <w:kern w:val="0"/>
                <w:szCs w:val="21"/>
                <w:lang w:val="en-US" w:eastAsia="zh-CN"/>
              </w:rPr>
              <w:t>滤网</w:t>
            </w:r>
            <w:r>
              <w:rPr>
                <w:rFonts w:hint="eastAsia" w:ascii="仿宋" w:hAnsi="仿宋" w:eastAsia="仿宋" w:cs="仿宋"/>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1.5匹—2匹空调铜管（米）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打空调墙孔</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20个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20只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ind w:firstLine="735" w:firstLineChars="350"/>
              <w:jc w:val="left"/>
              <w:rPr>
                <w:rFonts w:hint="eastAsia" w:ascii="仿宋" w:hAnsi="仿宋" w:eastAsia="仿宋" w:cs="仿宋"/>
                <w:color w:val="auto"/>
                <w:kern w:val="0"/>
                <w:szCs w:val="21"/>
              </w:rPr>
            </w:pPr>
            <w:r>
              <w:rPr>
                <w:rFonts w:hint="eastAsia" w:ascii="仿宋" w:hAnsi="仿宋" w:eastAsia="仿宋" w:cs="仿宋"/>
                <w:color w:val="auto"/>
                <w:kern w:val="0"/>
                <w:szCs w:val="21"/>
              </w:rPr>
              <w:t>1.5匹轴流风叶</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1.5匹内电机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1.5匹外电机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仿宋" w:hAnsi="仿宋" w:eastAsia="仿宋" w:cs="仿宋"/>
                <w:color w:val="auto"/>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1.5匹冷凝器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仿宋" w:hAnsi="仿宋" w:eastAsia="仿宋" w:cs="仿宋"/>
                <w:color w:val="auto"/>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排水管（每米）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仿宋" w:hAnsi="仿宋" w:eastAsia="仿宋" w:cs="仿宋"/>
                <w:color w:val="auto"/>
              </w:rPr>
            </w:pPr>
            <w:r>
              <w:rPr>
                <w:rFonts w:hint="eastAsia" w:ascii="仿宋" w:hAnsi="仿宋" w:eastAsia="仿宋" w:cs="仿宋"/>
                <w:b/>
                <w:bCs/>
                <w:color w:val="auto"/>
                <w:kern w:val="0"/>
              </w:rPr>
              <w:t>50米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r>
      <w:tr>
        <w:tblPrEx>
          <w:shd w:val="clear" w:color="auto" w:fill="FFFFFF"/>
          <w:tblCellMar>
            <w:top w:w="0" w:type="dxa"/>
            <w:left w:w="0" w:type="dxa"/>
            <w:bottom w:w="0" w:type="dxa"/>
            <w:right w:w="0" w:type="dxa"/>
          </w:tblCellMar>
        </w:tblPrEx>
        <w:trPr>
          <w:trHeight w:val="435" w:hRule="atLeast"/>
        </w:trPr>
        <w:tc>
          <w:tcPr>
            <w:tcW w:w="3552"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合计（总金额）</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color w:val="auto"/>
                <w:kern w:val="0"/>
                <w:szCs w:val="21"/>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color w:val="auto"/>
                <w:kern w:val="0"/>
                <w:szCs w:val="21"/>
              </w:rPr>
            </w:pPr>
          </w:p>
        </w:tc>
        <w:tc>
          <w:tcPr>
            <w:tcW w:w="1134" w:type="dxa"/>
            <w:tcBorders>
              <w:top w:val="single" w:color="auto" w:sz="4" w:space="0"/>
              <w:bottom w:val="single" w:color="auto" w:sz="4" w:space="0"/>
              <w:right w:val="single" w:color="auto" w:sz="4" w:space="0"/>
            </w:tcBorders>
            <w:shd w:val="clear" w:color="auto" w:fill="auto"/>
          </w:tcPr>
          <w:p>
            <w:pPr>
              <w:widowControl/>
              <w:jc w:val="left"/>
              <w:rPr>
                <w:rFonts w:hint="eastAsia" w:ascii="仿宋" w:hAnsi="仿宋" w:eastAsia="仿宋" w:cs="仿宋"/>
                <w:color w:val="auto"/>
                <w:kern w:val="0"/>
                <w:sz w:val="20"/>
                <w:szCs w:val="20"/>
              </w:rPr>
            </w:pPr>
          </w:p>
        </w:tc>
        <w:tc>
          <w:tcPr>
            <w:tcW w:w="1521" w:type="dxa"/>
            <w:gridSpan w:val="2"/>
            <w:tcBorders>
              <w:top w:val="single" w:color="auto" w:sz="4" w:space="0"/>
              <w:bottom w:val="single" w:color="auto" w:sz="4" w:space="0"/>
              <w:right w:val="single" w:color="auto" w:sz="4" w:space="0"/>
            </w:tcBorders>
            <w:shd w:val="clear" w:color="auto" w:fill="auto"/>
          </w:tcPr>
          <w:p>
            <w:pPr>
              <w:widowControl/>
              <w:jc w:val="left"/>
              <w:rPr>
                <w:rFonts w:hint="eastAsia" w:ascii="仿宋" w:hAnsi="仿宋" w:eastAsia="仿宋" w:cs="仿宋"/>
                <w:color w:val="auto"/>
                <w:kern w:val="0"/>
                <w:sz w:val="20"/>
                <w:szCs w:val="20"/>
              </w:rPr>
            </w:pPr>
          </w:p>
        </w:tc>
      </w:tr>
    </w:tbl>
    <w:p>
      <w:pPr>
        <w:widowControl/>
        <w:jc w:val="left"/>
        <w:rPr>
          <w:rFonts w:hint="eastAsia" w:ascii="仿宋" w:hAnsi="仿宋" w:eastAsia="仿宋" w:cs="仿宋"/>
          <w:color w:val="auto"/>
          <w:kern w:val="0"/>
          <w:szCs w:val="21"/>
        </w:rPr>
      </w:pPr>
    </w:p>
    <w:p>
      <w:pPr>
        <w:widowControl/>
        <w:shd w:val="clear" w:color="auto" w:fill="FFFFFF"/>
        <w:spacing w:line="408" w:lineRule="atLeast"/>
        <w:ind w:firstLine="475"/>
        <w:jc w:val="left"/>
        <w:rPr>
          <w:rFonts w:hint="eastAsia" w:ascii="仿宋" w:hAnsi="仿宋" w:eastAsia="仿宋" w:cs="仿宋"/>
          <w:color w:val="auto"/>
          <w:sz w:val="28"/>
          <w:szCs w:val="28"/>
        </w:rPr>
      </w:pPr>
      <w:r>
        <w:rPr>
          <w:rFonts w:hint="eastAsia" w:ascii="仿宋" w:hAnsi="仿宋" w:eastAsia="仿宋" w:cs="仿宋"/>
          <w:b/>
          <w:bCs/>
          <w:color w:val="auto"/>
          <w:kern w:val="0"/>
          <w:sz w:val="24"/>
        </w:rPr>
        <w:t>六</w:t>
      </w:r>
      <w:r>
        <w:rPr>
          <w:rFonts w:hint="eastAsia" w:ascii="仿宋" w:hAnsi="仿宋" w:eastAsia="仿宋" w:cs="仿宋"/>
          <w:color w:val="auto"/>
          <w:kern w:val="0"/>
          <w:sz w:val="24"/>
        </w:rPr>
        <w:t>．维保要求</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以上各单项报价（包含人工、材料费、税费等一切费用）的总和，作为本次磋商评分依据（商务报价文件中体现），且作为中标后签订合同的依据。中标后，结算标准（中标单价）不变，数量按实结算。</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实际维保服务过程中，发生除上述服务项目以外的事项，更换的材料及人工费按实结算。</w:t>
      </w:r>
    </w:p>
    <w:p>
      <w:pPr>
        <w:adjustRightInd w:val="0"/>
        <w:snapToGri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四、服务要求</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1.拟派维保服务人员须为供应商的正式员工，并具有</w:t>
      </w:r>
      <w:r>
        <w:rPr>
          <w:rFonts w:hint="eastAsia" w:ascii="仿宋" w:hAnsi="仿宋" w:eastAsia="仿宋" w:cs="仿宋"/>
          <w:color w:val="auto"/>
          <w:sz w:val="28"/>
          <w:szCs w:val="28"/>
          <w:lang w:val="en-US" w:eastAsia="zh-CN"/>
        </w:rPr>
        <w:t>行政部门或行业主管部门</w:t>
      </w:r>
      <w:r>
        <w:rPr>
          <w:rFonts w:hint="eastAsia" w:ascii="仿宋" w:hAnsi="仿宋" w:eastAsia="仿宋" w:cs="仿宋"/>
          <w:color w:val="auto"/>
          <w:sz w:val="28"/>
          <w:szCs w:val="28"/>
        </w:rPr>
        <w:t>颁发的制冷上岗证、电工上岗证，至少各一人。</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成交供应商对采购人的空调系统进行维保。成交供应商负责空调的正常使用，通过对采购人空调的日常维护以及维修等服务，使采购人设备正常、安全地运行。成交供应商接到报修通知后，必须1小时内响应，2小时内到达现场并提供不间断服务，尽快解决问题，修理或直接免费更换，满足采购人的正常使用要求。一般故障成交供应商应在24小时内解决，重大故障成交供应商应在48小时内解决，特殊故障解决期限双方可协商确定。如遇故障时，成交供应商无法按需提供服务，采购人将有权临时请第三方技术人员上门维护，产生的所有费用由成交供应商承担，如成交供应商拒不承担，采购人可从履约保证金中扣除此费用，或可从合同款中扣除此费用。</w:t>
      </w:r>
    </w:p>
    <w:p>
      <w:pPr>
        <w:adjustRightInd w:val="0"/>
        <w:snapToGri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五、服务期</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项目合同服务期暂定一年。如成交供应商在合同期内考核合格，则在第一年合同期满时，且采购人、成交供应商双方同意，成交供应商承诺不增加服务费用的前提下，双方可续签下一年度合同，最多续签两次。如成交供应商在合同期内年度综合考核不合格，则采购人不再与成交供应商续签合同。</w:t>
      </w:r>
    </w:p>
    <w:p>
      <w:pPr>
        <w:adjustRightInd w:val="0"/>
        <w:snapToGri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六、其他约定事项：</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1.成交供应商必须按照法律、法规及劳动法的有关规定为维保服务人员办理相关手续，合法用工。</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2.成交供应商为采购人提供的服务人员在合同期内如发生因工伤、致残、疾病、死亡等各类劳动仲裁、诉讼等事宜均与采购方无关。</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3.工作过程中因成交供应商责任所造成的经济损失由成交供应商按实际额赔偿。因不可抗力因素造成增加的费用或造成采购方提供的设施损失，双方共同协商解决。</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4.合同届满时，成交供应商必须做好一切交接手续，确保采购人工作的正常进行，否则视为成交供应商违约，造成损失的应予赔偿。如采购人因特殊原因需延期的，供应商应配合完成。</w:t>
      </w:r>
    </w:p>
    <w:p>
      <w:pPr>
        <w:snapToGri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七、付款</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签订合同后每半年结算一次。</w:t>
      </w:r>
    </w:p>
    <w:p>
      <w:pPr>
        <w:snapToGri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八、其他</w:t>
      </w:r>
    </w:p>
    <w:p>
      <w:pPr>
        <w:autoSpaceDE w:val="0"/>
        <w:autoSpaceDN w:val="0"/>
        <w:adjustRightInd w:val="0"/>
        <w:snapToGrid w:val="0"/>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其他未尽事宜按磋商文件相关规定执行。如磋商文件或合同文件未提及，则由双方协商解决处理。</w:t>
      </w:r>
    </w:p>
    <w:p>
      <w:pPr>
        <w:adjustRightInd w:val="0"/>
        <w:snapToGrid w:val="0"/>
        <w:spacing w:line="500" w:lineRule="exact"/>
        <w:jc w:val="center"/>
        <w:outlineLvl w:val="0"/>
        <w:rPr>
          <w:rFonts w:hint="eastAsia" w:ascii="仿宋" w:hAnsi="仿宋" w:eastAsia="仿宋" w:cs="仿宋"/>
          <w:bCs/>
          <w:color w:val="auto"/>
          <w:sz w:val="36"/>
          <w:szCs w:val="36"/>
        </w:rPr>
      </w:pPr>
      <w:r>
        <w:rPr>
          <w:rFonts w:hint="eastAsia" w:ascii="仿宋" w:hAnsi="仿宋" w:eastAsia="仿宋" w:cs="仿宋"/>
          <w:bCs/>
          <w:color w:val="auto"/>
          <w:sz w:val="36"/>
          <w:szCs w:val="36"/>
        </w:rPr>
        <w:br w:type="page"/>
      </w:r>
      <w:r>
        <w:rPr>
          <w:rFonts w:hint="eastAsia" w:ascii="仿宋" w:hAnsi="仿宋" w:eastAsia="仿宋" w:cs="仿宋"/>
          <w:bCs/>
          <w:color w:val="auto"/>
          <w:sz w:val="36"/>
          <w:szCs w:val="36"/>
        </w:rPr>
        <w:t>第四部分 评审方法和评审标准</w:t>
      </w:r>
    </w:p>
    <w:p>
      <w:pPr>
        <w:adjustRightInd w:val="0"/>
        <w:snapToGrid w:val="0"/>
        <w:spacing w:line="500" w:lineRule="exact"/>
        <w:ind w:firstLine="643" w:firstLineChars="200"/>
        <w:jc w:val="left"/>
        <w:textAlignment w:val="baseline"/>
        <w:rPr>
          <w:rFonts w:hint="eastAsia" w:ascii="仿宋" w:hAnsi="仿宋" w:eastAsia="仿宋" w:cs="仿宋"/>
          <w:b/>
          <w:color w:val="auto"/>
          <w:sz w:val="32"/>
          <w:szCs w:val="32"/>
        </w:rPr>
      </w:pPr>
    </w:p>
    <w:p>
      <w:pPr>
        <w:adjustRightInd w:val="0"/>
        <w:snapToGrid w:val="0"/>
        <w:spacing w:line="500" w:lineRule="exact"/>
        <w:ind w:firstLine="643" w:firstLineChars="200"/>
        <w:jc w:val="left"/>
        <w:textAlignment w:val="baseline"/>
        <w:rPr>
          <w:rFonts w:hint="eastAsia" w:ascii="仿宋" w:hAnsi="仿宋" w:eastAsia="仿宋" w:cs="仿宋"/>
          <w:b/>
          <w:color w:val="auto"/>
          <w:sz w:val="32"/>
          <w:szCs w:val="32"/>
        </w:rPr>
      </w:pPr>
      <w:r>
        <w:rPr>
          <w:rFonts w:hint="eastAsia" w:ascii="仿宋" w:hAnsi="仿宋" w:eastAsia="仿宋" w:cs="仿宋"/>
          <w:b/>
          <w:color w:val="auto"/>
          <w:sz w:val="32"/>
          <w:szCs w:val="32"/>
        </w:rPr>
        <w:t>一、磋商方式</w:t>
      </w:r>
    </w:p>
    <w:p>
      <w:pPr>
        <w:tabs>
          <w:tab w:val="left" w:pos="3585"/>
        </w:tabs>
        <w:adjustRightInd w:val="0"/>
        <w:snapToGrid w:val="0"/>
        <w:spacing w:line="500" w:lineRule="exact"/>
        <w:ind w:firstLine="537" w:firstLineChars="192"/>
        <w:rPr>
          <w:rFonts w:hint="eastAsia" w:ascii="仿宋" w:hAnsi="仿宋" w:eastAsia="仿宋" w:cs="仿宋"/>
          <w:color w:val="auto"/>
          <w:sz w:val="28"/>
          <w:szCs w:val="28"/>
        </w:rPr>
      </w:pPr>
      <w:r>
        <w:rPr>
          <w:rFonts w:hint="eastAsia" w:ascii="仿宋" w:hAnsi="仿宋" w:eastAsia="仿宋" w:cs="仿宋"/>
          <w:color w:val="auto"/>
          <w:sz w:val="28"/>
          <w:szCs w:val="28"/>
        </w:rPr>
        <w:t>见面磋商模式：供应商在采购文件规定的时间和地点参加磋商活动。</w:t>
      </w:r>
    </w:p>
    <w:p>
      <w:pPr>
        <w:adjustRightInd w:val="0"/>
        <w:snapToGrid w:val="0"/>
        <w:spacing w:line="500" w:lineRule="exact"/>
        <w:ind w:firstLine="643" w:firstLineChars="200"/>
        <w:jc w:val="left"/>
        <w:textAlignment w:val="baseline"/>
        <w:rPr>
          <w:rFonts w:hint="eastAsia" w:ascii="仿宋" w:hAnsi="仿宋" w:eastAsia="仿宋" w:cs="仿宋"/>
          <w:color w:val="auto"/>
          <w:sz w:val="28"/>
          <w:szCs w:val="28"/>
        </w:rPr>
      </w:pPr>
      <w:r>
        <w:rPr>
          <w:rFonts w:hint="eastAsia" w:ascii="仿宋" w:hAnsi="仿宋" w:eastAsia="仿宋" w:cs="仿宋"/>
          <w:b/>
          <w:color w:val="auto"/>
          <w:sz w:val="32"/>
          <w:szCs w:val="32"/>
        </w:rPr>
        <w:t>二、</w:t>
      </w:r>
      <w:r>
        <w:rPr>
          <w:rFonts w:hint="eastAsia" w:ascii="仿宋" w:hAnsi="仿宋" w:eastAsia="仿宋" w:cs="仿宋"/>
          <w:color w:val="auto"/>
          <w:sz w:val="28"/>
          <w:szCs w:val="28"/>
        </w:rPr>
        <w:t>磋商程序及评审方法和标准</w:t>
      </w:r>
    </w:p>
    <w:p>
      <w:pPr>
        <w:adjustRightInd w:val="0"/>
        <w:snapToGrid w:val="0"/>
        <w:spacing w:line="500" w:lineRule="exact"/>
        <w:ind w:firstLine="691" w:firstLineChars="247"/>
        <w:rPr>
          <w:rFonts w:hint="eastAsia" w:ascii="仿宋" w:hAnsi="仿宋" w:eastAsia="仿宋" w:cs="仿宋"/>
          <w:bCs/>
          <w:color w:val="auto"/>
          <w:sz w:val="28"/>
          <w:szCs w:val="28"/>
        </w:rPr>
      </w:pPr>
      <w:r>
        <w:rPr>
          <w:rFonts w:hint="eastAsia" w:ascii="仿宋" w:hAnsi="仿宋" w:eastAsia="仿宋" w:cs="仿宋"/>
          <w:bCs/>
          <w:color w:val="auto"/>
          <w:sz w:val="28"/>
          <w:szCs w:val="28"/>
        </w:rPr>
        <w:t>1.评审方法：综合评分法，经磋商确定最终采购需求和提交最后报价的供应商后，由磋商小组采用综合评分法对提交最后报价的供应商的响应文件和最后报价进行综合评分。</w:t>
      </w:r>
    </w:p>
    <w:p>
      <w:pPr>
        <w:adjustRightInd w:val="0"/>
        <w:snapToGrid w:val="0"/>
        <w:spacing w:line="500" w:lineRule="exact"/>
        <w:ind w:firstLine="700" w:firstLineChars="25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pPr>
        <w:adjustRightInd w:val="0"/>
        <w:snapToGrid w:val="0"/>
        <w:spacing w:line="5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pPr>
        <w:tabs>
          <w:tab w:val="left" w:pos="900"/>
        </w:tabs>
        <w:adjustRightInd w:val="0"/>
        <w:snapToGrid w:val="0"/>
        <w:spacing w:line="500" w:lineRule="exact"/>
        <w:ind w:firstLine="557" w:firstLineChars="199"/>
        <w:rPr>
          <w:rFonts w:hint="eastAsia" w:ascii="仿宋" w:hAnsi="仿宋" w:eastAsia="仿宋" w:cs="仿宋"/>
          <w:bCs/>
          <w:color w:val="auto"/>
          <w:sz w:val="28"/>
          <w:szCs w:val="28"/>
        </w:rPr>
      </w:pPr>
      <w:r>
        <w:rPr>
          <w:rFonts w:hint="eastAsia" w:ascii="仿宋" w:hAnsi="仿宋" w:eastAsia="仿宋" w:cs="仿宋"/>
          <w:bCs/>
          <w:color w:val="auto"/>
          <w:sz w:val="28"/>
          <w:szCs w:val="28"/>
        </w:rPr>
        <w:t>最后报价是供应商响应文件的有效组成部分，提交最后报价的供应商不得少于3家。</w:t>
      </w:r>
    </w:p>
    <w:p>
      <w:pPr>
        <w:adjustRightInd w:val="0"/>
        <w:snapToGrid w:val="0"/>
        <w:spacing w:line="5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rPr>
        <w:t>供应商商务、技术部分和价格部分的合计分值，为该供应商的评审总得分。</w:t>
      </w:r>
    </w:p>
    <w:p>
      <w:pPr>
        <w:adjustRightInd w:val="0"/>
        <w:snapToGrid w:val="0"/>
        <w:spacing w:line="500" w:lineRule="exact"/>
        <w:ind w:firstLine="555"/>
        <w:rPr>
          <w:rFonts w:hint="eastAsia" w:ascii="仿宋" w:hAnsi="仿宋" w:eastAsia="仿宋" w:cs="仿宋"/>
          <w:color w:val="auto"/>
        </w:rPr>
      </w:pPr>
      <w:r>
        <w:rPr>
          <w:rFonts w:hint="eastAsia" w:ascii="仿宋" w:hAnsi="仿宋" w:eastAsia="仿宋" w:cs="仿宋"/>
          <w:color w:val="auto"/>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adjustRightInd w:val="0"/>
        <w:snapToGrid w:val="0"/>
        <w:spacing w:line="5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rPr>
        <w:t>评委在认真审阅响应文件的基础上，根据各响应文件的响应程度独立评判，不得统一打分。</w:t>
      </w:r>
    </w:p>
    <w:p>
      <w:pPr>
        <w:adjustRightInd w:val="0"/>
        <w:snapToGrid w:val="0"/>
        <w:spacing w:line="50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（一）采购人（代表）对供应商资格进行审查。</w:t>
      </w:r>
    </w:p>
    <w:p>
      <w:pPr>
        <w:adjustRightInd w:val="0"/>
        <w:snapToGrid w:val="0"/>
        <w:spacing w:line="500" w:lineRule="exact"/>
        <w:ind w:firstLine="576" w:firstLineChars="206"/>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供应商资格不合格的，其响应文件判定为无效响应文件。</w:t>
      </w:r>
    </w:p>
    <w:p>
      <w:pPr>
        <w:adjustRightInd w:val="0"/>
        <w:snapToGrid w:val="0"/>
        <w:spacing w:line="500" w:lineRule="exact"/>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（二）磋商小组对符合资格供应商的响应文件进行符合性审查。</w:t>
      </w:r>
    </w:p>
    <w:p>
      <w:pPr>
        <w:adjustRightInd w:val="0"/>
        <w:snapToGrid w:val="0"/>
        <w:spacing w:line="500" w:lineRule="exact"/>
        <w:ind w:firstLine="576" w:firstLineChars="206"/>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未通过符合性审查的响应文件，将被判为不满足磋商文件实质性要求。 </w:t>
      </w:r>
    </w:p>
    <w:p>
      <w:pPr>
        <w:adjustRightInd w:val="0"/>
        <w:snapToGrid w:val="0"/>
        <w:spacing w:line="500" w:lineRule="exact"/>
        <w:ind w:firstLine="562" w:firstLineChars="200"/>
        <w:jc w:val="left"/>
        <w:rPr>
          <w:rFonts w:hint="eastAsia" w:ascii="仿宋" w:hAnsi="仿宋" w:eastAsia="仿宋" w:cs="仿宋"/>
          <w:color w:val="auto"/>
          <w:sz w:val="28"/>
          <w:szCs w:val="28"/>
          <w:lang w:val="zh-CN"/>
        </w:rPr>
      </w:pPr>
      <w:r>
        <w:rPr>
          <w:rFonts w:hint="eastAsia" w:ascii="仿宋" w:hAnsi="仿宋" w:eastAsia="仿宋" w:cs="仿宋"/>
          <w:b/>
          <w:color w:val="auto"/>
          <w:sz w:val="28"/>
          <w:szCs w:val="28"/>
        </w:rPr>
        <w:t>（</w:t>
      </w:r>
      <w:r>
        <w:rPr>
          <w:rFonts w:hint="eastAsia" w:ascii="仿宋" w:hAnsi="仿宋" w:eastAsia="仿宋" w:cs="仿宋"/>
          <w:b/>
          <w:color w:val="auto"/>
          <w:sz w:val="28"/>
          <w:szCs w:val="28"/>
          <w:lang w:val="zh-CN"/>
        </w:rPr>
        <w:t>三</w:t>
      </w:r>
      <w:r>
        <w:rPr>
          <w:rFonts w:hint="eastAsia" w:ascii="仿宋" w:hAnsi="仿宋" w:eastAsia="仿宋" w:cs="仿宋"/>
          <w:b/>
          <w:color w:val="auto"/>
          <w:sz w:val="28"/>
          <w:szCs w:val="28"/>
        </w:rPr>
        <w:t>）</w:t>
      </w:r>
      <w:r>
        <w:rPr>
          <w:rFonts w:hint="eastAsia" w:ascii="仿宋" w:hAnsi="仿宋" w:eastAsia="仿宋" w:cs="仿宋"/>
          <w:b/>
          <w:color w:val="auto"/>
          <w:sz w:val="28"/>
          <w:szCs w:val="28"/>
          <w:lang w:val="zh-CN"/>
        </w:rPr>
        <w:t>商务技术分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50</w:t>
      </w:r>
      <w:r>
        <w:rPr>
          <w:rFonts w:hint="eastAsia" w:ascii="仿宋" w:hAnsi="仿宋" w:eastAsia="仿宋" w:cs="仿宋"/>
          <w:color w:val="auto"/>
          <w:sz w:val="28"/>
          <w:szCs w:val="28"/>
          <w:lang w:val="zh-CN"/>
        </w:rPr>
        <w:t>分</w:t>
      </w:r>
    </w:p>
    <w:p>
      <w:pPr>
        <w:autoSpaceDE w:val="0"/>
        <w:autoSpaceDN w:val="0"/>
        <w:adjustRightInd w:val="0"/>
        <w:snapToGrid w:val="0"/>
        <w:spacing w:line="500" w:lineRule="exact"/>
        <w:ind w:firstLine="420" w:firstLineChars="150"/>
        <w:rPr>
          <w:rFonts w:hint="eastAsia" w:ascii="仿宋" w:hAnsi="仿宋" w:eastAsia="仿宋" w:cs="仿宋"/>
          <w:color w:val="auto"/>
          <w:sz w:val="28"/>
          <w:szCs w:val="28"/>
        </w:rPr>
      </w:pPr>
      <w:r>
        <w:rPr>
          <w:rFonts w:hint="eastAsia" w:ascii="仿宋" w:hAnsi="仿宋" w:eastAsia="仿宋" w:cs="仿宋"/>
          <w:color w:val="auto"/>
          <w:sz w:val="28"/>
          <w:szCs w:val="28"/>
        </w:rPr>
        <w:t>各供应商得分为磋商小组成员评分的算术平均分，分值保留小数点后两位。</w:t>
      </w:r>
    </w:p>
    <w:tbl>
      <w:tblPr>
        <w:tblStyle w:val="2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269"/>
        <w:gridCol w:w="558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912" w:type="dxa"/>
            <w:vAlign w:val="center"/>
          </w:tcPr>
          <w:p>
            <w:pPr>
              <w:tabs>
                <w:tab w:val="left" w:pos="10546"/>
              </w:tabs>
              <w:spacing w:line="460" w:lineRule="exact"/>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1269" w:type="dxa"/>
            <w:vAlign w:val="center"/>
          </w:tcPr>
          <w:p>
            <w:pPr>
              <w:snapToGrid w:val="0"/>
              <w:spacing w:line="460" w:lineRule="exact"/>
              <w:jc w:val="center"/>
              <w:outlineLvl w:val="1"/>
              <w:rPr>
                <w:rFonts w:hint="eastAsia" w:ascii="仿宋" w:hAnsi="仿宋" w:eastAsia="仿宋" w:cs="仿宋"/>
                <w:b/>
                <w:bCs/>
                <w:color w:val="auto"/>
                <w:sz w:val="24"/>
              </w:rPr>
            </w:pPr>
            <w:r>
              <w:rPr>
                <w:rFonts w:hint="eastAsia" w:ascii="仿宋" w:hAnsi="仿宋" w:eastAsia="仿宋" w:cs="仿宋"/>
                <w:b/>
                <w:bCs/>
                <w:color w:val="auto"/>
                <w:sz w:val="24"/>
              </w:rPr>
              <w:t>评分因素</w:t>
            </w:r>
          </w:p>
        </w:tc>
        <w:tc>
          <w:tcPr>
            <w:tcW w:w="5581" w:type="dxa"/>
            <w:vAlign w:val="center"/>
          </w:tcPr>
          <w:p>
            <w:pPr>
              <w:snapToGrid w:val="0"/>
              <w:spacing w:line="460" w:lineRule="exact"/>
              <w:jc w:val="center"/>
              <w:outlineLvl w:val="1"/>
              <w:rPr>
                <w:rFonts w:hint="eastAsia" w:ascii="仿宋" w:hAnsi="仿宋" w:eastAsia="仿宋" w:cs="仿宋"/>
                <w:b/>
                <w:bCs/>
                <w:color w:val="auto"/>
                <w:sz w:val="24"/>
              </w:rPr>
            </w:pPr>
            <w:r>
              <w:rPr>
                <w:rFonts w:hint="eastAsia" w:ascii="仿宋" w:hAnsi="仿宋" w:eastAsia="仿宋" w:cs="仿宋"/>
                <w:b/>
                <w:bCs/>
                <w:color w:val="auto"/>
                <w:sz w:val="24"/>
              </w:rPr>
              <w:t>评分标准</w:t>
            </w:r>
          </w:p>
        </w:tc>
        <w:tc>
          <w:tcPr>
            <w:tcW w:w="1276" w:type="dxa"/>
            <w:vAlign w:val="center"/>
          </w:tcPr>
          <w:p>
            <w:pPr>
              <w:snapToGrid w:val="0"/>
              <w:spacing w:line="460" w:lineRule="exact"/>
              <w:jc w:val="center"/>
              <w:outlineLvl w:val="1"/>
              <w:rPr>
                <w:rFonts w:hint="eastAsia" w:ascii="仿宋" w:hAnsi="仿宋" w:eastAsia="仿宋" w:cs="仿宋"/>
                <w:b/>
                <w:bCs/>
                <w:color w:val="auto"/>
                <w:sz w:val="24"/>
              </w:rPr>
            </w:pPr>
            <w:r>
              <w:rPr>
                <w:rFonts w:hint="eastAsia" w:ascii="仿宋" w:hAnsi="仿宋" w:eastAsia="仿宋" w:cs="仿宋"/>
                <w:b/>
                <w:bCs/>
                <w:color w:val="auto"/>
                <w:sz w:val="24"/>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912" w:type="dxa"/>
            <w:vMerge w:val="restart"/>
            <w:vAlign w:val="center"/>
          </w:tcPr>
          <w:p>
            <w:pPr>
              <w:tabs>
                <w:tab w:val="left" w:pos="10546"/>
              </w:tabs>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269" w:type="dxa"/>
            <w:vMerge w:val="restart"/>
            <w:vAlign w:val="center"/>
          </w:tcPr>
          <w:p>
            <w:pPr>
              <w:widowControl/>
              <w:spacing w:line="460" w:lineRule="exact"/>
              <w:jc w:val="center"/>
              <w:rPr>
                <w:rFonts w:hint="eastAsia" w:ascii="仿宋" w:hAnsi="仿宋" w:eastAsia="仿宋" w:cs="仿宋"/>
                <w:color w:val="auto"/>
                <w:kern w:val="0"/>
              </w:rPr>
            </w:pPr>
            <w:r>
              <w:rPr>
                <w:rFonts w:hint="eastAsia" w:ascii="仿宋" w:hAnsi="仿宋" w:eastAsia="仿宋" w:cs="仿宋"/>
                <w:color w:val="auto"/>
                <w:kern w:val="0"/>
              </w:rPr>
              <w:t>企业实力</w:t>
            </w:r>
          </w:p>
        </w:tc>
        <w:tc>
          <w:tcPr>
            <w:tcW w:w="5581" w:type="dxa"/>
            <w:vAlign w:val="center"/>
          </w:tcPr>
          <w:p>
            <w:pPr>
              <w:widowControl/>
              <w:spacing w:line="460" w:lineRule="exact"/>
              <w:jc w:val="left"/>
              <w:rPr>
                <w:rFonts w:hint="eastAsia" w:ascii="仿宋" w:hAnsi="仿宋" w:eastAsia="仿宋" w:cs="仿宋"/>
                <w:color w:val="auto"/>
                <w:kern w:val="0"/>
              </w:rPr>
            </w:pPr>
            <w:r>
              <w:rPr>
                <w:rFonts w:hint="eastAsia" w:ascii="仿宋" w:hAnsi="仿宋" w:eastAsia="仿宋" w:cs="仿宋"/>
                <w:color w:val="auto"/>
                <w:kern w:val="0"/>
                <w:sz w:val="24"/>
              </w:rPr>
              <w:t>1.供应商具备有效的企业管理体系认证证书的，有一个得1分，本项最高得3分</w:t>
            </w:r>
            <w:r>
              <w:rPr>
                <w:rFonts w:hint="eastAsia" w:ascii="仿宋" w:hAnsi="仿宋" w:eastAsia="仿宋" w:cs="仿宋"/>
                <w:color w:val="auto"/>
                <w:kern w:val="0"/>
              </w:rPr>
              <w:t>；</w:t>
            </w:r>
          </w:p>
          <w:p>
            <w:pPr>
              <w:pStyle w:val="20"/>
              <w:spacing w:line="460" w:lineRule="exact"/>
              <w:ind w:left="0" w:leftChars="0" w:firstLine="0" w:firstLineChars="0"/>
              <w:rPr>
                <w:rFonts w:hint="eastAsia" w:ascii="仿宋" w:hAnsi="仿宋" w:eastAsia="仿宋" w:cs="仿宋"/>
                <w:color w:val="auto"/>
              </w:rPr>
            </w:pPr>
            <w:r>
              <w:rPr>
                <w:rFonts w:hint="eastAsia" w:ascii="仿宋" w:hAnsi="仿宋" w:eastAsia="仿宋" w:cs="仿宋"/>
                <w:b/>
                <w:bCs/>
                <w:color w:val="auto"/>
                <w:sz w:val="24"/>
              </w:rPr>
              <w:t>注：须同时提供①认证证书截图，并加盖供应商公章；②认证证书原件的复印件或扫描件，并加盖供应商公章。原件备查。</w:t>
            </w:r>
          </w:p>
        </w:tc>
        <w:tc>
          <w:tcPr>
            <w:tcW w:w="1276" w:type="dxa"/>
            <w:vAlign w:val="center"/>
          </w:tcPr>
          <w:p>
            <w:pPr>
              <w:widowControl/>
              <w:spacing w:line="460" w:lineRule="exact"/>
              <w:jc w:val="center"/>
              <w:rPr>
                <w:rFonts w:hint="eastAsia" w:ascii="仿宋" w:hAnsi="仿宋" w:eastAsia="仿宋" w:cs="仿宋"/>
                <w:color w:val="auto"/>
                <w:kern w:val="0"/>
              </w:rPr>
            </w:pPr>
            <w:r>
              <w:rPr>
                <w:rFonts w:hint="eastAsia" w:ascii="仿宋" w:hAnsi="仿宋" w:eastAsia="仿宋" w:cs="仿宋"/>
                <w:color w:val="auto"/>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12" w:type="dxa"/>
            <w:vMerge w:val="continue"/>
            <w:vAlign w:val="center"/>
          </w:tcPr>
          <w:p>
            <w:pPr>
              <w:tabs>
                <w:tab w:val="left" w:pos="10546"/>
              </w:tabs>
              <w:spacing w:line="460" w:lineRule="exact"/>
              <w:jc w:val="center"/>
              <w:rPr>
                <w:rFonts w:hint="eastAsia" w:ascii="仿宋" w:hAnsi="仿宋" w:eastAsia="仿宋" w:cs="仿宋"/>
                <w:color w:val="auto"/>
                <w:sz w:val="24"/>
              </w:rPr>
            </w:pPr>
          </w:p>
        </w:tc>
        <w:tc>
          <w:tcPr>
            <w:tcW w:w="1269" w:type="dxa"/>
            <w:vMerge w:val="continue"/>
            <w:vAlign w:val="center"/>
          </w:tcPr>
          <w:p>
            <w:pPr>
              <w:widowControl/>
              <w:spacing w:line="460" w:lineRule="exact"/>
              <w:jc w:val="center"/>
              <w:rPr>
                <w:rFonts w:hint="eastAsia" w:ascii="仿宋" w:hAnsi="仿宋" w:eastAsia="仿宋" w:cs="仿宋"/>
                <w:color w:val="auto"/>
                <w:kern w:val="0"/>
              </w:rPr>
            </w:pPr>
          </w:p>
        </w:tc>
        <w:tc>
          <w:tcPr>
            <w:tcW w:w="5581" w:type="dxa"/>
            <w:vAlign w:val="center"/>
          </w:tcPr>
          <w:p>
            <w:pPr>
              <w:widowControl/>
              <w:spacing w:line="460" w:lineRule="exact"/>
              <w:jc w:val="left"/>
              <w:rPr>
                <w:rFonts w:hint="eastAsia" w:ascii="仿宋" w:hAnsi="仿宋" w:eastAsia="仿宋" w:cs="仿宋"/>
                <w:color w:val="auto"/>
                <w:sz w:val="24"/>
              </w:rPr>
            </w:pPr>
            <w:r>
              <w:rPr>
                <w:rFonts w:hint="eastAsia" w:ascii="仿宋" w:hAnsi="仿宋" w:eastAsia="仿宋" w:cs="仿宋"/>
                <w:color w:val="auto"/>
                <w:sz w:val="24"/>
              </w:rPr>
              <w:t>供应商具备有效的企业信用AAA等级证书的，得2分；AA等级证书的，得1分；其余不得分。本项最高得2分。</w:t>
            </w:r>
          </w:p>
          <w:p>
            <w:pPr>
              <w:pStyle w:val="20"/>
              <w:spacing w:line="460" w:lineRule="exact"/>
              <w:ind w:left="0" w:leftChars="0" w:firstLine="0" w:firstLineChars="0"/>
              <w:rPr>
                <w:rFonts w:hint="eastAsia" w:ascii="仿宋" w:hAnsi="仿宋" w:eastAsia="仿宋" w:cs="仿宋"/>
                <w:color w:val="auto"/>
              </w:rPr>
            </w:pPr>
            <w:r>
              <w:rPr>
                <w:rFonts w:hint="eastAsia" w:ascii="仿宋" w:hAnsi="仿宋" w:eastAsia="仿宋" w:cs="仿宋"/>
                <w:b/>
                <w:bCs/>
                <w:color w:val="auto"/>
                <w:sz w:val="24"/>
              </w:rPr>
              <w:t>注：须提供相关证书原件的复印件或扫描件，并加盖供应商公章。原件备查。</w:t>
            </w:r>
          </w:p>
        </w:tc>
        <w:tc>
          <w:tcPr>
            <w:tcW w:w="1276" w:type="dxa"/>
            <w:vAlign w:val="center"/>
          </w:tcPr>
          <w:p>
            <w:pPr>
              <w:widowControl/>
              <w:spacing w:line="460" w:lineRule="exact"/>
              <w:jc w:val="center"/>
              <w:rPr>
                <w:rFonts w:hint="eastAsia" w:ascii="仿宋" w:hAnsi="仿宋" w:eastAsia="仿宋" w:cs="仿宋"/>
                <w:color w:val="auto"/>
                <w:kern w:val="0"/>
              </w:rPr>
            </w:pPr>
            <w:r>
              <w:rPr>
                <w:rFonts w:hint="eastAsia" w:ascii="仿宋" w:hAnsi="仿宋" w:eastAsia="仿宋" w:cs="仿宋"/>
                <w:color w:val="auto"/>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912" w:type="dxa"/>
            <w:vAlign w:val="center"/>
          </w:tcPr>
          <w:p>
            <w:pPr>
              <w:tabs>
                <w:tab w:val="left" w:pos="10546"/>
              </w:tabs>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269" w:type="dxa"/>
            <w:vAlign w:val="center"/>
          </w:tcPr>
          <w:p>
            <w:pPr>
              <w:widowControl/>
              <w:spacing w:line="4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专业力量</w:t>
            </w:r>
          </w:p>
        </w:tc>
        <w:tc>
          <w:tcPr>
            <w:tcW w:w="5581" w:type="dxa"/>
            <w:vAlign w:val="center"/>
          </w:tcPr>
          <w:p>
            <w:pPr>
              <w:pStyle w:val="72"/>
              <w:tabs>
                <w:tab w:val="left" w:pos="360"/>
              </w:tabs>
              <w:snapToGrid w:val="0"/>
              <w:spacing w:line="460" w:lineRule="exact"/>
              <w:ind w:firstLine="0" w:firstLineChars="0"/>
              <w:rPr>
                <w:rFonts w:hint="eastAsia" w:ascii="仿宋" w:hAnsi="仿宋" w:eastAsia="仿宋" w:cs="仿宋"/>
                <w:color w:val="auto"/>
                <w:sz w:val="24"/>
              </w:rPr>
            </w:pPr>
            <w:r>
              <w:rPr>
                <w:rFonts w:hint="eastAsia" w:ascii="仿宋" w:hAnsi="仿宋" w:eastAsia="仿宋" w:cs="仿宋"/>
                <w:color w:val="auto"/>
                <w:sz w:val="24"/>
              </w:rPr>
              <w:t>1.拟派维保服务人员须为供应商的正式员工，并具有</w:t>
            </w:r>
            <w:r>
              <w:rPr>
                <w:rFonts w:hint="eastAsia" w:ascii="仿宋" w:hAnsi="仿宋" w:eastAsia="仿宋" w:cs="仿宋"/>
                <w:color w:val="auto"/>
                <w:sz w:val="24"/>
                <w:lang w:val="en-US" w:eastAsia="zh-CN"/>
              </w:rPr>
              <w:t>行政部门或行业主管部门</w:t>
            </w:r>
            <w:r>
              <w:rPr>
                <w:rFonts w:hint="eastAsia" w:ascii="仿宋" w:hAnsi="仿宋" w:eastAsia="仿宋" w:cs="仿宋"/>
                <w:color w:val="auto"/>
                <w:sz w:val="24"/>
              </w:rPr>
              <w:t>颁发的制冷上岗证、电工上岗证，至少各一人。每增加1人具备有效的</w:t>
            </w:r>
            <w:r>
              <w:rPr>
                <w:rFonts w:hint="eastAsia" w:ascii="仿宋" w:hAnsi="仿宋" w:eastAsia="仿宋" w:cs="仿宋"/>
                <w:color w:val="auto"/>
                <w:sz w:val="24"/>
                <w:lang w:val="en-US" w:eastAsia="zh-CN"/>
              </w:rPr>
              <w:t>行政部门或行业主管部门</w:t>
            </w:r>
            <w:r>
              <w:rPr>
                <w:rFonts w:hint="eastAsia" w:ascii="仿宋" w:hAnsi="仿宋" w:eastAsia="仿宋" w:cs="仿宋"/>
                <w:color w:val="auto"/>
                <w:sz w:val="24"/>
              </w:rPr>
              <w:t>颁发的制冷上岗证或电工上岗证的，得1分，本项最高10分。</w:t>
            </w:r>
          </w:p>
          <w:p>
            <w:pPr>
              <w:pStyle w:val="20"/>
              <w:snapToGrid w:val="0"/>
              <w:spacing w:after="0" w:line="460" w:lineRule="exact"/>
              <w:ind w:left="0" w:leftChars="0" w:firstLine="0" w:firstLineChars="0"/>
              <w:rPr>
                <w:rFonts w:hint="eastAsia" w:ascii="仿宋" w:hAnsi="仿宋" w:eastAsia="仿宋" w:cs="仿宋"/>
                <w:b/>
                <w:bCs/>
                <w:color w:val="auto"/>
                <w:sz w:val="24"/>
              </w:rPr>
            </w:pPr>
            <w:r>
              <w:rPr>
                <w:rFonts w:hint="eastAsia" w:ascii="仿宋" w:hAnsi="仿宋" w:eastAsia="仿宋" w:cs="仿宋"/>
                <w:b/>
                <w:bCs/>
                <w:color w:val="auto"/>
                <w:sz w:val="24"/>
              </w:rPr>
              <w:t>注：须同时提供①相关证书原件的复印件或扫描件；②拟派人员与供应商签订的有效劳动合同复印件或扫描件；③</w:t>
            </w:r>
            <w:r>
              <w:rPr>
                <w:rFonts w:hint="eastAsia" w:ascii="仿宋" w:hAnsi="仿宋" w:eastAsia="仿宋" w:cs="仿宋"/>
                <w:b/>
                <w:bCs/>
                <w:color w:val="auto"/>
                <w:kern w:val="0"/>
                <w:sz w:val="24"/>
              </w:rPr>
              <w:t>社保机构出具且盖章的磋商响应供应商为其连续交纳的近6个月（至少缴纳至2022年7月）的养老保险缴费清单复印件或扫描件</w:t>
            </w:r>
            <w:r>
              <w:rPr>
                <w:rFonts w:hint="eastAsia" w:ascii="仿宋" w:hAnsi="仿宋" w:eastAsia="仿宋" w:cs="仿宋"/>
                <w:b/>
                <w:bCs/>
                <w:color w:val="auto"/>
                <w:sz w:val="24"/>
              </w:rPr>
              <w:t>。</w:t>
            </w:r>
          </w:p>
          <w:p>
            <w:pPr>
              <w:pStyle w:val="20"/>
              <w:spacing w:line="460" w:lineRule="exact"/>
              <w:ind w:left="0" w:leftChars="0" w:firstLine="0" w:firstLineChars="0"/>
              <w:rPr>
                <w:rFonts w:hint="eastAsia" w:ascii="仿宋" w:hAnsi="仿宋" w:eastAsia="仿宋" w:cs="仿宋"/>
                <w:color w:val="auto"/>
              </w:rPr>
            </w:pPr>
            <w:r>
              <w:rPr>
                <w:rFonts w:hint="eastAsia" w:ascii="仿宋" w:hAnsi="仿宋" w:eastAsia="仿宋" w:cs="仿宋"/>
                <w:b/>
                <w:bCs/>
                <w:color w:val="auto"/>
                <w:sz w:val="24"/>
              </w:rPr>
              <w:t>所有复印件或扫描件须加盖供应商公章，并加盖供应商公章。原件备查。</w:t>
            </w:r>
          </w:p>
        </w:tc>
        <w:tc>
          <w:tcPr>
            <w:tcW w:w="1276" w:type="dxa"/>
            <w:vAlign w:val="center"/>
          </w:tcPr>
          <w:p>
            <w:pPr>
              <w:widowControl/>
              <w:spacing w:line="4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912" w:type="dxa"/>
            <w:vAlign w:val="center"/>
          </w:tcPr>
          <w:p>
            <w:pPr>
              <w:tabs>
                <w:tab w:val="left" w:pos="10546"/>
              </w:tabs>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269" w:type="dxa"/>
            <w:vAlign w:val="center"/>
          </w:tcPr>
          <w:p>
            <w:pPr>
              <w:widowControl/>
              <w:spacing w:line="460" w:lineRule="exact"/>
              <w:jc w:val="center"/>
              <w:rPr>
                <w:rFonts w:hint="eastAsia" w:ascii="仿宋" w:hAnsi="仿宋" w:eastAsia="仿宋" w:cs="仿宋"/>
                <w:color w:val="auto"/>
                <w:kern w:val="0"/>
              </w:rPr>
            </w:pPr>
            <w:r>
              <w:rPr>
                <w:rFonts w:hint="eastAsia" w:ascii="仿宋" w:hAnsi="仿宋" w:eastAsia="仿宋" w:cs="仿宋"/>
                <w:color w:val="auto"/>
                <w:kern w:val="0"/>
                <w:sz w:val="24"/>
              </w:rPr>
              <w:t>供应商业绩</w:t>
            </w:r>
          </w:p>
        </w:tc>
        <w:tc>
          <w:tcPr>
            <w:tcW w:w="5581" w:type="dxa"/>
            <w:vAlign w:val="center"/>
          </w:tcPr>
          <w:p>
            <w:pPr>
              <w:pStyle w:val="2"/>
              <w:spacing w:line="46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供应商自2019年1月1日（以合同签订时间为准）以来，有类似维保项目业绩的，每有一个得1分，本项最高得10分。</w:t>
            </w:r>
          </w:p>
          <w:p>
            <w:pPr>
              <w:widowControl/>
              <w:spacing w:line="460" w:lineRule="exact"/>
              <w:jc w:val="left"/>
              <w:rPr>
                <w:rFonts w:hint="eastAsia" w:ascii="仿宋" w:hAnsi="仿宋" w:eastAsia="仿宋" w:cs="仿宋"/>
                <w:color w:val="auto"/>
                <w:kern w:val="0"/>
              </w:rPr>
            </w:pPr>
            <w:r>
              <w:rPr>
                <w:rFonts w:hint="eastAsia" w:ascii="仿宋" w:hAnsi="仿宋" w:eastAsia="仿宋" w:cs="仿宋"/>
                <w:b/>
                <w:bCs/>
                <w:color w:val="auto"/>
                <w:sz w:val="24"/>
              </w:rPr>
              <w:t>注：每个业绩须同时提供①完整清晰的合同扫描件或复印件；②结算税务发票（仅需提供一张，但开具日期须在本项目竞争性磋商公告发布日期之前）扫描件或复印件，否则不得分。所有扫描件或复印件须加盖供应商公章。原件备查。</w:t>
            </w:r>
          </w:p>
        </w:tc>
        <w:tc>
          <w:tcPr>
            <w:tcW w:w="1276" w:type="dxa"/>
            <w:vAlign w:val="center"/>
          </w:tcPr>
          <w:p>
            <w:pPr>
              <w:widowControl/>
              <w:spacing w:line="460" w:lineRule="exact"/>
              <w:jc w:val="center"/>
              <w:rPr>
                <w:rFonts w:hint="eastAsia" w:ascii="仿宋" w:hAnsi="仿宋" w:eastAsia="仿宋" w:cs="仿宋"/>
                <w:color w:val="auto"/>
                <w:kern w:val="0"/>
              </w:rPr>
            </w:pPr>
            <w:r>
              <w:rPr>
                <w:rFonts w:hint="eastAsia" w:ascii="仿宋" w:hAnsi="仿宋" w:eastAsia="仿宋" w:cs="仿宋"/>
                <w:color w:val="auto"/>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912" w:type="dxa"/>
            <w:vAlign w:val="center"/>
          </w:tcPr>
          <w:p>
            <w:pPr>
              <w:tabs>
                <w:tab w:val="left" w:pos="10546"/>
              </w:tabs>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269" w:type="dxa"/>
            <w:vAlign w:val="center"/>
          </w:tcPr>
          <w:p>
            <w:pPr>
              <w:widowControl/>
              <w:spacing w:line="4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维保服务方案</w:t>
            </w:r>
          </w:p>
        </w:tc>
        <w:tc>
          <w:tcPr>
            <w:tcW w:w="5581" w:type="dxa"/>
            <w:vAlign w:val="center"/>
          </w:tcPr>
          <w:p>
            <w:pPr>
              <w:spacing w:line="460" w:lineRule="exact"/>
              <w:jc w:val="left"/>
              <w:rPr>
                <w:rFonts w:hint="eastAsia" w:ascii="仿宋" w:hAnsi="仿宋" w:eastAsia="仿宋" w:cs="仿宋"/>
                <w:color w:val="auto"/>
                <w:sz w:val="24"/>
              </w:rPr>
            </w:pPr>
            <w:r>
              <w:rPr>
                <w:rFonts w:hint="eastAsia" w:ascii="仿宋" w:hAnsi="仿宋" w:eastAsia="仿宋" w:cs="仿宋"/>
                <w:color w:val="auto"/>
                <w:sz w:val="24"/>
              </w:rPr>
              <w:t>供应商对本项目制定专门方案，方案应包含但不限于招标文件要求的维保方案、安全制度、应急响应方案、管理制度、人员配备方案及其他合理化建议等。</w:t>
            </w:r>
          </w:p>
          <w:p>
            <w:pPr>
              <w:widowControl/>
              <w:spacing w:line="46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评标委员会进行横向比较考察方案的合理性、可行性、完整性，优得21-25分，良得16-20分，一般得10-15分，差0-9分，未提供的不得分。</w:t>
            </w:r>
          </w:p>
        </w:tc>
        <w:tc>
          <w:tcPr>
            <w:tcW w:w="1276" w:type="dxa"/>
            <w:vAlign w:val="center"/>
          </w:tcPr>
          <w:p>
            <w:pPr>
              <w:widowControl/>
              <w:spacing w:line="46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25</w:t>
            </w:r>
          </w:p>
        </w:tc>
      </w:tr>
    </w:tbl>
    <w:p>
      <w:pPr>
        <w:autoSpaceDE w:val="0"/>
        <w:autoSpaceDN w:val="0"/>
        <w:adjustRightInd w:val="0"/>
        <w:snapToGrid w:val="0"/>
        <w:spacing w:line="500" w:lineRule="exact"/>
        <w:ind w:firstLine="420" w:firstLineChars="150"/>
        <w:rPr>
          <w:rFonts w:hint="eastAsia" w:ascii="仿宋" w:hAnsi="仿宋" w:eastAsia="仿宋" w:cs="仿宋"/>
          <w:color w:val="auto"/>
          <w:sz w:val="28"/>
          <w:szCs w:val="28"/>
        </w:rPr>
      </w:pPr>
      <w:r>
        <w:rPr>
          <w:rFonts w:hint="eastAsia" w:ascii="仿宋" w:hAnsi="仿宋" w:eastAsia="仿宋" w:cs="仿宋"/>
          <w:color w:val="auto"/>
          <w:kern w:val="0"/>
          <w:sz w:val="28"/>
          <w:szCs w:val="28"/>
        </w:rPr>
        <w:t>备注：</w:t>
      </w:r>
      <w:r>
        <w:rPr>
          <w:rFonts w:hint="eastAsia" w:ascii="仿宋" w:hAnsi="仿宋" w:eastAsia="仿宋" w:cs="仿宋"/>
          <w:color w:val="auto"/>
          <w:sz w:val="28"/>
          <w:szCs w:val="28"/>
        </w:rPr>
        <w:t>所有的内容都必须是针对本项目的；以上业绩合同、相关证书（文件）获得日期应在本项目公告之前，且在有效期范围内，否则不得分。采购结束后，采购人将对中标单位上述投标文件中所提供的相关材料进行核实，如发现虚假或与事实不符的，将取消其中标资格。</w:t>
      </w:r>
    </w:p>
    <w:p>
      <w:pPr>
        <w:autoSpaceDE w:val="0"/>
        <w:autoSpaceDN w:val="0"/>
        <w:adjustRightInd w:val="0"/>
        <w:snapToGrid w:val="0"/>
        <w:spacing w:line="500" w:lineRule="exact"/>
        <w:ind w:firstLine="562" w:firstLineChars="200"/>
        <w:rPr>
          <w:rFonts w:hint="eastAsia" w:ascii="仿宋" w:hAnsi="仿宋" w:eastAsia="仿宋" w:cs="仿宋"/>
          <w:color w:val="auto"/>
          <w:sz w:val="28"/>
          <w:szCs w:val="28"/>
        </w:rPr>
      </w:pPr>
      <w:r>
        <w:rPr>
          <w:rFonts w:hint="eastAsia" w:ascii="仿宋" w:hAnsi="仿宋" w:eastAsia="仿宋" w:cs="仿宋"/>
          <w:b/>
          <w:color w:val="auto"/>
          <w:sz w:val="28"/>
          <w:szCs w:val="28"/>
        </w:rPr>
        <w:t>（四）</w:t>
      </w:r>
      <w:r>
        <w:rPr>
          <w:rFonts w:hint="eastAsia" w:ascii="仿宋" w:hAnsi="仿宋" w:eastAsia="仿宋" w:cs="仿宋"/>
          <w:b/>
          <w:color w:val="auto"/>
          <w:sz w:val="28"/>
          <w:szCs w:val="28"/>
          <w:lang w:val="zh-CN"/>
        </w:rPr>
        <w:t>价格分</w:t>
      </w:r>
      <w:r>
        <w:rPr>
          <w:rFonts w:hint="eastAsia" w:ascii="仿宋" w:hAnsi="仿宋" w:eastAsia="仿宋" w:cs="仿宋"/>
          <w:b/>
          <w:color w:val="auto"/>
          <w:sz w:val="28"/>
          <w:szCs w:val="28"/>
        </w:rPr>
        <w:t>：</w:t>
      </w:r>
      <w:r>
        <w:rPr>
          <w:rFonts w:hint="eastAsia" w:ascii="仿宋" w:hAnsi="仿宋" w:eastAsia="仿宋" w:cs="仿宋"/>
          <w:color w:val="auto"/>
          <w:sz w:val="28"/>
          <w:szCs w:val="28"/>
        </w:rPr>
        <w:t>50</w:t>
      </w:r>
      <w:r>
        <w:rPr>
          <w:rFonts w:hint="eastAsia" w:ascii="仿宋" w:hAnsi="仿宋" w:eastAsia="仿宋" w:cs="仿宋"/>
          <w:color w:val="auto"/>
          <w:sz w:val="28"/>
          <w:szCs w:val="28"/>
          <w:lang w:val="zh-CN"/>
        </w:rPr>
        <w:t>分</w:t>
      </w:r>
    </w:p>
    <w:p>
      <w:pPr>
        <w:adjustRightInd w:val="0"/>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价格分统一采用低价优先法计算，即满足磋商文件要求且最后报价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总价）</w:t>
      </w:r>
      <w:r>
        <w:rPr>
          <w:rFonts w:hint="eastAsia" w:ascii="仿宋" w:hAnsi="仿宋" w:eastAsia="仿宋" w:cs="仿宋"/>
          <w:color w:val="auto"/>
          <w:sz w:val="28"/>
          <w:szCs w:val="28"/>
        </w:rPr>
        <w:t>最低的供应商的价格为磋商基准价，其价格分为满分。其他供应商的价格分统一按照下列公式计算：</w:t>
      </w:r>
    </w:p>
    <w:p>
      <w:pPr>
        <w:widowControl/>
        <w:shd w:val="clear" w:color="auto" w:fill="FFFFFF"/>
        <w:spacing w:line="315" w:lineRule="atLeast"/>
        <w:ind w:firstLine="2995"/>
        <w:jc w:val="left"/>
        <w:rPr>
          <w:rFonts w:hint="eastAsia" w:ascii="仿宋" w:hAnsi="仿宋" w:eastAsia="仿宋" w:cs="仿宋"/>
          <w:color w:val="auto"/>
          <w:kern w:val="0"/>
          <w:szCs w:val="21"/>
        </w:rPr>
      </w:pPr>
      <w:r>
        <w:rPr>
          <w:rFonts w:hint="eastAsia" w:ascii="仿宋" w:hAnsi="仿宋" w:eastAsia="仿宋" w:cs="仿宋"/>
          <w:color w:val="auto"/>
          <w:kern w:val="0"/>
          <w:sz w:val="24"/>
        </w:rPr>
        <w:t>项目报价目录清单</w:t>
      </w:r>
    </w:p>
    <w:tbl>
      <w:tblPr>
        <w:tblStyle w:val="21"/>
        <w:tblW w:w="8617" w:type="dxa"/>
        <w:tblInd w:w="0" w:type="dxa"/>
        <w:shd w:val="clear" w:color="auto" w:fill="FFFFFF"/>
        <w:tblLayout w:type="autofit"/>
        <w:tblCellMar>
          <w:top w:w="0" w:type="dxa"/>
          <w:left w:w="0" w:type="dxa"/>
          <w:bottom w:w="0" w:type="dxa"/>
          <w:right w:w="0" w:type="dxa"/>
        </w:tblCellMar>
      </w:tblPr>
      <w:tblGrid>
        <w:gridCol w:w="634"/>
        <w:gridCol w:w="2918"/>
        <w:gridCol w:w="1134"/>
        <w:gridCol w:w="1276"/>
        <w:gridCol w:w="1134"/>
        <w:gridCol w:w="1511"/>
        <w:gridCol w:w="10"/>
      </w:tblGrid>
      <w:tr>
        <w:tblPrEx>
          <w:shd w:val="clear" w:color="auto" w:fill="FFFFFF"/>
          <w:tblCellMar>
            <w:top w:w="0" w:type="dxa"/>
            <w:left w:w="0" w:type="dxa"/>
            <w:bottom w:w="0" w:type="dxa"/>
            <w:right w:w="0" w:type="dxa"/>
          </w:tblCellMar>
        </w:tblPrEx>
        <w:trPr>
          <w:gridAfter w:val="1"/>
          <w:wAfter w:w="10" w:type="dxa"/>
          <w:trHeight w:val="43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项目内容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单价/次/台</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数量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总价</w:t>
            </w:r>
          </w:p>
        </w:tc>
        <w:tc>
          <w:tcPr>
            <w:tcW w:w="15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备注</w:t>
            </w:r>
          </w:p>
        </w:tc>
      </w:tr>
      <w:tr>
        <w:tblPrEx>
          <w:shd w:val="clear" w:color="auto" w:fill="FFFFFF"/>
          <w:tblCellMar>
            <w:top w:w="0" w:type="dxa"/>
            <w:left w:w="0" w:type="dxa"/>
            <w:bottom w:w="0" w:type="dxa"/>
            <w:right w:w="0" w:type="dxa"/>
          </w:tblCellMar>
        </w:tblPrEx>
        <w:trPr>
          <w:gridAfter w:val="1"/>
          <w:wAfter w:w="10" w:type="dxa"/>
          <w:trHeight w:val="42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1.5匹空调室内机</w:t>
            </w:r>
            <w:r>
              <w:rPr>
                <w:rFonts w:hint="eastAsia" w:ascii="仿宋" w:hAnsi="仿宋" w:eastAsia="仿宋" w:cs="仿宋"/>
                <w:color w:val="auto"/>
                <w:kern w:val="0"/>
                <w:szCs w:val="21"/>
                <w:lang w:val="en-US" w:eastAsia="zh-CN"/>
              </w:rPr>
              <w:t>滤网</w:t>
            </w:r>
            <w:r>
              <w:rPr>
                <w:rFonts w:hint="eastAsia" w:ascii="仿宋" w:hAnsi="仿宋" w:eastAsia="仿宋" w:cs="仿宋"/>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1.5匹空调移机（拆）</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1.5匹空调移机（装）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30台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2匹空调室内机</w:t>
            </w:r>
            <w:r>
              <w:rPr>
                <w:rFonts w:hint="eastAsia" w:ascii="仿宋" w:hAnsi="仿宋" w:eastAsia="仿宋" w:cs="仿宋"/>
                <w:color w:val="auto"/>
                <w:kern w:val="0"/>
                <w:szCs w:val="21"/>
                <w:lang w:val="en-US" w:eastAsia="zh-CN"/>
              </w:rPr>
              <w:t>滤网</w:t>
            </w:r>
            <w:r>
              <w:rPr>
                <w:rFonts w:hint="eastAsia" w:ascii="仿宋" w:hAnsi="仿宋" w:eastAsia="仿宋" w:cs="仿宋"/>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300台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3匹空调</w:t>
            </w:r>
            <w:r>
              <w:rPr>
                <w:rFonts w:hint="eastAsia" w:ascii="仿宋" w:hAnsi="仿宋" w:eastAsia="仿宋" w:cs="仿宋"/>
                <w:color w:val="auto"/>
                <w:kern w:val="0"/>
                <w:szCs w:val="21"/>
                <w:lang w:val="en-US" w:eastAsia="zh-CN"/>
              </w:rPr>
              <w:t>滤网</w:t>
            </w:r>
            <w:r>
              <w:rPr>
                <w:rFonts w:hint="eastAsia" w:ascii="仿宋" w:hAnsi="仿宋" w:eastAsia="仿宋" w:cs="仿宋"/>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 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5匹空调</w:t>
            </w:r>
            <w:r>
              <w:rPr>
                <w:rFonts w:hint="eastAsia" w:ascii="仿宋" w:hAnsi="仿宋" w:eastAsia="仿宋" w:cs="仿宋"/>
                <w:color w:val="auto"/>
                <w:kern w:val="0"/>
                <w:szCs w:val="21"/>
                <w:lang w:val="en-US" w:eastAsia="zh-CN"/>
              </w:rPr>
              <w:t>滤网</w:t>
            </w:r>
            <w:r>
              <w:rPr>
                <w:rFonts w:hint="eastAsia" w:ascii="仿宋" w:hAnsi="仿宋" w:eastAsia="仿宋" w:cs="仿宋"/>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1.5匹—2匹空调铜管（米）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打空调墙孔</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20个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20只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ind w:firstLine="735" w:firstLineChars="350"/>
              <w:jc w:val="left"/>
              <w:rPr>
                <w:rFonts w:hint="eastAsia" w:ascii="仿宋" w:hAnsi="仿宋" w:eastAsia="仿宋" w:cs="仿宋"/>
                <w:color w:val="auto"/>
                <w:kern w:val="0"/>
                <w:szCs w:val="21"/>
              </w:rPr>
            </w:pPr>
            <w:r>
              <w:rPr>
                <w:rFonts w:hint="eastAsia" w:ascii="仿宋" w:hAnsi="仿宋" w:eastAsia="仿宋" w:cs="仿宋"/>
                <w:color w:val="auto"/>
                <w:kern w:val="0"/>
                <w:szCs w:val="21"/>
              </w:rPr>
              <w:t>1.5匹轴流风叶</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1.5匹内电机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1.5匹外电机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仿宋" w:hAnsi="仿宋" w:eastAsia="仿宋" w:cs="仿宋"/>
                <w:color w:val="auto"/>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1.5匹冷凝器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仿宋" w:hAnsi="仿宋" w:eastAsia="仿宋" w:cs="仿宋"/>
                <w:color w:val="auto"/>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排水管（每米）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仿宋" w:hAnsi="仿宋" w:eastAsia="仿宋" w:cs="仿宋"/>
                <w:color w:val="auto"/>
              </w:rPr>
            </w:pPr>
            <w:r>
              <w:rPr>
                <w:rFonts w:hint="eastAsia" w:ascii="仿宋" w:hAnsi="仿宋" w:eastAsia="仿宋" w:cs="仿宋"/>
                <w:b/>
                <w:bCs/>
                <w:color w:val="auto"/>
                <w:kern w:val="0"/>
              </w:rPr>
              <w:t>50米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r>
      <w:tr>
        <w:tblPrEx>
          <w:shd w:val="clear" w:color="auto" w:fill="FFFFFF"/>
          <w:tblCellMar>
            <w:top w:w="0" w:type="dxa"/>
            <w:left w:w="0" w:type="dxa"/>
            <w:bottom w:w="0" w:type="dxa"/>
            <w:right w:w="0" w:type="dxa"/>
          </w:tblCellMar>
        </w:tblPrEx>
        <w:trPr>
          <w:trHeight w:val="435" w:hRule="atLeast"/>
        </w:trPr>
        <w:tc>
          <w:tcPr>
            <w:tcW w:w="3552"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报价</w:t>
            </w:r>
            <w:r>
              <w:rPr>
                <w:rFonts w:hint="eastAsia" w:ascii="仿宋" w:hAnsi="仿宋" w:eastAsia="仿宋" w:cs="仿宋"/>
                <w:color w:val="auto"/>
                <w:kern w:val="0"/>
                <w:szCs w:val="21"/>
              </w:rPr>
              <w:t>合计（总金额）</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color w:val="auto"/>
                <w:kern w:val="0"/>
                <w:szCs w:val="21"/>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color w:val="auto"/>
                <w:kern w:val="0"/>
                <w:szCs w:val="21"/>
              </w:rPr>
            </w:pPr>
          </w:p>
        </w:tc>
        <w:tc>
          <w:tcPr>
            <w:tcW w:w="1134" w:type="dxa"/>
            <w:tcBorders>
              <w:top w:val="single" w:color="auto" w:sz="4" w:space="0"/>
              <w:bottom w:val="single" w:color="auto" w:sz="4" w:space="0"/>
              <w:right w:val="single" w:color="auto" w:sz="4" w:space="0"/>
            </w:tcBorders>
            <w:shd w:val="clear" w:color="auto" w:fill="auto"/>
          </w:tcPr>
          <w:p>
            <w:pPr>
              <w:widowControl/>
              <w:jc w:val="left"/>
              <w:rPr>
                <w:rFonts w:hint="eastAsia" w:ascii="仿宋" w:hAnsi="仿宋" w:eastAsia="仿宋" w:cs="仿宋"/>
                <w:color w:val="auto"/>
                <w:kern w:val="0"/>
                <w:sz w:val="20"/>
                <w:szCs w:val="20"/>
              </w:rPr>
            </w:pPr>
          </w:p>
        </w:tc>
        <w:tc>
          <w:tcPr>
            <w:tcW w:w="1521" w:type="dxa"/>
            <w:gridSpan w:val="2"/>
            <w:tcBorders>
              <w:top w:val="single" w:color="auto" w:sz="4" w:space="0"/>
              <w:bottom w:val="single" w:color="auto" w:sz="4" w:space="0"/>
              <w:right w:val="single" w:color="auto" w:sz="4" w:space="0"/>
            </w:tcBorders>
            <w:shd w:val="clear" w:color="auto" w:fill="auto"/>
          </w:tcPr>
          <w:p>
            <w:pPr>
              <w:widowControl/>
              <w:jc w:val="left"/>
              <w:rPr>
                <w:rFonts w:hint="eastAsia" w:ascii="仿宋" w:hAnsi="仿宋" w:eastAsia="仿宋" w:cs="仿宋"/>
                <w:color w:val="auto"/>
                <w:kern w:val="0"/>
                <w:sz w:val="20"/>
                <w:szCs w:val="20"/>
              </w:rPr>
            </w:pPr>
          </w:p>
        </w:tc>
      </w:tr>
    </w:tbl>
    <w:p>
      <w:pPr>
        <w:adjustRightInd w:val="0"/>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磋商报价得分=（磋商基准价/最后磋商报价）×价格权值×100</w:t>
      </w:r>
    </w:p>
    <w:p>
      <w:pPr>
        <w:adjustRightInd w:val="0"/>
        <w:snapToGrid w:val="0"/>
        <w:spacing w:line="500" w:lineRule="exact"/>
        <w:ind w:firstLine="570"/>
        <w:rPr>
          <w:rFonts w:hint="eastAsia" w:ascii="仿宋" w:hAnsi="仿宋" w:eastAsia="仿宋" w:cs="仿宋"/>
          <w:bCs/>
          <w:color w:val="auto"/>
          <w:sz w:val="28"/>
          <w:szCs w:val="28"/>
        </w:rPr>
      </w:pPr>
      <w:r>
        <w:rPr>
          <w:rFonts w:hint="eastAsia" w:ascii="仿宋" w:hAnsi="仿宋" w:eastAsia="仿宋" w:cs="仿宋"/>
          <w:b/>
          <w:color w:val="auto"/>
          <w:kern w:val="0"/>
          <w:sz w:val="28"/>
          <w:szCs w:val="28"/>
        </w:rPr>
        <w:t>（</w:t>
      </w:r>
      <w:r>
        <w:rPr>
          <w:rFonts w:hint="eastAsia" w:ascii="仿宋" w:hAnsi="仿宋" w:eastAsia="仿宋" w:cs="仿宋"/>
          <w:b/>
          <w:bCs/>
          <w:color w:val="auto"/>
          <w:sz w:val="28"/>
          <w:szCs w:val="28"/>
        </w:rPr>
        <w:t>五</w:t>
      </w:r>
      <w:r>
        <w:rPr>
          <w:rFonts w:hint="eastAsia" w:ascii="仿宋" w:hAnsi="仿宋" w:eastAsia="仿宋" w:cs="仿宋"/>
          <w:b/>
          <w:color w:val="auto"/>
          <w:kern w:val="0"/>
          <w:sz w:val="28"/>
          <w:szCs w:val="28"/>
        </w:rPr>
        <w:t>）</w:t>
      </w:r>
      <w:r>
        <w:rPr>
          <w:rFonts w:hint="eastAsia" w:ascii="仿宋" w:hAnsi="仿宋" w:eastAsia="仿宋" w:cs="仿宋"/>
          <w:b/>
          <w:color w:val="auto"/>
          <w:sz w:val="28"/>
          <w:szCs w:val="28"/>
        </w:rPr>
        <w:t>成交供应商的确定</w:t>
      </w:r>
    </w:p>
    <w:p>
      <w:pPr>
        <w:adjustRightInd w:val="0"/>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磋商小组汇总各评委评分后，按照得分从高到低的顺序推荐三名成交候选人，并编写评审报告。</w:t>
      </w:r>
    </w:p>
    <w:p>
      <w:pPr>
        <w:adjustRightInd w:val="0"/>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采购人委托磋商小组直接确定排名第一的成交候选人为成交供应商。</w:t>
      </w:r>
    </w:p>
    <w:p>
      <w:pPr>
        <w:adjustRightInd w:val="0"/>
        <w:snapToGrid w:val="0"/>
        <w:spacing w:line="500" w:lineRule="exact"/>
        <w:ind w:firstLine="557" w:firstLineChars="198"/>
        <w:rPr>
          <w:rFonts w:hint="eastAsia" w:ascii="仿宋" w:hAnsi="仿宋" w:eastAsia="仿宋" w:cs="仿宋"/>
          <w:b/>
          <w:color w:val="auto"/>
          <w:sz w:val="28"/>
          <w:szCs w:val="28"/>
        </w:rPr>
      </w:pPr>
      <w:r>
        <w:rPr>
          <w:rFonts w:hint="eastAsia" w:ascii="仿宋" w:hAnsi="仿宋" w:eastAsia="仿宋" w:cs="仿宋"/>
          <w:b/>
          <w:color w:val="auto"/>
          <w:sz w:val="28"/>
          <w:szCs w:val="28"/>
        </w:rPr>
        <w:t>（六）采购人代表宣布评审结果。</w:t>
      </w:r>
    </w:p>
    <w:p>
      <w:pPr>
        <w:adjustRightInd w:val="0"/>
        <w:snapToGrid w:val="0"/>
        <w:spacing w:line="50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（七）公告成交结果</w:t>
      </w:r>
    </w:p>
    <w:p>
      <w:pPr>
        <w:adjustRightInd w:val="0"/>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自确定成交供应商之日起2个工作日内，在南通市卫健委、学校网站公告成交结果，公告期限为1个工作日。</w:t>
      </w:r>
    </w:p>
    <w:p>
      <w:pPr>
        <w:adjustRightInd w:val="0"/>
        <w:snapToGrid w:val="0"/>
        <w:spacing w:line="500" w:lineRule="exact"/>
        <w:ind w:firstLine="562" w:firstLineChars="200"/>
        <w:rPr>
          <w:rFonts w:hint="eastAsia" w:ascii="仿宋" w:hAnsi="仿宋" w:eastAsia="仿宋" w:cs="仿宋"/>
          <w:b/>
          <w:bCs/>
          <w:color w:val="auto"/>
          <w:sz w:val="28"/>
          <w:szCs w:val="28"/>
        </w:rPr>
      </w:pPr>
      <w:r>
        <w:rPr>
          <w:rFonts w:hint="eastAsia" w:ascii="仿宋" w:hAnsi="仿宋" w:eastAsia="仿宋" w:cs="仿宋"/>
          <w:b/>
          <w:color w:val="auto"/>
          <w:sz w:val="28"/>
          <w:szCs w:val="28"/>
        </w:rPr>
        <w:t>（</w:t>
      </w:r>
      <w:r>
        <w:rPr>
          <w:rFonts w:hint="eastAsia" w:ascii="仿宋" w:hAnsi="仿宋" w:eastAsia="仿宋" w:cs="仿宋"/>
          <w:b/>
          <w:bCs/>
          <w:color w:val="auto"/>
          <w:sz w:val="28"/>
          <w:szCs w:val="28"/>
        </w:rPr>
        <w:t>八</w:t>
      </w:r>
      <w:r>
        <w:rPr>
          <w:rFonts w:hint="eastAsia" w:ascii="仿宋" w:hAnsi="仿宋" w:eastAsia="仿宋" w:cs="仿宋"/>
          <w:b/>
          <w:color w:val="auto"/>
          <w:sz w:val="28"/>
          <w:szCs w:val="28"/>
        </w:rPr>
        <w:t>）</w:t>
      </w:r>
      <w:r>
        <w:rPr>
          <w:rFonts w:hint="eastAsia" w:ascii="仿宋" w:hAnsi="仿宋" w:eastAsia="仿宋" w:cs="仿宋"/>
          <w:b/>
          <w:bCs/>
          <w:color w:val="auto"/>
          <w:sz w:val="28"/>
          <w:szCs w:val="28"/>
        </w:rPr>
        <w:t>发放成交通知书</w:t>
      </w:r>
    </w:p>
    <w:p>
      <w:pPr>
        <w:adjustRightInd w:val="0"/>
        <w:snapToGrid w:val="0"/>
        <w:spacing w:line="500" w:lineRule="exact"/>
        <w:ind w:firstLine="560" w:firstLineChars="200"/>
        <w:rPr>
          <w:rFonts w:hint="eastAsia" w:ascii="仿宋" w:hAnsi="仿宋" w:eastAsia="仿宋" w:cs="仿宋"/>
          <w:bCs/>
          <w:color w:val="auto"/>
          <w:sz w:val="28"/>
          <w:szCs w:val="28"/>
        </w:rPr>
      </w:pPr>
      <w:r>
        <w:rPr>
          <w:rFonts w:hint="eastAsia" w:ascii="仿宋" w:hAnsi="仿宋" w:eastAsia="仿宋" w:cs="仿宋"/>
          <w:color w:val="auto"/>
          <w:sz w:val="28"/>
          <w:szCs w:val="28"/>
        </w:rPr>
        <w:t>公告成交结果的同时，采购代理机构</w:t>
      </w:r>
      <w:r>
        <w:rPr>
          <w:rFonts w:hint="eastAsia" w:ascii="仿宋" w:hAnsi="仿宋" w:eastAsia="仿宋" w:cs="仿宋"/>
          <w:bCs/>
          <w:color w:val="auto"/>
          <w:sz w:val="28"/>
          <w:szCs w:val="28"/>
        </w:rPr>
        <w:t>向成交供应商发放成交通知书。联系电话：0513-55887688。</w:t>
      </w:r>
    </w:p>
    <w:p>
      <w:pPr>
        <w:adjustRightInd w:val="0"/>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成交通知书发出后，采购人不得违法改变成交结果，成交供应商无正当理由不得放弃成交。</w:t>
      </w:r>
    </w:p>
    <w:p>
      <w:pPr>
        <w:adjustRightInd w:val="0"/>
        <w:snapToGrid w:val="0"/>
        <w:spacing w:line="500" w:lineRule="exact"/>
        <w:jc w:val="center"/>
        <w:outlineLvl w:val="0"/>
        <w:rPr>
          <w:rFonts w:hint="eastAsia" w:ascii="仿宋" w:hAnsi="仿宋" w:eastAsia="仿宋" w:cs="仿宋"/>
          <w:bCs/>
          <w:color w:val="auto"/>
          <w:sz w:val="36"/>
          <w:szCs w:val="36"/>
        </w:rPr>
      </w:pPr>
      <w:r>
        <w:rPr>
          <w:rFonts w:hint="eastAsia" w:ascii="仿宋" w:hAnsi="仿宋" w:eastAsia="仿宋" w:cs="仿宋"/>
          <w:b/>
          <w:color w:val="auto"/>
          <w:sz w:val="36"/>
          <w:szCs w:val="36"/>
        </w:rPr>
        <w:br w:type="page"/>
      </w:r>
      <w:r>
        <w:rPr>
          <w:rFonts w:hint="eastAsia" w:ascii="仿宋" w:hAnsi="仿宋" w:eastAsia="仿宋" w:cs="仿宋"/>
          <w:bCs/>
          <w:color w:val="auto"/>
          <w:sz w:val="36"/>
          <w:szCs w:val="36"/>
        </w:rPr>
        <w:t>第五部分  响应文件组成</w:t>
      </w:r>
    </w:p>
    <w:p>
      <w:pPr>
        <w:adjustRightInd w:val="0"/>
        <w:snapToGrid w:val="0"/>
        <w:spacing w:line="500" w:lineRule="exact"/>
        <w:ind w:firstLine="555"/>
        <w:jc w:val="left"/>
        <w:rPr>
          <w:rFonts w:hint="eastAsia" w:ascii="仿宋" w:hAnsi="仿宋" w:eastAsia="仿宋" w:cs="仿宋"/>
          <w:b/>
          <w:color w:val="auto"/>
          <w:sz w:val="28"/>
          <w:szCs w:val="28"/>
        </w:rPr>
      </w:pPr>
    </w:p>
    <w:p>
      <w:pPr>
        <w:adjustRightInd w:val="0"/>
        <w:snapToGrid w:val="0"/>
        <w:spacing w:line="460" w:lineRule="exact"/>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响应文件由资格审查证明材料、商务技术文件、价格文件三部分组成。</w:t>
      </w:r>
    </w:p>
    <w:p>
      <w:pPr>
        <w:adjustRightInd w:val="0"/>
        <w:snapToGrid w:val="0"/>
        <w:spacing w:line="460" w:lineRule="exact"/>
        <w:ind w:firstLine="562" w:firstLineChars="200"/>
        <w:rPr>
          <w:rFonts w:hint="eastAsia" w:ascii="仿宋" w:hAnsi="仿宋" w:eastAsia="仿宋" w:cs="仿宋"/>
          <w:b/>
          <w:bCs/>
          <w:color w:val="auto"/>
          <w:kern w:val="0"/>
          <w:sz w:val="28"/>
          <w:szCs w:val="28"/>
          <w:lang w:val="zh-CN"/>
        </w:rPr>
      </w:pPr>
      <w:r>
        <w:rPr>
          <w:rFonts w:hint="eastAsia" w:ascii="仿宋" w:hAnsi="仿宋" w:eastAsia="仿宋" w:cs="仿宋"/>
          <w:b/>
          <w:bCs/>
          <w:color w:val="auto"/>
          <w:kern w:val="0"/>
          <w:sz w:val="28"/>
          <w:szCs w:val="28"/>
          <w:lang w:val="zh-CN"/>
        </w:rPr>
        <w:t>一、资格审查证明材料（不能出现商务技术文件、价格文件）</w:t>
      </w:r>
    </w:p>
    <w:p>
      <w:pPr>
        <w:adjustRightInd w:val="0"/>
        <w:snapToGrid w:val="0"/>
        <w:spacing w:line="460" w:lineRule="exact"/>
        <w:ind w:firstLine="560" w:firstLineChars="20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1.</w:t>
      </w:r>
      <w:r>
        <w:rPr>
          <w:rFonts w:hint="eastAsia" w:ascii="仿宋" w:hAnsi="仿宋" w:eastAsia="仿宋" w:cs="仿宋"/>
          <w:color w:val="auto"/>
          <w:kern w:val="0"/>
          <w:sz w:val="28"/>
          <w:szCs w:val="28"/>
        </w:rPr>
        <w:t>符合投标人资格要求的承诺函</w:t>
      </w:r>
      <w:r>
        <w:rPr>
          <w:rFonts w:hint="eastAsia" w:ascii="仿宋" w:hAnsi="仿宋" w:eastAsia="仿宋" w:cs="仿宋"/>
          <w:color w:val="auto"/>
          <w:kern w:val="0"/>
          <w:sz w:val="28"/>
          <w:szCs w:val="28"/>
          <w:lang w:val="zh-CN"/>
        </w:rPr>
        <w:t>（格式见附件1）；</w:t>
      </w:r>
    </w:p>
    <w:p>
      <w:pPr>
        <w:adjustRightInd w:val="0"/>
        <w:snapToGrid w:val="0"/>
        <w:spacing w:line="460" w:lineRule="exact"/>
        <w:ind w:firstLine="560" w:firstLineChars="20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2.法定代表人身份证明书（格式见附件2）；</w:t>
      </w:r>
    </w:p>
    <w:p>
      <w:pPr>
        <w:adjustRightInd w:val="0"/>
        <w:snapToGrid w:val="0"/>
        <w:spacing w:line="460" w:lineRule="exact"/>
        <w:ind w:firstLine="560" w:firstLineChars="20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3.法定代表人授权委托书原件，磋商代表本人身份证复印件（格式见附件3）；</w:t>
      </w:r>
    </w:p>
    <w:p>
      <w:pPr>
        <w:adjustRightInd w:val="0"/>
        <w:snapToGrid w:val="0"/>
        <w:spacing w:line="460" w:lineRule="exact"/>
        <w:ind w:firstLine="560" w:firstLineChars="20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4.有效的营业执照复印件加盖公章。</w:t>
      </w:r>
    </w:p>
    <w:p>
      <w:pPr>
        <w:adjustRightInd w:val="0"/>
        <w:snapToGrid w:val="0"/>
        <w:spacing w:line="460" w:lineRule="exact"/>
        <w:ind w:firstLine="560" w:firstLineChars="200"/>
        <w:rPr>
          <w:rFonts w:hint="eastAsia" w:ascii="仿宋" w:hAnsi="仿宋" w:eastAsia="仿宋" w:cs="仿宋"/>
          <w:color w:val="auto"/>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zh-CN"/>
        </w:rPr>
        <w:t>拟派维保服务人员须为供应商的正式员工，提供</w:t>
      </w:r>
      <w:r>
        <w:rPr>
          <w:rFonts w:hint="eastAsia" w:ascii="仿宋" w:hAnsi="仿宋" w:eastAsia="仿宋" w:cs="仿宋"/>
          <w:color w:val="auto"/>
          <w:kern w:val="0"/>
          <w:sz w:val="28"/>
          <w:szCs w:val="28"/>
          <w:lang w:val="en-US" w:eastAsia="zh-CN"/>
        </w:rPr>
        <w:t>行政部门或行业主管部门</w:t>
      </w:r>
      <w:r>
        <w:rPr>
          <w:rFonts w:hint="eastAsia" w:ascii="仿宋" w:hAnsi="仿宋" w:eastAsia="仿宋" w:cs="仿宋"/>
          <w:color w:val="auto"/>
          <w:kern w:val="0"/>
          <w:sz w:val="28"/>
          <w:szCs w:val="28"/>
          <w:lang w:val="zh-CN"/>
        </w:rPr>
        <w:t>颁发的制冷上岗证、电工上岗证（至少各一人）。须同时提供：①相关证书原件的复印件或扫描件；②拟派人员与供</w:t>
      </w:r>
      <w:r>
        <w:rPr>
          <w:rFonts w:hint="eastAsia" w:ascii="仿宋" w:hAnsi="仿宋" w:eastAsia="仿宋" w:cs="仿宋"/>
          <w:color w:val="auto"/>
          <w:sz w:val="28"/>
          <w:szCs w:val="28"/>
        </w:rPr>
        <w:t>应商签订的有效劳动合同复印件或扫描件；③社保机构出具且盖章的供应商为其连续交纳的近6个月（至少缴纳至2022年7月）的养老保险缴费清单复印件或扫描件，以上材料都需加盖公章。</w:t>
      </w:r>
    </w:p>
    <w:p>
      <w:pPr>
        <w:adjustRightInd w:val="0"/>
        <w:snapToGrid w:val="0"/>
        <w:spacing w:line="460" w:lineRule="exact"/>
        <w:ind w:firstLine="562" w:firstLineChars="200"/>
        <w:rPr>
          <w:rFonts w:hint="eastAsia" w:ascii="仿宋" w:hAnsi="仿宋" w:eastAsia="仿宋" w:cs="仿宋"/>
          <w:b/>
          <w:bCs/>
          <w:color w:val="auto"/>
          <w:kern w:val="0"/>
          <w:sz w:val="28"/>
          <w:szCs w:val="28"/>
          <w:lang w:val="zh-CN"/>
        </w:rPr>
      </w:pPr>
      <w:r>
        <w:rPr>
          <w:rFonts w:hint="eastAsia" w:ascii="仿宋" w:hAnsi="仿宋" w:eastAsia="仿宋" w:cs="仿宋"/>
          <w:b/>
          <w:bCs/>
          <w:color w:val="auto"/>
          <w:kern w:val="0"/>
          <w:sz w:val="28"/>
          <w:szCs w:val="28"/>
          <w:lang w:val="zh-CN"/>
        </w:rPr>
        <w:t>二、商务技术文件（不能出现价格文件）</w:t>
      </w:r>
    </w:p>
    <w:p>
      <w:pPr>
        <w:adjustRightInd w:val="0"/>
        <w:snapToGrid w:val="0"/>
        <w:spacing w:line="460" w:lineRule="exact"/>
        <w:ind w:firstLine="560" w:firstLineChars="200"/>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lang w:val="zh-CN"/>
        </w:rPr>
        <w:t>1.供应商情况一览表（格式见附件4）；</w:t>
      </w:r>
    </w:p>
    <w:p>
      <w:pPr>
        <w:adjustRightInd w:val="0"/>
        <w:snapToGrid w:val="0"/>
        <w:spacing w:line="460" w:lineRule="exact"/>
        <w:ind w:firstLine="560" w:firstLineChars="200"/>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lang w:val="zh-CN"/>
        </w:rPr>
        <w:t>2.商务部分正负偏离表（格式见附件5）；</w:t>
      </w:r>
    </w:p>
    <w:p>
      <w:pPr>
        <w:adjustRightInd w:val="0"/>
        <w:snapToGrid w:val="0"/>
        <w:spacing w:line="460" w:lineRule="exact"/>
        <w:ind w:firstLine="560" w:firstLineChars="200"/>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lang w:val="zh-CN"/>
        </w:rPr>
        <w:t>3.技术部分正负偏离表（格式见附件6）；</w:t>
      </w:r>
    </w:p>
    <w:p>
      <w:pPr>
        <w:adjustRightInd w:val="0"/>
        <w:snapToGrid w:val="0"/>
        <w:spacing w:line="460" w:lineRule="exact"/>
        <w:ind w:firstLine="560" w:firstLineChars="200"/>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lang w:val="zh-CN"/>
        </w:rPr>
        <w:t>4.响应方案；</w:t>
      </w:r>
    </w:p>
    <w:p>
      <w:pPr>
        <w:adjustRightInd w:val="0"/>
        <w:snapToGrid w:val="0"/>
        <w:spacing w:line="460" w:lineRule="exact"/>
        <w:ind w:firstLine="560" w:firstLineChars="200"/>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lang w:val="zh-CN"/>
        </w:rPr>
        <w:t>5.商务技术评分标准中须提供的相关得分佐证材料；</w:t>
      </w:r>
    </w:p>
    <w:p>
      <w:pPr>
        <w:adjustRightInd w:val="0"/>
        <w:snapToGrid w:val="0"/>
        <w:spacing w:line="460" w:lineRule="exact"/>
        <w:ind w:firstLine="560" w:firstLineChars="200"/>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lang w:val="zh-CN"/>
        </w:rPr>
        <w:t>6.供应商认为需要提交的其他商务技术材料。</w:t>
      </w:r>
    </w:p>
    <w:p>
      <w:pPr>
        <w:adjustRightInd w:val="0"/>
        <w:snapToGrid w:val="0"/>
        <w:spacing w:line="460" w:lineRule="exact"/>
        <w:ind w:firstLine="562" w:firstLineChars="200"/>
        <w:rPr>
          <w:rFonts w:hint="eastAsia" w:ascii="仿宋" w:hAnsi="仿宋" w:eastAsia="仿宋" w:cs="仿宋"/>
          <w:b/>
          <w:bCs/>
          <w:color w:val="auto"/>
          <w:kern w:val="0"/>
          <w:sz w:val="28"/>
          <w:szCs w:val="28"/>
          <w:lang w:val="zh-CN"/>
        </w:rPr>
      </w:pPr>
      <w:r>
        <w:rPr>
          <w:rFonts w:hint="eastAsia" w:ascii="仿宋" w:hAnsi="仿宋" w:eastAsia="仿宋" w:cs="仿宋"/>
          <w:b/>
          <w:bCs/>
          <w:color w:val="auto"/>
          <w:kern w:val="0"/>
          <w:sz w:val="28"/>
          <w:szCs w:val="28"/>
          <w:lang w:val="zh-CN"/>
        </w:rPr>
        <w:t>三、价格文件</w:t>
      </w:r>
    </w:p>
    <w:p>
      <w:pPr>
        <w:adjustRightInd w:val="0"/>
        <w:snapToGrid w:val="0"/>
        <w:spacing w:line="460" w:lineRule="exact"/>
        <w:ind w:firstLine="560" w:firstLineChars="20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1.</w:t>
      </w:r>
      <w:r>
        <w:rPr>
          <w:rFonts w:hint="eastAsia" w:ascii="仿宋" w:hAnsi="仿宋" w:eastAsia="仿宋" w:cs="仿宋"/>
          <w:color w:val="auto"/>
          <w:kern w:val="0"/>
          <w:sz w:val="28"/>
          <w:szCs w:val="28"/>
        </w:rPr>
        <w:t xml:space="preserve"> 报价总表</w:t>
      </w:r>
      <w:r>
        <w:rPr>
          <w:rFonts w:hint="eastAsia" w:ascii="仿宋" w:hAnsi="仿宋" w:eastAsia="仿宋" w:cs="仿宋"/>
          <w:color w:val="auto"/>
          <w:kern w:val="0"/>
          <w:sz w:val="28"/>
          <w:szCs w:val="28"/>
          <w:lang w:val="zh-CN"/>
        </w:rPr>
        <w:t xml:space="preserve">（格式见附件7）； </w:t>
      </w:r>
    </w:p>
    <w:p>
      <w:pPr>
        <w:adjustRightInd w:val="0"/>
        <w:snapToGrid w:val="0"/>
        <w:spacing w:line="460" w:lineRule="exact"/>
        <w:ind w:firstLine="560" w:firstLineChars="20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2.分项报价明细表（格式见附件8）。</w:t>
      </w: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pStyle w:val="49"/>
        <w:rPr>
          <w:rFonts w:hint="eastAsia" w:ascii="仿宋" w:hAnsi="仿宋" w:eastAsia="仿宋" w:cs="仿宋"/>
          <w:b/>
          <w:color w:val="auto"/>
          <w:sz w:val="28"/>
          <w:szCs w:val="28"/>
          <w:lang w:val="zh-CN"/>
        </w:rPr>
      </w:pPr>
    </w:p>
    <w:p>
      <w:pPr>
        <w:pStyle w:val="49"/>
        <w:rPr>
          <w:rFonts w:hint="eastAsia" w:ascii="仿宋" w:hAnsi="仿宋" w:eastAsia="仿宋" w:cs="仿宋"/>
          <w:b/>
          <w:color w:val="auto"/>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pStyle w:val="49"/>
        <w:rPr>
          <w:rFonts w:hint="eastAsia" w:ascii="仿宋" w:hAnsi="仿宋" w:eastAsia="仿宋" w:cs="仿宋"/>
          <w:b/>
          <w:color w:val="auto"/>
          <w:sz w:val="28"/>
          <w:szCs w:val="28"/>
          <w:lang w:val="zh-CN"/>
        </w:rPr>
      </w:pPr>
    </w:p>
    <w:p>
      <w:pPr>
        <w:pStyle w:val="49"/>
        <w:rPr>
          <w:rFonts w:hint="eastAsia" w:ascii="仿宋" w:hAnsi="仿宋" w:eastAsia="仿宋" w:cs="仿宋"/>
          <w:b/>
          <w:color w:val="auto"/>
          <w:sz w:val="28"/>
          <w:szCs w:val="28"/>
          <w:lang w:val="zh-CN"/>
        </w:rPr>
      </w:pPr>
    </w:p>
    <w:p>
      <w:pPr>
        <w:snapToGrid w:val="0"/>
        <w:spacing w:line="400" w:lineRule="exact"/>
        <w:contextualSpacing/>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附件1</w:t>
      </w:r>
    </w:p>
    <w:p>
      <w:pPr>
        <w:jc w:val="center"/>
        <w:rPr>
          <w:rFonts w:hint="eastAsia" w:ascii="仿宋" w:hAnsi="仿宋" w:eastAsia="仿宋" w:cs="仿宋"/>
          <w:b/>
          <w:color w:val="auto"/>
          <w:sz w:val="30"/>
          <w:szCs w:val="30"/>
        </w:rPr>
      </w:pPr>
    </w:p>
    <w:p>
      <w:pPr>
        <w:jc w:val="center"/>
        <w:rPr>
          <w:rFonts w:hint="eastAsia" w:ascii="仿宋" w:hAnsi="仿宋" w:eastAsia="仿宋" w:cs="仿宋"/>
          <w:b/>
          <w:color w:val="auto"/>
          <w:sz w:val="30"/>
          <w:szCs w:val="30"/>
        </w:rPr>
      </w:pPr>
    </w:p>
    <w:p>
      <w:pPr>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投标人符合本项目投标人资格要求的承诺函</w:t>
      </w:r>
    </w:p>
    <w:p>
      <w:pPr>
        <w:spacing w:line="460" w:lineRule="exact"/>
        <w:rPr>
          <w:rFonts w:hint="eastAsia" w:ascii="仿宋" w:hAnsi="仿宋" w:eastAsia="仿宋" w:cs="仿宋"/>
          <w:b/>
          <w:bCs/>
          <w:color w:val="auto"/>
          <w:sz w:val="44"/>
          <w:szCs w:val="44"/>
        </w:rPr>
      </w:pPr>
      <w:r>
        <w:rPr>
          <w:rFonts w:hint="eastAsia" w:ascii="仿宋" w:hAnsi="仿宋" w:eastAsia="仿宋" w:cs="仿宋"/>
          <w:b/>
          <w:bCs/>
          <w:color w:val="auto"/>
          <w:sz w:val="24"/>
          <w:szCs w:val="21"/>
        </w:rPr>
        <w:t xml:space="preserve">                       </w:t>
      </w:r>
      <w:r>
        <w:rPr>
          <w:rFonts w:hint="eastAsia" w:ascii="仿宋" w:hAnsi="仿宋" w:eastAsia="仿宋" w:cs="仿宋"/>
          <w:b/>
          <w:bCs/>
          <w:color w:val="auto"/>
          <w:sz w:val="44"/>
          <w:szCs w:val="44"/>
        </w:rPr>
        <w:t xml:space="preserve">   </w:t>
      </w:r>
    </w:p>
    <w:p>
      <w:pPr>
        <w:spacing w:line="460" w:lineRule="exact"/>
        <w:ind w:firstLine="480" w:firstLineChars="200"/>
        <w:rPr>
          <w:rFonts w:hint="eastAsia" w:ascii="仿宋" w:hAnsi="仿宋" w:eastAsia="仿宋" w:cs="仿宋"/>
          <w:b/>
          <w:bCs/>
          <w:color w:val="auto"/>
          <w:sz w:val="24"/>
        </w:rPr>
      </w:pPr>
      <w:r>
        <w:rPr>
          <w:rFonts w:hint="eastAsia" w:ascii="仿宋" w:hAnsi="仿宋" w:eastAsia="仿宋" w:cs="仿宋"/>
          <w:bCs/>
          <w:color w:val="auto"/>
          <w:sz w:val="24"/>
        </w:rPr>
        <w:t>我单位参加</w:t>
      </w:r>
      <w:r>
        <w:rPr>
          <w:rFonts w:hint="eastAsia" w:ascii="仿宋" w:hAnsi="仿宋" w:eastAsia="仿宋" w:cs="仿宋"/>
          <w:bCs/>
          <w:color w:val="auto"/>
          <w:sz w:val="24"/>
          <w:szCs w:val="21"/>
          <w:u w:val="single"/>
        </w:rPr>
        <w:t>________________ _</w:t>
      </w:r>
      <w:r>
        <w:rPr>
          <w:rFonts w:hint="eastAsia" w:ascii="仿宋" w:hAnsi="仿宋" w:eastAsia="仿宋" w:cs="仿宋"/>
          <w:bCs/>
          <w:color w:val="auto"/>
          <w:sz w:val="24"/>
          <w:szCs w:val="21"/>
        </w:rPr>
        <w:t>（项目名称），</w:t>
      </w:r>
      <w:r>
        <w:rPr>
          <w:rFonts w:hint="eastAsia" w:ascii="仿宋" w:hAnsi="仿宋" w:eastAsia="仿宋" w:cs="仿宋"/>
          <w:bCs/>
          <w:color w:val="auto"/>
          <w:sz w:val="24"/>
          <w:szCs w:val="21"/>
          <w:u w:val="single"/>
        </w:rPr>
        <w:t>_______ __________</w:t>
      </w:r>
      <w:r>
        <w:rPr>
          <w:rFonts w:hint="eastAsia" w:ascii="仿宋" w:hAnsi="仿宋" w:eastAsia="仿宋" w:cs="仿宋"/>
          <w:bCs/>
          <w:color w:val="auto"/>
          <w:sz w:val="24"/>
          <w:szCs w:val="21"/>
        </w:rPr>
        <w:t>（项目编号）投标活动。针对本项目投标人资格要求做出如下承诺：</w:t>
      </w:r>
    </w:p>
    <w:p>
      <w:pPr>
        <w:spacing w:line="460" w:lineRule="exact"/>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1"/>
        </w:rPr>
        <w:t>1.我单位具有独立承担民事责任的能力；</w:t>
      </w:r>
    </w:p>
    <w:p>
      <w:pPr>
        <w:spacing w:line="4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2.我单位具有良好的商业信誉和健全的财务会计制度；</w:t>
      </w:r>
    </w:p>
    <w:p>
      <w:pPr>
        <w:spacing w:line="4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3.我单位具有履行合同所必需的设备和专业技术能力；</w:t>
      </w:r>
    </w:p>
    <w:p>
      <w:pPr>
        <w:spacing w:line="4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4.我单位有依法缴纳税收和社会保障资金的良好记录；</w:t>
      </w:r>
    </w:p>
    <w:p>
      <w:pPr>
        <w:spacing w:line="4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pPr>
        <w:spacing w:line="4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6.我单位满足法律、行政法规规定的其他条件。</w:t>
      </w:r>
    </w:p>
    <w:p>
      <w:pPr>
        <w:spacing w:line="460" w:lineRule="exact"/>
        <w:ind w:firstLine="480" w:firstLineChars="200"/>
        <w:rPr>
          <w:rFonts w:hint="eastAsia" w:ascii="仿宋" w:hAnsi="仿宋" w:eastAsia="仿宋" w:cs="仿宋"/>
          <w:color w:val="auto"/>
          <w:sz w:val="24"/>
        </w:rPr>
      </w:pPr>
    </w:p>
    <w:p>
      <w:pPr>
        <w:spacing w:line="460" w:lineRule="exact"/>
        <w:ind w:firstLine="480" w:firstLineChars="200"/>
        <w:rPr>
          <w:rFonts w:hint="eastAsia" w:ascii="仿宋" w:hAnsi="仿宋" w:eastAsia="仿宋" w:cs="仿宋"/>
          <w:color w:val="auto"/>
          <w:sz w:val="24"/>
        </w:rPr>
      </w:pPr>
    </w:p>
    <w:p>
      <w:pPr>
        <w:spacing w:line="460" w:lineRule="exact"/>
        <w:ind w:firstLine="480" w:firstLineChars="200"/>
        <w:rPr>
          <w:rFonts w:hint="eastAsia" w:ascii="仿宋" w:hAnsi="仿宋" w:eastAsia="仿宋" w:cs="仿宋"/>
          <w:bCs/>
          <w:color w:val="auto"/>
          <w:sz w:val="24"/>
          <w:szCs w:val="21"/>
        </w:rPr>
      </w:pPr>
    </w:p>
    <w:p>
      <w:pPr>
        <w:spacing w:line="460" w:lineRule="exact"/>
        <w:ind w:firstLine="480" w:firstLineChars="200"/>
        <w:rPr>
          <w:rFonts w:hint="eastAsia" w:ascii="仿宋" w:hAnsi="仿宋" w:eastAsia="仿宋" w:cs="仿宋"/>
          <w:bCs/>
          <w:color w:val="auto"/>
          <w:sz w:val="24"/>
          <w:szCs w:val="21"/>
        </w:rPr>
      </w:pPr>
    </w:p>
    <w:p>
      <w:pPr>
        <w:spacing w:line="460" w:lineRule="exact"/>
        <w:ind w:firstLine="480" w:firstLineChars="200"/>
        <w:rPr>
          <w:rFonts w:hint="eastAsia" w:ascii="仿宋" w:hAnsi="仿宋" w:eastAsia="仿宋" w:cs="仿宋"/>
          <w:bCs/>
          <w:color w:val="auto"/>
          <w:sz w:val="24"/>
          <w:szCs w:val="21"/>
        </w:rPr>
      </w:pPr>
    </w:p>
    <w:p>
      <w:pPr>
        <w:spacing w:line="460" w:lineRule="exact"/>
        <w:ind w:firstLine="480" w:firstLineChars="200"/>
        <w:jc w:val="center"/>
        <w:rPr>
          <w:rFonts w:hint="eastAsia" w:ascii="仿宋" w:hAnsi="仿宋" w:eastAsia="仿宋" w:cs="仿宋"/>
          <w:bCs/>
          <w:color w:val="auto"/>
          <w:sz w:val="24"/>
          <w:szCs w:val="21"/>
        </w:rPr>
      </w:pPr>
      <w:r>
        <w:rPr>
          <w:rFonts w:hint="eastAsia" w:ascii="仿宋" w:hAnsi="仿宋" w:eastAsia="仿宋" w:cs="仿宋"/>
          <w:bCs/>
          <w:color w:val="auto"/>
          <w:sz w:val="24"/>
          <w:szCs w:val="21"/>
        </w:rPr>
        <w:t xml:space="preserve">                                             承诺人名称（公章）：</w:t>
      </w:r>
    </w:p>
    <w:p>
      <w:pPr>
        <w:spacing w:line="460" w:lineRule="exact"/>
        <w:ind w:firstLine="480" w:firstLineChars="200"/>
        <w:jc w:val="right"/>
        <w:rPr>
          <w:rFonts w:hint="eastAsia" w:ascii="仿宋" w:hAnsi="仿宋" w:eastAsia="仿宋" w:cs="仿宋"/>
          <w:bCs/>
          <w:color w:val="auto"/>
          <w:sz w:val="24"/>
          <w:szCs w:val="21"/>
        </w:rPr>
      </w:pPr>
      <w:r>
        <w:rPr>
          <w:rFonts w:hint="eastAsia" w:ascii="仿宋" w:hAnsi="仿宋" w:eastAsia="仿宋" w:cs="仿宋"/>
          <w:bCs/>
          <w:color w:val="auto"/>
          <w:sz w:val="24"/>
          <w:szCs w:val="21"/>
        </w:rPr>
        <w:t xml:space="preserve">    </w:t>
      </w:r>
    </w:p>
    <w:p>
      <w:pPr>
        <w:spacing w:line="460" w:lineRule="exact"/>
        <w:ind w:firstLine="480" w:firstLineChars="200"/>
        <w:jc w:val="right"/>
        <w:rPr>
          <w:rFonts w:hint="eastAsia" w:ascii="仿宋" w:hAnsi="仿宋" w:eastAsia="仿宋" w:cs="仿宋"/>
          <w:bCs/>
          <w:color w:val="auto"/>
          <w:sz w:val="24"/>
          <w:szCs w:val="21"/>
        </w:rPr>
      </w:pPr>
      <w:r>
        <w:rPr>
          <w:rFonts w:hint="eastAsia" w:ascii="仿宋" w:hAnsi="仿宋" w:eastAsia="仿宋" w:cs="仿宋"/>
          <w:bCs/>
          <w:color w:val="auto"/>
          <w:sz w:val="24"/>
          <w:szCs w:val="21"/>
        </w:rPr>
        <w:t xml:space="preserve">                                 日期：</w:t>
      </w:r>
      <w:r>
        <w:rPr>
          <w:rFonts w:hint="eastAsia" w:ascii="仿宋" w:hAnsi="仿宋" w:eastAsia="仿宋" w:cs="仿宋"/>
          <w:bCs/>
          <w:color w:val="auto"/>
          <w:sz w:val="24"/>
          <w:szCs w:val="21"/>
          <w:u w:val="single"/>
        </w:rPr>
        <w:t>______</w:t>
      </w:r>
      <w:r>
        <w:rPr>
          <w:rFonts w:hint="eastAsia" w:ascii="仿宋" w:hAnsi="仿宋" w:eastAsia="仿宋" w:cs="仿宋"/>
          <w:bCs/>
          <w:color w:val="auto"/>
          <w:sz w:val="24"/>
          <w:szCs w:val="21"/>
        </w:rPr>
        <w:t>年</w:t>
      </w:r>
      <w:r>
        <w:rPr>
          <w:rFonts w:hint="eastAsia" w:ascii="仿宋" w:hAnsi="仿宋" w:eastAsia="仿宋" w:cs="仿宋"/>
          <w:bCs/>
          <w:color w:val="auto"/>
          <w:sz w:val="24"/>
          <w:szCs w:val="21"/>
          <w:u w:val="single"/>
        </w:rPr>
        <w:t xml:space="preserve">    </w:t>
      </w:r>
      <w:r>
        <w:rPr>
          <w:rFonts w:hint="eastAsia" w:ascii="仿宋" w:hAnsi="仿宋" w:eastAsia="仿宋" w:cs="仿宋"/>
          <w:bCs/>
          <w:color w:val="auto"/>
          <w:sz w:val="24"/>
          <w:szCs w:val="21"/>
        </w:rPr>
        <w:t>月</w:t>
      </w:r>
      <w:r>
        <w:rPr>
          <w:rFonts w:hint="eastAsia" w:ascii="仿宋" w:hAnsi="仿宋" w:eastAsia="仿宋" w:cs="仿宋"/>
          <w:bCs/>
          <w:color w:val="auto"/>
          <w:sz w:val="24"/>
          <w:szCs w:val="21"/>
          <w:u w:val="single"/>
        </w:rPr>
        <w:t xml:space="preserve">    </w:t>
      </w:r>
      <w:r>
        <w:rPr>
          <w:rFonts w:hint="eastAsia" w:ascii="仿宋" w:hAnsi="仿宋" w:eastAsia="仿宋" w:cs="仿宋"/>
          <w:bCs/>
          <w:color w:val="auto"/>
          <w:sz w:val="24"/>
          <w:szCs w:val="21"/>
        </w:rPr>
        <w:t>日</w:t>
      </w: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contextualSpacing/>
        <w:rPr>
          <w:rFonts w:hint="eastAsia" w:ascii="仿宋" w:hAnsi="仿宋" w:eastAsia="仿宋" w:cs="仿宋"/>
          <w:color w:val="auto"/>
          <w:kern w:val="0"/>
          <w:sz w:val="32"/>
          <w:szCs w:val="32"/>
          <w:lang w:val="zh-CN"/>
        </w:rPr>
      </w:pPr>
    </w:p>
    <w:p>
      <w:pPr>
        <w:snapToGrid w:val="0"/>
        <w:spacing w:line="400" w:lineRule="exact"/>
        <w:contextualSpacing/>
        <w:rPr>
          <w:rFonts w:hint="eastAsia" w:ascii="仿宋" w:hAnsi="仿宋" w:eastAsia="仿宋" w:cs="仿宋"/>
          <w:color w:val="auto"/>
          <w:kern w:val="0"/>
          <w:sz w:val="32"/>
          <w:szCs w:val="32"/>
          <w:lang w:val="zh-CN"/>
        </w:rPr>
      </w:pPr>
    </w:p>
    <w:p>
      <w:pPr>
        <w:snapToGrid w:val="0"/>
        <w:spacing w:line="400" w:lineRule="exact"/>
        <w:contextualSpacing/>
        <w:rPr>
          <w:rFonts w:hint="eastAsia" w:ascii="仿宋" w:hAnsi="仿宋" w:eastAsia="仿宋" w:cs="仿宋"/>
          <w:color w:val="auto"/>
          <w:kern w:val="0"/>
          <w:sz w:val="32"/>
          <w:szCs w:val="32"/>
          <w:lang w:val="zh-CN"/>
        </w:rPr>
      </w:pPr>
    </w:p>
    <w:p>
      <w:pPr>
        <w:snapToGrid w:val="0"/>
        <w:spacing w:line="400" w:lineRule="exact"/>
        <w:contextualSpacing/>
        <w:rPr>
          <w:rFonts w:hint="eastAsia" w:ascii="仿宋" w:hAnsi="仿宋" w:eastAsia="仿宋" w:cs="仿宋"/>
          <w:color w:val="auto"/>
          <w:kern w:val="0"/>
          <w:sz w:val="32"/>
          <w:szCs w:val="32"/>
          <w:lang w:val="zh-CN"/>
        </w:rPr>
      </w:pPr>
    </w:p>
    <w:p>
      <w:pPr>
        <w:snapToGrid w:val="0"/>
        <w:spacing w:line="400" w:lineRule="exact"/>
        <w:contextualSpacing/>
        <w:rPr>
          <w:rFonts w:hint="eastAsia" w:ascii="仿宋" w:hAnsi="仿宋" w:eastAsia="仿宋" w:cs="仿宋"/>
          <w:color w:val="auto"/>
          <w:kern w:val="0"/>
          <w:sz w:val="32"/>
          <w:szCs w:val="32"/>
          <w:lang w:val="zh-CN"/>
        </w:rPr>
      </w:pPr>
    </w:p>
    <w:p>
      <w:pPr>
        <w:snapToGrid w:val="0"/>
        <w:spacing w:line="400" w:lineRule="exact"/>
        <w:contextualSpacing/>
        <w:rPr>
          <w:rFonts w:hint="eastAsia" w:ascii="仿宋" w:hAnsi="仿宋" w:eastAsia="仿宋" w:cs="仿宋"/>
          <w:color w:val="auto"/>
          <w:kern w:val="0"/>
          <w:sz w:val="32"/>
          <w:szCs w:val="32"/>
          <w:lang w:val="zh-CN"/>
        </w:rPr>
      </w:pPr>
    </w:p>
    <w:p>
      <w:pPr>
        <w:snapToGrid w:val="0"/>
        <w:spacing w:line="400" w:lineRule="exact"/>
        <w:contextualSpacing/>
        <w:rPr>
          <w:rFonts w:hint="eastAsia" w:ascii="仿宋" w:hAnsi="仿宋" w:eastAsia="仿宋" w:cs="仿宋"/>
          <w:color w:val="auto"/>
          <w:kern w:val="0"/>
          <w:sz w:val="32"/>
          <w:szCs w:val="32"/>
          <w:lang w:val="zh-CN"/>
        </w:rPr>
      </w:pPr>
    </w:p>
    <w:p>
      <w:pPr>
        <w:snapToGrid w:val="0"/>
        <w:spacing w:line="400" w:lineRule="exact"/>
        <w:contextualSpacing/>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附件2</w:t>
      </w:r>
    </w:p>
    <w:p>
      <w:pPr>
        <w:spacing w:line="560" w:lineRule="exact"/>
        <w:jc w:val="center"/>
        <w:rPr>
          <w:rFonts w:hint="eastAsia" w:ascii="仿宋" w:hAnsi="仿宋" w:eastAsia="仿宋" w:cs="仿宋"/>
          <w:b/>
          <w:bCs/>
          <w:color w:val="auto"/>
          <w:sz w:val="32"/>
          <w:szCs w:val="32"/>
        </w:rPr>
      </w:pPr>
    </w:p>
    <w:p>
      <w:pPr>
        <w:spacing w:line="560" w:lineRule="exact"/>
        <w:jc w:val="center"/>
        <w:rPr>
          <w:rFonts w:hint="eastAsia" w:ascii="仿宋" w:hAnsi="仿宋" w:eastAsia="仿宋" w:cs="仿宋"/>
          <w:b/>
          <w:bCs/>
          <w:color w:val="auto"/>
          <w:sz w:val="32"/>
          <w:szCs w:val="32"/>
        </w:rPr>
      </w:pPr>
    </w:p>
    <w:p>
      <w:pPr>
        <w:spacing w:line="560" w:lineRule="exact"/>
        <w:jc w:val="center"/>
        <w:rPr>
          <w:rFonts w:hint="eastAsia" w:ascii="仿宋" w:hAnsi="仿宋" w:eastAsia="仿宋" w:cs="仿宋"/>
          <w:b/>
          <w:bCs/>
          <w:color w:val="auto"/>
          <w:sz w:val="32"/>
          <w:szCs w:val="32"/>
        </w:rPr>
      </w:pPr>
    </w:p>
    <w:p>
      <w:pPr>
        <w:spacing w:line="56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法定代表人身份证明</w:t>
      </w:r>
    </w:p>
    <w:p>
      <w:pPr>
        <w:spacing w:line="480" w:lineRule="exact"/>
        <w:rPr>
          <w:rFonts w:hint="eastAsia" w:ascii="仿宋" w:hAnsi="仿宋" w:eastAsia="仿宋" w:cs="仿宋"/>
          <w:color w:val="auto"/>
          <w:sz w:val="24"/>
        </w:rPr>
      </w:pPr>
    </w:p>
    <w:p>
      <w:pPr>
        <w:spacing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先生/女士： 现任我单位</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职务，为法定代表人，特此证明。</w:t>
      </w:r>
    </w:p>
    <w:p>
      <w:pPr>
        <w:spacing w:line="480" w:lineRule="exact"/>
        <w:ind w:firstLine="480"/>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pPr>
        <w:spacing w:line="480" w:lineRule="exact"/>
        <w:ind w:firstLine="480"/>
        <w:rPr>
          <w:rFonts w:hint="eastAsia" w:ascii="仿宋" w:hAnsi="仿宋" w:eastAsia="仿宋" w:cs="仿宋"/>
          <w:color w:val="auto"/>
          <w:sz w:val="24"/>
        </w:rPr>
      </w:pPr>
    </w:p>
    <w:p>
      <w:pPr>
        <w:spacing w:line="600" w:lineRule="exact"/>
        <w:rPr>
          <w:rFonts w:hint="eastAsia" w:ascii="仿宋" w:hAnsi="仿宋" w:eastAsia="仿宋" w:cs="仿宋"/>
          <w:b/>
          <w:color w:val="auto"/>
          <w:sz w:val="24"/>
        </w:rPr>
      </w:pPr>
      <w:r>
        <w:rPr>
          <w:rFonts w:hint="eastAsia" w:ascii="仿宋" w:hAnsi="仿宋" w:eastAsia="仿宋" w:cs="仿宋"/>
          <w:b/>
          <w:color w:val="auto"/>
          <w:sz w:val="24"/>
        </w:rPr>
        <w:t>注：提供法定代表人的身份证复印件盖公章</w:t>
      </w:r>
    </w:p>
    <w:p>
      <w:pPr>
        <w:spacing w:line="480" w:lineRule="exact"/>
        <w:ind w:firstLine="480" w:firstLineChars="200"/>
        <w:rPr>
          <w:rFonts w:hint="eastAsia" w:ascii="仿宋" w:hAnsi="仿宋" w:eastAsia="仿宋" w:cs="仿宋"/>
          <w:color w:val="auto"/>
          <w:sz w:val="24"/>
        </w:rPr>
      </w:pPr>
    </w:p>
    <w:p>
      <w:pPr>
        <w:rPr>
          <w:rFonts w:hint="eastAsia" w:ascii="仿宋" w:hAnsi="仿宋" w:eastAsia="仿宋" w:cs="仿宋"/>
          <w:color w:val="auto"/>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ind w:firstLine="540" w:firstLineChars="192"/>
        <w:contextualSpacing/>
        <w:rPr>
          <w:rFonts w:hint="eastAsia" w:ascii="仿宋" w:hAnsi="仿宋" w:eastAsia="仿宋" w:cs="仿宋"/>
          <w:b/>
          <w:color w:val="auto"/>
          <w:kern w:val="0"/>
          <w:sz w:val="28"/>
          <w:szCs w:val="28"/>
          <w:lang w:val="zh-CN"/>
        </w:rPr>
      </w:pPr>
    </w:p>
    <w:p>
      <w:pPr>
        <w:snapToGrid w:val="0"/>
        <w:spacing w:line="400" w:lineRule="exact"/>
        <w:contextualSpacing/>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t>附件3</w:t>
      </w:r>
    </w:p>
    <w:p>
      <w:pPr>
        <w:jc w:val="center"/>
        <w:rPr>
          <w:rFonts w:hint="eastAsia" w:ascii="仿宋" w:hAnsi="仿宋" w:eastAsia="仿宋" w:cs="仿宋"/>
          <w:color w:val="auto"/>
          <w:sz w:val="32"/>
          <w:szCs w:val="32"/>
        </w:rPr>
      </w:pPr>
    </w:p>
    <w:p>
      <w:pPr>
        <w:spacing w:line="460" w:lineRule="exact"/>
        <w:ind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法定代表人授权委托书</w:t>
      </w:r>
    </w:p>
    <w:p>
      <w:pPr>
        <w:spacing w:line="460" w:lineRule="exact"/>
        <w:ind w:firstLine="560" w:firstLineChars="200"/>
        <w:rPr>
          <w:rFonts w:hint="eastAsia" w:ascii="仿宋" w:hAnsi="仿宋" w:eastAsia="仿宋" w:cs="仿宋"/>
          <w:color w:val="auto"/>
          <w:sz w:val="28"/>
          <w:szCs w:val="28"/>
        </w:rPr>
      </w:pP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人------（姓名）系————（授权单位名称）的法定代表人，现委托-------（姓名）（身份证号——————）为我方代理人，以我方名义全权处理与本次采购项目（编号：----------）有关的一切事务，其法律后果由我方承担。</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本授权书于---年---月---日起生效。代理人无转委托权。</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代理人(被授权人):------</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授权单位名称（盖章）：-----</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授权单位法定代表人（签字或盖章）：-----</w:t>
      </w:r>
    </w:p>
    <w:p>
      <w:pPr>
        <w:spacing w:line="460" w:lineRule="exact"/>
        <w:ind w:firstLine="560" w:firstLineChars="200"/>
        <w:jc w:val="right"/>
        <w:rPr>
          <w:rFonts w:hint="eastAsia" w:ascii="仿宋" w:hAnsi="仿宋" w:eastAsia="仿宋" w:cs="仿宋"/>
          <w:color w:val="auto"/>
          <w:sz w:val="28"/>
          <w:szCs w:val="28"/>
        </w:rPr>
      </w:pPr>
    </w:p>
    <w:p>
      <w:pPr>
        <w:spacing w:line="460" w:lineRule="exact"/>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XXXX年XX月XX日</w:t>
      </w:r>
    </w:p>
    <w:p>
      <w:pPr>
        <w:snapToGrid w:val="0"/>
        <w:spacing w:line="460" w:lineRule="exact"/>
        <w:ind w:firstLine="562" w:firstLineChars="200"/>
        <w:contextualSpacing/>
        <w:rPr>
          <w:rFonts w:hint="eastAsia" w:ascii="仿宋" w:hAnsi="仿宋" w:eastAsia="仿宋" w:cs="仿宋"/>
          <w:b/>
          <w:color w:val="auto"/>
          <w:kern w:val="0"/>
          <w:sz w:val="28"/>
          <w:szCs w:val="28"/>
        </w:rPr>
      </w:pPr>
    </w:p>
    <w:p>
      <w:pPr>
        <w:snapToGrid w:val="0"/>
        <w:spacing w:line="460" w:lineRule="exact"/>
        <w:ind w:firstLine="562" w:firstLineChars="200"/>
        <w:contextualSpacing/>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注：提供投标代表本人身份证复印件盖公章</w:t>
      </w:r>
    </w:p>
    <w:p>
      <w:pPr>
        <w:snapToGrid w:val="0"/>
        <w:spacing w:line="460" w:lineRule="exact"/>
        <w:ind w:firstLine="562" w:firstLineChars="200"/>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37" w:firstLineChars="192"/>
        <w:contextualSpacing/>
        <w:rPr>
          <w:rFonts w:hint="eastAsia" w:ascii="仿宋" w:hAnsi="仿宋" w:eastAsia="仿宋" w:cs="仿宋"/>
          <w:color w:val="auto"/>
          <w:sz w:val="28"/>
          <w:szCs w:val="28"/>
        </w:rPr>
      </w:pPr>
    </w:p>
    <w:p>
      <w:pPr>
        <w:snapToGrid w:val="0"/>
        <w:spacing w:line="400" w:lineRule="exact"/>
        <w:ind w:firstLine="537" w:firstLineChars="192"/>
        <w:contextualSpacing/>
        <w:rPr>
          <w:rFonts w:hint="eastAsia" w:ascii="仿宋" w:hAnsi="仿宋" w:eastAsia="仿宋" w:cs="仿宋"/>
          <w:color w:val="auto"/>
          <w:sz w:val="28"/>
          <w:szCs w:val="28"/>
        </w:rPr>
      </w:pPr>
    </w:p>
    <w:p>
      <w:pPr>
        <w:pStyle w:val="2"/>
        <w:rPr>
          <w:rFonts w:hint="eastAsia" w:ascii="仿宋" w:hAnsi="仿宋" w:eastAsia="仿宋" w:cs="仿宋"/>
          <w:color w:val="auto"/>
          <w:sz w:val="28"/>
          <w:szCs w:val="28"/>
          <w:lang w:eastAsia="zh-CN"/>
        </w:rPr>
      </w:pPr>
    </w:p>
    <w:p>
      <w:pPr>
        <w:pStyle w:val="2"/>
        <w:rPr>
          <w:rFonts w:hint="eastAsia" w:ascii="仿宋" w:hAnsi="仿宋" w:eastAsia="仿宋" w:cs="仿宋"/>
          <w:color w:val="auto"/>
          <w:sz w:val="28"/>
          <w:szCs w:val="28"/>
          <w:lang w:eastAsia="zh-CN"/>
        </w:rPr>
      </w:pPr>
    </w:p>
    <w:p>
      <w:pPr>
        <w:pStyle w:val="2"/>
        <w:rPr>
          <w:rFonts w:hint="eastAsia" w:ascii="仿宋" w:hAnsi="仿宋" w:eastAsia="仿宋" w:cs="仿宋"/>
          <w:color w:val="auto"/>
          <w:sz w:val="28"/>
          <w:szCs w:val="28"/>
          <w:lang w:eastAsia="zh-CN"/>
        </w:rPr>
      </w:pPr>
    </w:p>
    <w:p>
      <w:pPr>
        <w:pStyle w:val="2"/>
        <w:rPr>
          <w:rFonts w:hint="eastAsia" w:ascii="仿宋" w:hAnsi="仿宋" w:eastAsia="仿宋" w:cs="仿宋"/>
          <w:color w:val="auto"/>
          <w:sz w:val="28"/>
          <w:szCs w:val="28"/>
          <w:lang w:eastAsia="zh-CN"/>
        </w:rPr>
      </w:pPr>
    </w:p>
    <w:p>
      <w:pPr>
        <w:pStyle w:val="2"/>
        <w:rPr>
          <w:rFonts w:hint="eastAsia" w:ascii="仿宋" w:hAnsi="仿宋" w:eastAsia="仿宋" w:cs="仿宋"/>
          <w:color w:val="auto"/>
          <w:sz w:val="28"/>
          <w:szCs w:val="28"/>
          <w:lang w:eastAsia="zh-CN"/>
        </w:rPr>
      </w:pPr>
    </w:p>
    <w:p>
      <w:pPr>
        <w:pStyle w:val="2"/>
        <w:rPr>
          <w:rFonts w:hint="eastAsia" w:ascii="仿宋" w:hAnsi="仿宋" w:eastAsia="仿宋" w:cs="仿宋"/>
          <w:color w:val="auto"/>
          <w:sz w:val="28"/>
          <w:szCs w:val="28"/>
          <w:lang w:eastAsia="zh-CN"/>
        </w:rPr>
      </w:pPr>
    </w:p>
    <w:p>
      <w:pPr>
        <w:pStyle w:val="2"/>
        <w:rPr>
          <w:rFonts w:hint="eastAsia" w:ascii="仿宋" w:hAnsi="仿宋" w:eastAsia="仿宋" w:cs="仿宋"/>
          <w:color w:val="auto"/>
          <w:sz w:val="28"/>
          <w:szCs w:val="28"/>
          <w:lang w:eastAsia="zh-CN"/>
        </w:rPr>
      </w:pPr>
    </w:p>
    <w:p>
      <w:pPr>
        <w:snapToGrid w:val="0"/>
        <w:spacing w:line="400" w:lineRule="exact"/>
        <w:contextualSpacing/>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附件4</w:t>
      </w:r>
    </w:p>
    <w:p>
      <w:pPr>
        <w:tabs>
          <w:tab w:val="left" w:pos="1260"/>
        </w:tabs>
        <w:snapToGrid w:val="0"/>
        <w:spacing w:line="300" w:lineRule="auto"/>
        <w:contextualSpacing/>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供应商情况一览表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pPr>
              <w:tabs>
                <w:tab w:val="left" w:pos="4320"/>
              </w:tabs>
              <w:jc w:val="center"/>
              <w:rPr>
                <w:rFonts w:hint="eastAsia" w:ascii="仿宋" w:hAnsi="仿宋" w:eastAsia="仿宋" w:cs="仿宋"/>
                <w:color w:val="auto"/>
                <w:sz w:val="24"/>
              </w:rPr>
            </w:pPr>
            <w:r>
              <w:rPr>
                <w:rFonts w:hint="eastAsia" w:ascii="仿宋" w:hAnsi="仿宋" w:eastAsia="仿宋" w:cs="仿宋"/>
                <w:color w:val="auto"/>
                <w:sz w:val="24"/>
              </w:rPr>
              <w:t>单位名称</w:t>
            </w:r>
          </w:p>
        </w:tc>
        <w:tc>
          <w:tcPr>
            <w:tcW w:w="7923" w:type="dxa"/>
            <w:gridSpan w:val="10"/>
            <w:tcBorders>
              <w:top w:val="double" w:color="auto" w:sz="4" w:space="0"/>
              <w:right w:val="double" w:color="auto" w:sz="4" w:space="0"/>
            </w:tcBorders>
            <w:vAlign w:val="center"/>
          </w:tcPr>
          <w:p>
            <w:pPr>
              <w:tabs>
                <w:tab w:val="left" w:pos="4320"/>
              </w:tabs>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pPr>
              <w:tabs>
                <w:tab w:val="left" w:pos="4320"/>
              </w:tabs>
              <w:rPr>
                <w:rFonts w:hint="eastAsia" w:ascii="仿宋" w:hAnsi="仿宋" w:eastAsia="仿宋" w:cs="仿宋"/>
                <w:color w:val="auto"/>
                <w:sz w:val="24"/>
              </w:rPr>
            </w:pPr>
            <w:r>
              <w:rPr>
                <w:rFonts w:hint="eastAsia" w:ascii="仿宋" w:hAnsi="仿宋" w:eastAsia="仿宋" w:cs="仿宋"/>
                <w:color w:val="auto"/>
                <w:sz w:val="24"/>
              </w:rPr>
              <w:t>单位优势及特长</w:t>
            </w:r>
          </w:p>
        </w:tc>
        <w:tc>
          <w:tcPr>
            <w:tcW w:w="7072" w:type="dxa"/>
            <w:gridSpan w:val="9"/>
            <w:tcBorders>
              <w:left w:val="single" w:color="auto" w:sz="4" w:space="0"/>
              <w:right w:val="double" w:color="auto" w:sz="4" w:space="0"/>
            </w:tcBorders>
            <w:vAlign w:val="center"/>
          </w:tcPr>
          <w:p>
            <w:pPr>
              <w:tabs>
                <w:tab w:val="left" w:pos="4320"/>
              </w:tabs>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ind w:left="266" w:hanging="266" w:hangingChars="111"/>
              <w:rPr>
                <w:rFonts w:hint="eastAsia" w:ascii="仿宋" w:hAnsi="仿宋" w:eastAsia="仿宋" w:cs="仿宋"/>
                <w:color w:val="auto"/>
                <w:sz w:val="24"/>
              </w:rPr>
            </w:pPr>
            <w:r>
              <w:rPr>
                <w:rFonts w:hint="eastAsia" w:ascii="仿宋" w:hAnsi="仿宋" w:eastAsia="仿宋" w:cs="仿宋"/>
                <w:color w:val="auto"/>
                <w:sz w:val="24"/>
              </w:rPr>
              <w:t>单位</w:t>
            </w:r>
          </w:p>
          <w:p>
            <w:pPr>
              <w:tabs>
                <w:tab w:val="left" w:pos="4320"/>
              </w:tabs>
              <w:ind w:left="266" w:hanging="266" w:hangingChars="111"/>
              <w:rPr>
                <w:rFonts w:hint="eastAsia" w:ascii="仿宋" w:hAnsi="仿宋" w:eastAsia="仿宋" w:cs="仿宋"/>
                <w:color w:val="auto"/>
                <w:sz w:val="24"/>
              </w:rPr>
            </w:pPr>
            <w:r>
              <w:rPr>
                <w:rFonts w:hint="eastAsia" w:ascii="仿宋" w:hAnsi="仿宋" w:eastAsia="仿宋" w:cs="仿宋"/>
                <w:color w:val="auto"/>
                <w:sz w:val="24"/>
              </w:rPr>
              <w:t>概况</w:t>
            </w:r>
          </w:p>
        </w:tc>
        <w:tc>
          <w:tcPr>
            <w:tcW w:w="1276" w:type="dxa"/>
            <w:gridSpan w:val="2"/>
            <w:vAlign w:val="center"/>
          </w:tcPr>
          <w:p>
            <w:pPr>
              <w:tabs>
                <w:tab w:val="left" w:pos="4320"/>
              </w:tabs>
              <w:jc w:val="center"/>
              <w:rPr>
                <w:rFonts w:hint="eastAsia" w:ascii="仿宋" w:hAnsi="仿宋" w:eastAsia="仿宋" w:cs="仿宋"/>
                <w:color w:val="auto"/>
                <w:sz w:val="24"/>
              </w:rPr>
            </w:pPr>
            <w:r>
              <w:rPr>
                <w:rFonts w:hint="eastAsia" w:ascii="仿宋" w:hAnsi="仿宋" w:eastAsia="仿宋" w:cs="仿宋"/>
                <w:color w:val="auto"/>
                <w:sz w:val="24"/>
              </w:rPr>
              <w:t>职工总数</w:t>
            </w:r>
          </w:p>
        </w:tc>
        <w:tc>
          <w:tcPr>
            <w:tcW w:w="1417" w:type="dxa"/>
            <w:gridSpan w:val="2"/>
            <w:vAlign w:val="center"/>
          </w:tcPr>
          <w:p>
            <w:pPr>
              <w:tabs>
                <w:tab w:val="left" w:pos="4320"/>
              </w:tabs>
              <w:jc w:val="right"/>
              <w:rPr>
                <w:rFonts w:hint="eastAsia" w:ascii="仿宋" w:hAnsi="仿宋" w:eastAsia="仿宋" w:cs="仿宋"/>
                <w:color w:val="auto"/>
                <w:sz w:val="24"/>
              </w:rPr>
            </w:pPr>
            <w:r>
              <w:rPr>
                <w:rFonts w:hint="eastAsia" w:ascii="仿宋" w:hAnsi="仿宋" w:eastAsia="仿宋" w:cs="仿宋"/>
                <w:color w:val="auto"/>
                <w:sz w:val="24"/>
              </w:rPr>
              <w:t>人</w:t>
            </w:r>
          </w:p>
        </w:tc>
        <w:tc>
          <w:tcPr>
            <w:tcW w:w="567" w:type="dxa"/>
            <w:vMerge w:val="restart"/>
            <w:vAlign w:val="center"/>
          </w:tcPr>
          <w:p>
            <w:pPr>
              <w:tabs>
                <w:tab w:val="left" w:pos="4320"/>
              </w:tabs>
              <w:rPr>
                <w:rFonts w:hint="eastAsia" w:ascii="仿宋" w:hAnsi="仿宋" w:eastAsia="仿宋" w:cs="仿宋"/>
                <w:color w:val="auto"/>
                <w:sz w:val="24"/>
              </w:rPr>
            </w:pPr>
            <w:r>
              <w:rPr>
                <w:rFonts w:hint="eastAsia" w:ascii="仿宋" w:hAnsi="仿宋" w:eastAsia="仿宋" w:cs="仿宋"/>
                <w:color w:val="auto"/>
                <w:sz w:val="24"/>
              </w:rPr>
              <w:t>上一年主要经济指标</w:t>
            </w:r>
          </w:p>
        </w:tc>
        <w:tc>
          <w:tcPr>
            <w:tcW w:w="946" w:type="dxa"/>
            <w:vAlign w:val="center"/>
          </w:tcPr>
          <w:p>
            <w:pPr>
              <w:tabs>
                <w:tab w:val="left" w:pos="4320"/>
              </w:tabs>
              <w:jc w:val="center"/>
              <w:rPr>
                <w:rFonts w:hint="eastAsia" w:ascii="仿宋" w:hAnsi="仿宋" w:eastAsia="仿宋" w:cs="仿宋"/>
                <w:color w:val="auto"/>
                <w:sz w:val="24"/>
              </w:rPr>
            </w:pPr>
            <w:r>
              <w:rPr>
                <w:rFonts w:hint="eastAsia" w:ascii="仿宋" w:hAnsi="仿宋" w:eastAsia="仿宋" w:cs="仿宋"/>
                <w:color w:val="auto"/>
                <w:sz w:val="24"/>
              </w:rPr>
              <w:t>营业额</w:t>
            </w:r>
          </w:p>
        </w:tc>
        <w:tc>
          <w:tcPr>
            <w:tcW w:w="1414" w:type="dxa"/>
            <w:gridSpan w:val="2"/>
            <w:vAlign w:val="center"/>
          </w:tcPr>
          <w:p>
            <w:pPr>
              <w:tabs>
                <w:tab w:val="left" w:pos="4320"/>
              </w:tabs>
              <w:rPr>
                <w:rFonts w:hint="eastAsia" w:ascii="仿宋" w:hAnsi="仿宋" w:eastAsia="仿宋" w:cs="仿宋"/>
                <w:color w:val="auto"/>
                <w:sz w:val="24"/>
              </w:rPr>
            </w:pPr>
          </w:p>
        </w:tc>
        <w:tc>
          <w:tcPr>
            <w:tcW w:w="1184" w:type="dxa"/>
            <w:gridSpan w:val="2"/>
            <w:vAlign w:val="center"/>
          </w:tcPr>
          <w:p>
            <w:pPr>
              <w:tabs>
                <w:tab w:val="left" w:pos="4320"/>
              </w:tabs>
              <w:jc w:val="center"/>
              <w:rPr>
                <w:rFonts w:hint="eastAsia" w:ascii="仿宋" w:hAnsi="仿宋" w:eastAsia="仿宋" w:cs="仿宋"/>
                <w:color w:val="auto"/>
                <w:sz w:val="24"/>
              </w:rPr>
            </w:pPr>
            <w:r>
              <w:rPr>
                <w:rFonts w:hint="eastAsia" w:ascii="仿宋" w:hAnsi="仿宋" w:eastAsia="仿宋" w:cs="仿宋"/>
                <w:color w:val="auto"/>
                <w:sz w:val="24"/>
              </w:rPr>
              <w:t>实现利润</w:t>
            </w:r>
          </w:p>
        </w:tc>
        <w:tc>
          <w:tcPr>
            <w:tcW w:w="1544" w:type="dxa"/>
            <w:tcBorders>
              <w:right w:val="double" w:color="auto" w:sz="4" w:space="0"/>
            </w:tcBorders>
            <w:vAlign w:val="center"/>
          </w:tcPr>
          <w:p>
            <w:pPr>
              <w:tabs>
                <w:tab w:val="left" w:pos="4320"/>
              </w:tabs>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ind w:left="266" w:hanging="266" w:hangingChars="111"/>
              <w:rPr>
                <w:rFonts w:hint="eastAsia" w:ascii="仿宋" w:hAnsi="仿宋" w:eastAsia="仿宋" w:cs="仿宋"/>
                <w:color w:val="auto"/>
                <w:sz w:val="24"/>
              </w:rPr>
            </w:pPr>
          </w:p>
        </w:tc>
        <w:tc>
          <w:tcPr>
            <w:tcW w:w="1276" w:type="dxa"/>
            <w:gridSpan w:val="2"/>
            <w:vAlign w:val="center"/>
          </w:tcPr>
          <w:p>
            <w:pPr>
              <w:tabs>
                <w:tab w:val="left" w:pos="4320"/>
              </w:tabs>
              <w:jc w:val="center"/>
              <w:rPr>
                <w:rFonts w:hint="eastAsia" w:ascii="仿宋" w:hAnsi="仿宋" w:eastAsia="仿宋" w:cs="仿宋"/>
                <w:color w:val="auto"/>
                <w:sz w:val="24"/>
              </w:rPr>
            </w:pPr>
            <w:r>
              <w:rPr>
                <w:rFonts w:hint="eastAsia" w:ascii="仿宋" w:hAnsi="仿宋" w:eastAsia="仿宋" w:cs="仿宋"/>
                <w:color w:val="auto"/>
                <w:sz w:val="24"/>
              </w:rPr>
              <w:t>流动资金</w:t>
            </w:r>
          </w:p>
        </w:tc>
        <w:tc>
          <w:tcPr>
            <w:tcW w:w="1417" w:type="dxa"/>
            <w:gridSpan w:val="2"/>
            <w:vAlign w:val="center"/>
          </w:tcPr>
          <w:p>
            <w:pPr>
              <w:tabs>
                <w:tab w:val="left" w:pos="4320"/>
              </w:tabs>
              <w:jc w:val="right"/>
              <w:rPr>
                <w:rFonts w:hint="eastAsia" w:ascii="仿宋" w:hAnsi="仿宋" w:eastAsia="仿宋" w:cs="仿宋"/>
                <w:color w:val="auto"/>
                <w:sz w:val="24"/>
              </w:rPr>
            </w:pPr>
            <w:r>
              <w:rPr>
                <w:rFonts w:hint="eastAsia" w:ascii="仿宋" w:hAnsi="仿宋" w:eastAsia="仿宋" w:cs="仿宋"/>
                <w:color w:val="auto"/>
                <w:sz w:val="24"/>
              </w:rPr>
              <w:t>万元</w:t>
            </w:r>
          </w:p>
        </w:tc>
        <w:tc>
          <w:tcPr>
            <w:tcW w:w="567" w:type="dxa"/>
            <w:vMerge w:val="continue"/>
            <w:vAlign w:val="center"/>
          </w:tcPr>
          <w:p>
            <w:pPr>
              <w:tabs>
                <w:tab w:val="left" w:pos="4320"/>
              </w:tabs>
              <w:rPr>
                <w:rFonts w:hint="eastAsia" w:ascii="仿宋" w:hAnsi="仿宋" w:eastAsia="仿宋" w:cs="仿宋"/>
                <w:color w:val="auto"/>
                <w:sz w:val="24"/>
              </w:rPr>
            </w:pPr>
          </w:p>
        </w:tc>
        <w:tc>
          <w:tcPr>
            <w:tcW w:w="946" w:type="dxa"/>
            <w:vMerge w:val="restart"/>
            <w:vAlign w:val="center"/>
          </w:tcPr>
          <w:p>
            <w:pPr>
              <w:tabs>
                <w:tab w:val="left" w:pos="4320"/>
              </w:tabs>
              <w:jc w:val="center"/>
              <w:rPr>
                <w:rFonts w:hint="eastAsia" w:ascii="仿宋" w:hAnsi="仿宋" w:eastAsia="仿宋" w:cs="仿宋"/>
                <w:color w:val="auto"/>
                <w:sz w:val="24"/>
              </w:rPr>
            </w:pPr>
            <w:r>
              <w:rPr>
                <w:rFonts w:hint="eastAsia" w:ascii="仿宋" w:hAnsi="仿宋" w:eastAsia="仿宋" w:cs="仿宋"/>
                <w:color w:val="auto"/>
                <w:sz w:val="24"/>
              </w:rPr>
              <w:t>主要</w:t>
            </w:r>
          </w:p>
          <w:p>
            <w:pPr>
              <w:tabs>
                <w:tab w:val="left" w:pos="4320"/>
              </w:tabs>
              <w:jc w:val="center"/>
              <w:rPr>
                <w:rFonts w:hint="eastAsia" w:ascii="仿宋" w:hAnsi="仿宋" w:eastAsia="仿宋" w:cs="仿宋"/>
                <w:color w:val="auto"/>
                <w:sz w:val="24"/>
              </w:rPr>
            </w:pPr>
            <w:r>
              <w:rPr>
                <w:rFonts w:hint="eastAsia" w:ascii="仿宋" w:hAnsi="仿宋" w:eastAsia="仿宋" w:cs="仿宋"/>
                <w:color w:val="auto"/>
                <w:sz w:val="24"/>
              </w:rPr>
              <w:t>产品</w:t>
            </w:r>
          </w:p>
        </w:tc>
        <w:tc>
          <w:tcPr>
            <w:tcW w:w="4142" w:type="dxa"/>
            <w:gridSpan w:val="5"/>
            <w:tcBorders>
              <w:right w:val="double" w:color="auto" w:sz="4" w:space="0"/>
            </w:tcBorders>
            <w:vAlign w:val="center"/>
          </w:tcPr>
          <w:p>
            <w:pPr>
              <w:tabs>
                <w:tab w:val="left" w:pos="4320"/>
              </w:tabs>
              <w:spacing w:before="120" w:after="120"/>
              <w:rPr>
                <w:rFonts w:hint="eastAsia" w:ascii="仿宋" w:hAnsi="仿宋" w:eastAsia="仿宋" w:cs="仿宋"/>
                <w:color w:val="auto"/>
                <w:sz w:val="24"/>
              </w:rPr>
            </w:pPr>
            <w:r>
              <w:rPr>
                <w:rFonts w:hint="eastAsia" w:ascii="仿宋" w:hAnsi="仿宋" w:eastAsia="仿宋" w:cs="仿宋"/>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pPr>
              <w:tabs>
                <w:tab w:val="left" w:pos="4320"/>
              </w:tabs>
              <w:ind w:left="266" w:hanging="266" w:hangingChars="111"/>
              <w:rPr>
                <w:rFonts w:hint="eastAsia" w:ascii="仿宋" w:hAnsi="仿宋" w:eastAsia="仿宋" w:cs="仿宋"/>
                <w:color w:val="auto"/>
                <w:sz w:val="24"/>
              </w:rPr>
            </w:pPr>
          </w:p>
        </w:tc>
        <w:tc>
          <w:tcPr>
            <w:tcW w:w="1276" w:type="dxa"/>
            <w:gridSpan w:val="2"/>
            <w:vAlign w:val="center"/>
          </w:tcPr>
          <w:p>
            <w:pPr>
              <w:tabs>
                <w:tab w:val="left" w:pos="4320"/>
              </w:tabs>
              <w:jc w:val="center"/>
              <w:rPr>
                <w:rFonts w:hint="eastAsia" w:ascii="仿宋" w:hAnsi="仿宋" w:eastAsia="仿宋" w:cs="仿宋"/>
                <w:color w:val="auto"/>
                <w:sz w:val="24"/>
              </w:rPr>
            </w:pPr>
            <w:r>
              <w:rPr>
                <w:rFonts w:hint="eastAsia" w:ascii="仿宋" w:hAnsi="仿宋" w:eastAsia="仿宋" w:cs="仿宋"/>
                <w:color w:val="auto"/>
                <w:sz w:val="24"/>
              </w:rPr>
              <w:t>固定资产</w:t>
            </w:r>
          </w:p>
          <w:p>
            <w:pPr>
              <w:tabs>
                <w:tab w:val="left" w:pos="4320"/>
              </w:tabs>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417" w:type="dxa"/>
            <w:gridSpan w:val="2"/>
            <w:vAlign w:val="center"/>
          </w:tcPr>
          <w:p>
            <w:pPr>
              <w:tabs>
                <w:tab w:val="left" w:pos="-48"/>
                <w:tab w:val="left" w:pos="4320"/>
              </w:tabs>
              <w:ind w:right="-133" w:hanging="48"/>
              <w:rPr>
                <w:rFonts w:hint="eastAsia" w:ascii="仿宋" w:hAnsi="仿宋" w:eastAsia="仿宋" w:cs="仿宋"/>
                <w:color w:val="auto"/>
                <w:sz w:val="24"/>
              </w:rPr>
            </w:pPr>
            <w:r>
              <w:rPr>
                <w:rFonts w:hint="eastAsia" w:ascii="仿宋" w:hAnsi="仿宋" w:eastAsia="仿宋" w:cs="仿宋"/>
                <w:color w:val="auto"/>
                <w:sz w:val="24"/>
              </w:rPr>
              <w:t>原值：</w:t>
            </w:r>
          </w:p>
          <w:p>
            <w:pPr>
              <w:tabs>
                <w:tab w:val="left" w:pos="-48"/>
                <w:tab w:val="left" w:pos="4320"/>
              </w:tabs>
              <w:ind w:hanging="48"/>
              <w:jc w:val="right"/>
              <w:rPr>
                <w:rFonts w:hint="eastAsia" w:ascii="仿宋" w:hAnsi="仿宋" w:eastAsia="仿宋" w:cs="仿宋"/>
                <w:color w:val="auto"/>
                <w:sz w:val="24"/>
              </w:rPr>
            </w:pPr>
          </w:p>
          <w:p>
            <w:pPr>
              <w:tabs>
                <w:tab w:val="left" w:pos="-48"/>
                <w:tab w:val="left" w:pos="4320"/>
              </w:tabs>
              <w:ind w:right="-133" w:hanging="48"/>
              <w:rPr>
                <w:rFonts w:hint="eastAsia" w:ascii="仿宋" w:hAnsi="仿宋" w:eastAsia="仿宋" w:cs="仿宋"/>
                <w:color w:val="auto"/>
                <w:sz w:val="24"/>
              </w:rPr>
            </w:pPr>
            <w:r>
              <w:rPr>
                <w:rFonts w:hint="eastAsia" w:ascii="仿宋" w:hAnsi="仿宋" w:eastAsia="仿宋" w:cs="仿宋"/>
                <w:color w:val="auto"/>
                <w:sz w:val="24"/>
              </w:rPr>
              <w:t>净值：</w:t>
            </w:r>
          </w:p>
          <w:p>
            <w:pPr>
              <w:tabs>
                <w:tab w:val="left" w:pos="-48"/>
                <w:tab w:val="left" w:pos="4320"/>
              </w:tabs>
              <w:ind w:hanging="48"/>
              <w:jc w:val="right"/>
              <w:rPr>
                <w:rFonts w:hint="eastAsia" w:ascii="仿宋" w:hAnsi="仿宋" w:eastAsia="仿宋" w:cs="仿宋"/>
                <w:color w:val="auto"/>
                <w:sz w:val="24"/>
              </w:rPr>
            </w:pPr>
          </w:p>
        </w:tc>
        <w:tc>
          <w:tcPr>
            <w:tcW w:w="567" w:type="dxa"/>
            <w:vMerge w:val="continue"/>
            <w:vAlign w:val="center"/>
          </w:tcPr>
          <w:p>
            <w:pPr>
              <w:tabs>
                <w:tab w:val="left" w:pos="4320"/>
              </w:tabs>
              <w:rPr>
                <w:rFonts w:hint="eastAsia" w:ascii="仿宋" w:hAnsi="仿宋" w:eastAsia="仿宋" w:cs="仿宋"/>
                <w:color w:val="auto"/>
                <w:sz w:val="24"/>
              </w:rPr>
            </w:pPr>
          </w:p>
        </w:tc>
        <w:tc>
          <w:tcPr>
            <w:tcW w:w="946" w:type="dxa"/>
            <w:vMerge w:val="continue"/>
            <w:vAlign w:val="center"/>
          </w:tcPr>
          <w:p>
            <w:pPr>
              <w:tabs>
                <w:tab w:val="left" w:pos="4320"/>
              </w:tabs>
              <w:jc w:val="center"/>
              <w:rPr>
                <w:rFonts w:hint="eastAsia" w:ascii="仿宋" w:hAnsi="仿宋" w:eastAsia="仿宋" w:cs="仿宋"/>
                <w:color w:val="auto"/>
                <w:sz w:val="24"/>
              </w:rPr>
            </w:pPr>
          </w:p>
        </w:tc>
        <w:tc>
          <w:tcPr>
            <w:tcW w:w="4142" w:type="dxa"/>
            <w:gridSpan w:val="5"/>
            <w:tcBorders>
              <w:right w:val="double" w:color="auto" w:sz="4" w:space="0"/>
            </w:tcBorders>
            <w:vAlign w:val="center"/>
          </w:tcPr>
          <w:p>
            <w:pPr>
              <w:tabs>
                <w:tab w:val="left" w:pos="4320"/>
              </w:tabs>
              <w:rPr>
                <w:rFonts w:hint="eastAsia" w:ascii="仿宋" w:hAnsi="仿宋" w:eastAsia="仿宋" w:cs="仿宋"/>
                <w:color w:val="auto"/>
                <w:sz w:val="24"/>
              </w:rPr>
            </w:pPr>
            <w:r>
              <w:rPr>
                <w:rFonts w:hint="eastAsia" w:ascii="仿宋" w:hAnsi="仿宋" w:eastAsia="仿宋" w:cs="仿宋"/>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ind w:left="266" w:hanging="266" w:hangingChars="111"/>
              <w:rPr>
                <w:rFonts w:hint="eastAsia" w:ascii="仿宋" w:hAnsi="仿宋" w:eastAsia="仿宋" w:cs="仿宋"/>
                <w:color w:val="auto"/>
                <w:sz w:val="24"/>
              </w:rPr>
            </w:pPr>
          </w:p>
        </w:tc>
        <w:tc>
          <w:tcPr>
            <w:tcW w:w="1276" w:type="dxa"/>
            <w:gridSpan w:val="2"/>
            <w:vAlign w:val="center"/>
          </w:tcPr>
          <w:p>
            <w:pPr>
              <w:tabs>
                <w:tab w:val="left" w:pos="4320"/>
              </w:tabs>
              <w:jc w:val="center"/>
              <w:rPr>
                <w:rFonts w:hint="eastAsia" w:ascii="仿宋" w:hAnsi="仿宋" w:eastAsia="仿宋" w:cs="仿宋"/>
                <w:color w:val="auto"/>
                <w:sz w:val="24"/>
              </w:rPr>
            </w:pPr>
            <w:r>
              <w:rPr>
                <w:rFonts w:hint="eastAsia" w:ascii="仿宋" w:hAnsi="仿宋" w:eastAsia="仿宋" w:cs="仿宋"/>
                <w:color w:val="auto"/>
                <w:sz w:val="24"/>
              </w:rPr>
              <w:t>占地面积</w:t>
            </w:r>
          </w:p>
        </w:tc>
        <w:tc>
          <w:tcPr>
            <w:tcW w:w="1417" w:type="dxa"/>
            <w:gridSpan w:val="2"/>
            <w:vAlign w:val="center"/>
          </w:tcPr>
          <w:p>
            <w:pPr>
              <w:tabs>
                <w:tab w:val="left" w:pos="4320"/>
              </w:tabs>
              <w:jc w:val="right"/>
              <w:rPr>
                <w:rFonts w:hint="eastAsia" w:ascii="仿宋" w:hAnsi="仿宋" w:eastAsia="仿宋" w:cs="仿宋"/>
                <w:color w:val="auto"/>
                <w:sz w:val="24"/>
              </w:rPr>
            </w:pPr>
            <w:r>
              <w:rPr>
                <w:rFonts w:hint="eastAsia" w:ascii="仿宋" w:hAnsi="仿宋" w:eastAsia="仿宋" w:cs="仿宋"/>
                <w:color w:val="auto"/>
                <w:sz w:val="24"/>
              </w:rPr>
              <w:t>M</w:t>
            </w:r>
            <w:r>
              <w:rPr>
                <w:rFonts w:hint="eastAsia" w:ascii="仿宋" w:hAnsi="仿宋" w:eastAsia="仿宋" w:cs="仿宋"/>
                <w:color w:val="auto"/>
                <w:sz w:val="24"/>
                <w:vertAlign w:val="superscript"/>
              </w:rPr>
              <w:t>2</w:t>
            </w:r>
          </w:p>
        </w:tc>
        <w:tc>
          <w:tcPr>
            <w:tcW w:w="567" w:type="dxa"/>
            <w:vMerge w:val="continue"/>
            <w:vAlign w:val="center"/>
          </w:tcPr>
          <w:p>
            <w:pPr>
              <w:tabs>
                <w:tab w:val="left" w:pos="4320"/>
              </w:tabs>
              <w:rPr>
                <w:rFonts w:hint="eastAsia" w:ascii="仿宋" w:hAnsi="仿宋" w:eastAsia="仿宋" w:cs="仿宋"/>
                <w:color w:val="auto"/>
                <w:sz w:val="24"/>
              </w:rPr>
            </w:pPr>
          </w:p>
        </w:tc>
        <w:tc>
          <w:tcPr>
            <w:tcW w:w="946" w:type="dxa"/>
            <w:vMerge w:val="continue"/>
            <w:vAlign w:val="center"/>
          </w:tcPr>
          <w:p>
            <w:pPr>
              <w:tabs>
                <w:tab w:val="left" w:pos="4320"/>
              </w:tabs>
              <w:jc w:val="center"/>
              <w:rPr>
                <w:rFonts w:hint="eastAsia" w:ascii="仿宋" w:hAnsi="仿宋" w:eastAsia="仿宋" w:cs="仿宋"/>
                <w:color w:val="auto"/>
                <w:sz w:val="24"/>
              </w:rPr>
            </w:pPr>
          </w:p>
        </w:tc>
        <w:tc>
          <w:tcPr>
            <w:tcW w:w="4142" w:type="dxa"/>
            <w:gridSpan w:val="5"/>
            <w:tcBorders>
              <w:right w:val="double" w:color="auto" w:sz="4" w:space="0"/>
            </w:tcBorders>
            <w:vAlign w:val="center"/>
          </w:tcPr>
          <w:p>
            <w:pPr>
              <w:tabs>
                <w:tab w:val="left" w:pos="4320"/>
              </w:tabs>
              <w:spacing w:before="120" w:after="120"/>
              <w:rPr>
                <w:rFonts w:hint="eastAsia" w:ascii="仿宋" w:hAnsi="仿宋" w:eastAsia="仿宋" w:cs="仿宋"/>
                <w:color w:val="auto"/>
                <w:sz w:val="24"/>
              </w:rPr>
            </w:pPr>
            <w:r>
              <w:rPr>
                <w:rFonts w:hint="eastAsia" w:ascii="仿宋" w:hAnsi="仿宋" w:eastAsia="仿宋" w:cs="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ind w:left="266" w:hanging="266" w:hangingChars="111"/>
              <w:rPr>
                <w:rFonts w:hint="eastAsia" w:ascii="仿宋" w:hAnsi="仿宋" w:eastAsia="仿宋" w:cs="仿宋"/>
                <w:color w:val="auto"/>
                <w:sz w:val="24"/>
              </w:rPr>
            </w:pPr>
            <w:r>
              <w:rPr>
                <w:rFonts w:hint="eastAsia" w:ascii="仿宋" w:hAnsi="仿宋" w:eastAsia="仿宋" w:cs="仿宋"/>
                <w:color w:val="auto"/>
                <w:sz w:val="24"/>
              </w:rPr>
              <w:t>本次</w:t>
            </w:r>
          </w:p>
          <w:p>
            <w:pPr>
              <w:tabs>
                <w:tab w:val="left" w:pos="4320"/>
              </w:tabs>
              <w:ind w:left="266" w:hanging="266" w:hangingChars="111"/>
              <w:rPr>
                <w:rFonts w:hint="eastAsia" w:ascii="仿宋" w:hAnsi="仿宋" w:eastAsia="仿宋" w:cs="仿宋"/>
                <w:color w:val="auto"/>
                <w:sz w:val="24"/>
              </w:rPr>
            </w:pPr>
            <w:r>
              <w:rPr>
                <w:rFonts w:hint="eastAsia" w:ascii="仿宋" w:hAnsi="仿宋" w:eastAsia="仿宋" w:cs="仿宋"/>
                <w:color w:val="auto"/>
                <w:sz w:val="24"/>
              </w:rPr>
              <w:t>投标</w:t>
            </w:r>
          </w:p>
          <w:p>
            <w:pPr>
              <w:tabs>
                <w:tab w:val="left" w:pos="4320"/>
              </w:tabs>
              <w:ind w:left="266" w:hanging="266" w:hangingChars="111"/>
              <w:rPr>
                <w:rFonts w:hint="eastAsia" w:ascii="仿宋" w:hAnsi="仿宋" w:eastAsia="仿宋" w:cs="仿宋"/>
                <w:color w:val="auto"/>
                <w:sz w:val="24"/>
              </w:rPr>
            </w:pPr>
            <w:r>
              <w:rPr>
                <w:rFonts w:hint="eastAsia" w:ascii="仿宋" w:hAnsi="仿宋" w:eastAsia="仿宋" w:cs="仿宋"/>
                <w:color w:val="auto"/>
                <w:sz w:val="24"/>
              </w:rPr>
              <w:t>产品</w:t>
            </w:r>
          </w:p>
          <w:p>
            <w:pPr>
              <w:tabs>
                <w:tab w:val="left" w:pos="4320"/>
              </w:tabs>
              <w:ind w:left="266" w:hanging="266" w:hangingChars="111"/>
              <w:rPr>
                <w:rFonts w:hint="eastAsia" w:ascii="仿宋" w:hAnsi="仿宋" w:eastAsia="仿宋" w:cs="仿宋"/>
                <w:color w:val="auto"/>
                <w:sz w:val="24"/>
              </w:rPr>
            </w:pPr>
            <w:r>
              <w:rPr>
                <w:rFonts w:hint="eastAsia" w:ascii="仿宋" w:hAnsi="仿宋" w:eastAsia="仿宋" w:cs="仿宋"/>
                <w:color w:val="auto"/>
                <w:sz w:val="24"/>
              </w:rPr>
              <w:t>情况</w:t>
            </w:r>
          </w:p>
        </w:tc>
        <w:tc>
          <w:tcPr>
            <w:tcW w:w="1643" w:type="dxa"/>
            <w:gridSpan w:val="3"/>
            <w:vAlign w:val="center"/>
          </w:tcPr>
          <w:p>
            <w:pPr>
              <w:tabs>
                <w:tab w:val="left" w:pos="4320"/>
              </w:tabs>
              <w:spacing w:before="60" w:after="60"/>
              <w:jc w:val="center"/>
              <w:rPr>
                <w:rFonts w:hint="eastAsia" w:ascii="仿宋" w:hAnsi="仿宋" w:eastAsia="仿宋" w:cs="仿宋"/>
                <w:color w:val="auto"/>
                <w:sz w:val="24"/>
              </w:rPr>
            </w:pPr>
            <w:r>
              <w:rPr>
                <w:rFonts w:hint="eastAsia" w:ascii="仿宋" w:hAnsi="仿宋" w:eastAsia="仿宋" w:cs="仿宋"/>
                <w:color w:val="auto"/>
                <w:sz w:val="24"/>
              </w:rPr>
              <w:t>本次投标</w:t>
            </w:r>
          </w:p>
          <w:p>
            <w:pPr>
              <w:tabs>
                <w:tab w:val="left" w:pos="4320"/>
              </w:tabs>
              <w:spacing w:before="60" w:after="60"/>
              <w:jc w:val="center"/>
              <w:rPr>
                <w:rFonts w:hint="eastAsia" w:ascii="仿宋" w:hAnsi="仿宋" w:eastAsia="仿宋" w:cs="仿宋"/>
                <w:color w:val="auto"/>
                <w:sz w:val="24"/>
              </w:rPr>
            </w:pPr>
            <w:r>
              <w:rPr>
                <w:rFonts w:hint="eastAsia" w:ascii="仿宋" w:hAnsi="仿宋" w:eastAsia="仿宋" w:cs="仿宋"/>
                <w:color w:val="auto"/>
                <w:sz w:val="24"/>
              </w:rPr>
              <w:t>产品名称</w:t>
            </w:r>
          </w:p>
        </w:tc>
        <w:tc>
          <w:tcPr>
            <w:tcW w:w="1617" w:type="dxa"/>
            <w:gridSpan w:val="2"/>
            <w:vAlign w:val="center"/>
          </w:tcPr>
          <w:p>
            <w:pPr>
              <w:tabs>
                <w:tab w:val="left" w:pos="4320"/>
              </w:tabs>
              <w:spacing w:before="60" w:after="60"/>
              <w:jc w:val="center"/>
              <w:rPr>
                <w:rFonts w:hint="eastAsia" w:ascii="仿宋" w:hAnsi="仿宋" w:eastAsia="仿宋" w:cs="仿宋"/>
                <w:color w:val="auto"/>
                <w:sz w:val="24"/>
              </w:rPr>
            </w:pPr>
            <w:r>
              <w:rPr>
                <w:rFonts w:hint="eastAsia" w:ascii="仿宋" w:hAnsi="仿宋" w:eastAsia="仿宋" w:cs="仿宋"/>
                <w:color w:val="auto"/>
                <w:sz w:val="24"/>
              </w:rPr>
              <w:t>型    号</w:t>
            </w:r>
          </w:p>
        </w:tc>
        <w:tc>
          <w:tcPr>
            <w:tcW w:w="946" w:type="dxa"/>
            <w:vAlign w:val="center"/>
          </w:tcPr>
          <w:p>
            <w:pPr>
              <w:tabs>
                <w:tab w:val="left" w:pos="4320"/>
              </w:tabs>
              <w:spacing w:before="60" w:after="60"/>
              <w:jc w:val="center"/>
              <w:rPr>
                <w:rFonts w:hint="eastAsia" w:ascii="仿宋" w:hAnsi="仿宋" w:eastAsia="仿宋" w:cs="仿宋"/>
                <w:color w:val="auto"/>
                <w:sz w:val="24"/>
              </w:rPr>
            </w:pPr>
            <w:r>
              <w:rPr>
                <w:rFonts w:hint="eastAsia" w:ascii="仿宋" w:hAnsi="仿宋" w:eastAsia="仿宋" w:cs="仿宋"/>
                <w:color w:val="auto"/>
                <w:sz w:val="24"/>
              </w:rPr>
              <w:t>上年</w:t>
            </w:r>
          </w:p>
          <w:p>
            <w:pPr>
              <w:tabs>
                <w:tab w:val="left" w:pos="4320"/>
              </w:tabs>
              <w:spacing w:before="60" w:after="60"/>
              <w:jc w:val="center"/>
              <w:rPr>
                <w:rFonts w:hint="eastAsia" w:ascii="仿宋" w:hAnsi="仿宋" w:eastAsia="仿宋" w:cs="仿宋"/>
                <w:color w:val="auto"/>
                <w:sz w:val="24"/>
              </w:rPr>
            </w:pPr>
            <w:r>
              <w:rPr>
                <w:rFonts w:hint="eastAsia" w:ascii="仿宋" w:hAnsi="仿宋" w:eastAsia="仿宋" w:cs="仿宋"/>
                <w:color w:val="auto"/>
                <w:sz w:val="24"/>
              </w:rPr>
              <w:t>产销量</w:t>
            </w:r>
          </w:p>
        </w:tc>
        <w:tc>
          <w:tcPr>
            <w:tcW w:w="1263" w:type="dxa"/>
            <w:vAlign w:val="center"/>
          </w:tcPr>
          <w:p>
            <w:pPr>
              <w:tabs>
                <w:tab w:val="left" w:pos="4320"/>
              </w:tabs>
              <w:spacing w:before="60" w:after="60"/>
              <w:jc w:val="center"/>
              <w:rPr>
                <w:rFonts w:hint="eastAsia" w:ascii="仿宋" w:hAnsi="仿宋" w:eastAsia="仿宋" w:cs="仿宋"/>
                <w:color w:val="auto"/>
                <w:sz w:val="24"/>
              </w:rPr>
            </w:pPr>
            <w:r>
              <w:rPr>
                <w:rFonts w:hint="eastAsia" w:ascii="仿宋" w:hAnsi="仿宋" w:eastAsia="仿宋" w:cs="仿宋"/>
                <w:color w:val="auto"/>
                <w:sz w:val="24"/>
              </w:rPr>
              <w:t>产品技术</w:t>
            </w:r>
          </w:p>
          <w:p>
            <w:pPr>
              <w:tabs>
                <w:tab w:val="left" w:pos="4320"/>
              </w:tabs>
              <w:spacing w:before="60" w:after="60"/>
              <w:jc w:val="center"/>
              <w:rPr>
                <w:rFonts w:hint="eastAsia" w:ascii="仿宋" w:hAnsi="仿宋" w:eastAsia="仿宋" w:cs="仿宋"/>
                <w:color w:val="auto"/>
                <w:sz w:val="24"/>
              </w:rPr>
            </w:pPr>
            <w:r>
              <w:rPr>
                <w:rFonts w:hint="eastAsia" w:ascii="仿宋" w:hAnsi="仿宋" w:eastAsia="仿宋" w:cs="仿宋"/>
                <w:color w:val="auto"/>
                <w:sz w:val="24"/>
              </w:rPr>
              <w:t>先进水平</w:t>
            </w:r>
          </w:p>
        </w:tc>
        <w:tc>
          <w:tcPr>
            <w:tcW w:w="1273" w:type="dxa"/>
            <w:gridSpan w:val="2"/>
            <w:vAlign w:val="center"/>
          </w:tcPr>
          <w:p>
            <w:pPr>
              <w:tabs>
                <w:tab w:val="left" w:pos="4320"/>
              </w:tabs>
              <w:spacing w:before="60" w:after="60"/>
              <w:jc w:val="center"/>
              <w:rPr>
                <w:rFonts w:hint="eastAsia" w:ascii="仿宋" w:hAnsi="仿宋" w:eastAsia="仿宋" w:cs="仿宋"/>
                <w:color w:val="auto"/>
                <w:sz w:val="24"/>
              </w:rPr>
            </w:pPr>
            <w:r>
              <w:rPr>
                <w:rFonts w:hint="eastAsia" w:ascii="仿宋" w:hAnsi="仿宋" w:eastAsia="仿宋" w:cs="仿宋"/>
                <w:color w:val="auto"/>
                <w:sz w:val="24"/>
              </w:rPr>
              <w:t>曾获何级</w:t>
            </w:r>
          </w:p>
          <w:p>
            <w:pPr>
              <w:tabs>
                <w:tab w:val="left" w:pos="4320"/>
              </w:tabs>
              <w:spacing w:before="60" w:after="60"/>
              <w:jc w:val="center"/>
              <w:rPr>
                <w:rFonts w:hint="eastAsia" w:ascii="仿宋" w:hAnsi="仿宋" w:eastAsia="仿宋" w:cs="仿宋"/>
                <w:color w:val="auto"/>
                <w:sz w:val="24"/>
              </w:rPr>
            </w:pPr>
            <w:r>
              <w:rPr>
                <w:rFonts w:hint="eastAsia" w:ascii="仿宋" w:hAnsi="仿宋" w:eastAsia="仿宋" w:cs="仿宋"/>
                <w:color w:val="auto"/>
                <w:sz w:val="24"/>
              </w:rPr>
              <w:t>何种奖励</w:t>
            </w:r>
          </w:p>
        </w:tc>
        <w:tc>
          <w:tcPr>
            <w:tcW w:w="1606" w:type="dxa"/>
            <w:gridSpan w:val="2"/>
            <w:tcBorders>
              <w:right w:val="double" w:color="auto" w:sz="4" w:space="0"/>
            </w:tcBorders>
            <w:vAlign w:val="center"/>
          </w:tcPr>
          <w:p>
            <w:pPr>
              <w:tabs>
                <w:tab w:val="left" w:pos="4320"/>
              </w:tabs>
              <w:spacing w:before="60" w:after="60"/>
              <w:jc w:val="center"/>
              <w:rPr>
                <w:rFonts w:hint="eastAsia" w:ascii="仿宋" w:hAnsi="仿宋" w:eastAsia="仿宋" w:cs="仿宋"/>
                <w:color w:val="auto"/>
                <w:sz w:val="24"/>
              </w:rPr>
            </w:pPr>
            <w:r>
              <w:rPr>
                <w:rFonts w:hint="eastAsia" w:ascii="仿宋" w:hAnsi="仿宋" w:eastAsia="仿宋" w:cs="仿宋"/>
                <w:color w:val="auto"/>
                <w:sz w:val="24"/>
              </w:rPr>
              <w:t>主要用户</w:t>
            </w:r>
          </w:p>
          <w:p>
            <w:pPr>
              <w:tabs>
                <w:tab w:val="left" w:pos="4320"/>
              </w:tabs>
              <w:spacing w:before="60" w:after="60"/>
              <w:jc w:val="center"/>
              <w:rPr>
                <w:rFonts w:hint="eastAsia" w:ascii="仿宋" w:hAnsi="仿宋" w:eastAsia="仿宋" w:cs="仿宋"/>
                <w:color w:val="auto"/>
                <w:sz w:val="24"/>
              </w:rPr>
            </w:pPr>
            <w:r>
              <w:rPr>
                <w:rFonts w:hint="eastAsia" w:ascii="仿宋" w:hAnsi="仿宋" w:eastAsia="仿宋" w:cs="仿宋"/>
                <w:color w:val="auto"/>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hint="eastAsia" w:ascii="仿宋" w:hAnsi="仿宋" w:eastAsia="仿宋" w:cs="仿宋"/>
                <w:color w:val="auto"/>
                <w:sz w:val="24"/>
              </w:rPr>
            </w:pPr>
          </w:p>
        </w:tc>
        <w:tc>
          <w:tcPr>
            <w:tcW w:w="1643" w:type="dxa"/>
            <w:gridSpan w:val="3"/>
            <w:vAlign w:val="center"/>
          </w:tcPr>
          <w:p>
            <w:pPr>
              <w:tabs>
                <w:tab w:val="left" w:pos="4320"/>
              </w:tabs>
              <w:rPr>
                <w:rFonts w:hint="eastAsia" w:ascii="仿宋" w:hAnsi="仿宋" w:eastAsia="仿宋" w:cs="仿宋"/>
                <w:color w:val="auto"/>
                <w:sz w:val="24"/>
              </w:rPr>
            </w:pPr>
          </w:p>
        </w:tc>
        <w:tc>
          <w:tcPr>
            <w:tcW w:w="1617" w:type="dxa"/>
            <w:gridSpan w:val="2"/>
            <w:vAlign w:val="center"/>
          </w:tcPr>
          <w:p>
            <w:pPr>
              <w:tabs>
                <w:tab w:val="left" w:pos="4320"/>
              </w:tabs>
              <w:rPr>
                <w:rFonts w:hint="eastAsia" w:ascii="仿宋" w:hAnsi="仿宋" w:eastAsia="仿宋" w:cs="仿宋"/>
                <w:color w:val="auto"/>
                <w:sz w:val="24"/>
              </w:rPr>
            </w:pPr>
          </w:p>
        </w:tc>
        <w:tc>
          <w:tcPr>
            <w:tcW w:w="946" w:type="dxa"/>
            <w:vAlign w:val="center"/>
          </w:tcPr>
          <w:p>
            <w:pPr>
              <w:tabs>
                <w:tab w:val="left" w:pos="4320"/>
              </w:tabs>
              <w:rPr>
                <w:rFonts w:hint="eastAsia" w:ascii="仿宋" w:hAnsi="仿宋" w:eastAsia="仿宋" w:cs="仿宋"/>
                <w:color w:val="auto"/>
                <w:sz w:val="24"/>
              </w:rPr>
            </w:pPr>
          </w:p>
        </w:tc>
        <w:tc>
          <w:tcPr>
            <w:tcW w:w="1263" w:type="dxa"/>
            <w:vAlign w:val="center"/>
          </w:tcPr>
          <w:p>
            <w:pPr>
              <w:tabs>
                <w:tab w:val="left" w:pos="4320"/>
              </w:tabs>
              <w:rPr>
                <w:rFonts w:hint="eastAsia" w:ascii="仿宋" w:hAnsi="仿宋" w:eastAsia="仿宋" w:cs="仿宋"/>
                <w:color w:val="auto"/>
                <w:sz w:val="24"/>
              </w:rPr>
            </w:pPr>
          </w:p>
        </w:tc>
        <w:tc>
          <w:tcPr>
            <w:tcW w:w="1273" w:type="dxa"/>
            <w:gridSpan w:val="2"/>
            <w:vAlign w:val="center"/>
          </w:tcPr>
          <w:p>
            <w:pPr>
              <w:tabs>
                <w:tab w:val="left" w:pos="4320"/>
              </w:tabs>
              <w:rPr>
                <w:rFonts w:hint="eastAsia" w:ascii="仿宋" w:hAnsi="仿宋" w:eastAsia="仿宋" w:cs="仿宋"/>
                <w:color w:val="auto"/>
                <w:sz w:val="24"/>
              </w:rPr>
            </w:pPr>
          </w:p>
        </w:tc>
        <w:tc>
          <w:tcPr>
            <w:tcW w:w="1606" w:type="dxa"/>
            <w:gridSpan w:val="2"/>
            <w:tcBorders>
              <w:right w:val="double" w:color="auto" w:sz="4" w:space="0"/>
            </w:tcBorders>
            <w:vAlign w:val="center"/>
          </w:tcPr>
          <w:p>
            <w:pPr>
              <w:tabs>
                <w:tab w:val="left" w:pos="4320"/>
              </w:tabs>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hint="eastAsia" w:ascii="仿宋" w:hAnsi="仿宋" w:eastAsia="仿宋" w:cs="仿宋"/>
                <w:color w:val="auto"/>
                <w:sz w:val="24"/>
              </w:rPr>
            </w:pPr>
          </w:p>
        </w:tc>
        <w:tc>
          <w:tcPr>
            <w:tcW w:w="1643" w:type="dxa"/>
            <w:gridSpan w:val="3"/>
            <w:vAlign w:val="center"/>
          </w:tcPr>
          <w:p>
            <w:pPr>
              <w:tabs>
                <w:tab w:val="left" w:pos="4320"/>
              </w:tabs>
              <w:rPr>
                <w:rFonts w:hint="eastAsia" w:ascii="仿宋" w:hAnsi="仿宋" w:eastAsia="仿宋" w:cs="仿宋"/>
                <w:color w:val="auto"/>
                <w:sz w:val="24"/>
              </w:rPr>
            </w:pPr>
          </w:p>
        </w:tc>
        <w:tc>
          <w:tcPr>
            <w:tcW w:w="1617" w:type="dxa"/>
            <w:gridSpan w:val="2"/>
            <w:vAlign w:val="center"/>
          </w:tcPr>
          <w:p>
            <w:pPr>
              <w:tabs>
                <w:tab w:val="left" w:pos="4320"/>
              </w:tabs>
              <w:rPr>
                <w:rFonts w:hint="eastAsia" w:ascii="仿宋" w:hAnsi="仿宋" w:eastAsia="仿宋" w:cs="仿宋"/>
                <w:color w:val="auto"/>
                <w:sz w:val="24"/>
              </w:rPr>
            </w:pPr>
          </w:p>
        </w:tc>
        <w:tc>
          <w:tcPr>
            <w:tcW w:w="946" w:type="dxa"/>
            <w:vAlign w:val="center"/>
          </w:tcPr>
          <w:p>
            <w:pPr>
              <w:tabs>
                <w:tab w:val="left" w:pos="4320"/>
              </w:tabs>
              <w:rPr>
                <w:rFonts w:hint="eastAsia" w:ascii="仿宋" w:hAnsi="仿宋" w:eastAsia="仿宋" w:cs="仿宋"/>
                <w:color w:val="auto"/>
                <w:sz w:val="24"/>
              </w:rPr>
            </w:pPr>
          </w:p>
        </w:tc>
        <w:tc>
          <w:tcPr>
            <w:tcW w:w="1263" w:type="dxa"/>
            <w:vAlign w:val="center"/>
          </w:tcPr>
          <w:p>
            <w:pPr>
              <w:tabs>
                <w:tab w:val="left" w:pos="4320"/>
              </w:tabs>
              <w:rPr>
                <w:rFonts w:hint="eastAsia" w:ascii="仿宋" w:hAnsi="仿宋" w:eastAsia="仿宋" w:cs="仿宋"/>
                <w:color w:val="auto"/>
                <w:sz w:val="24"/>
              </w:rPr>
            </w:pPr>
          </w:p>
        </w:tc>
        <w:tc>
          <w:tcPr>
            <w:tcW w:w="1273" w:type="dxa"/>
            <w:gridSpan w:val="2"/>
            <w:vAlign w:val="center"/>
          </w:tcPr>
          <w:p>
            <w:pPr>
              <w:tabs>
                <w:tab w:val="left" w:pos="4320"/>
              </w:tabs>
              <w:rPr>
                <w:rFonts w:hint="eastAsia" w:ascii="仿宋" w:hAnsi="仿宋" w:eastAsia="仿宋" w:cs="仿宋"/>
                <w:color w:val="auto"/>
                <w:sz w:val="24"/>
              </w:rPr>
            </w:pPr>
          </w:p>
        </w:tc>
        <w:tc>
          <w:tcPr>
            <w:tcW w:w="1606" w:type="dxa"/>
            <w:gridSpan w:val="2"/>
            <w:tcBorders>
              <w:right w:val="double" w:color="auto" w:sz="4" w:space="0"/>
            </w:tcBorders>
            <w:vAlign w:val="center"/>
          </w:tcPr>
          <w:p>
            <w:pPr>
              <w:tabs>
                <w:tab w:val="left" w:pos="4320"/>
              </w:tabs>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hint="eastAsia" w:ascii="仿宋" w:hAnsi="仿宋" w:eastAsia="仿宋" w:cs="仿宋"/>
                <w:color w:val="auto"/>
                <w:sz w:val="24"/>
              </w:rPr>
            </w:pPr>
          </w:p>
        </w:tc>
        <w:tc>
          <w:tcPr>
            <w:tcW w:w="1643" w:type="dxa"/>
            <w:gridSpan w:val="3"/>
            <w:vAlign w:val="center"/>
          </w:tcPr>
          <w:p>
            <w:pPr>
              <w:tabs>
                <w:tab w:val="left" w:pos="4320"/>
              </w:tabs>
              <w:rPr>
                <w:rFonts w:hint="eastAsia" w:ascii="仿宋" w:hAnsi="仿宋" w:eastAsia="仿宋" w:cs="仿宋"/>
                <w:color w:val="auto"/>
                <w:sz w:val="24"/>
              </w:rPr>
            </w:pPr>
          </w:p>
        </w:tc>
        <w:tc>
          <w:tcPr>
            <w:tcW w:w="1617" w:type="dxa"/>
            <w:gridSpan w:val="2"/>
            <w:vAlign w:val="center"/>
          </w:tcPr>
          <w:p>
            <w:pPr>
              <w:tabs>
                <w:tab w:val="left" w:pos="4320"/>
              </w:tabs>
              <w:rPr>
                <w:rFonts w:hint="eastAsia" w:ascii="仿宋" w:hAnsi="仿宋" w:eastAsia="仿宋" w:cs="仿宋"/>
                <w:color w:val="auto"/>
                <w:sz w:val="24"/>
              </w:rPr>
            </w:pPr>
          </w:p>
        </w:tc>
        <w:tc>
          <w:tcPr>
            <w:tcW w:w="946" w:type="dxa"/>
            <w:vAlign w:val="center"/>
          </w:tcPr>
          <w:p>
            <w:pPr>
              <w:tabs>
                <w:tab w:val="left" w:pos="4320"/>
              </w:tabs>
              <w:rPr>
                <w:rFonts w:hint="eastAsia" w:ascii="仿宋" w:hAnsi="仿宋" w:eastAsia="仿宋" w:cs="仿宋"/>
                <w:color w:val="auto"/>
                <w:sz w:val="24"/>
              </w:rPr>
            </w:pPr>
          </w:p>
        </w:tc>
        <w:tc>
          <w:tcPr>
            <w:tcW w:w="1263" w:type="dxa"/>
            <w:vAlign w:val="center"/>
          </w:tcPr>
          <w:p>
            <w:pPr>
              <w:tabs>
                <w:tab w:val="left" w:pos="4320"/>
              </w:tabs>
              <w:rPr>
                <w:rFonts w:hint="eastAsia" w:ascii="仿宋" w:hAnsi="仿宋" w:eastAsia="仿宋" w:cs="仿宋"/>
                <w:color w:val="auto"/>
                <w:sz w:val="24"/>
              </w:rPr>
            </w:pPr>
          </w:p>
        </w:tc>
        <w:tc>
          <w:tcPr>
            <w:tcW w:w="1273" w:type="dxa"/>
            <w:gridSpan w:val="2"/>
            <w:vAlign w:val="center"/>
          </w:tcPr>
          <w:p>
            <w:pPr>
              <w:tabs>
                <w:tab w:val="left" w:pos="4320"/>
              </w:tabs>
              <w:rPr>
                <w:rFonts w:hint="eastAsia" w:ascii="仿宋" w:hAnsi="仿宋" w:eastAsia="仿宋" w:cs="仿宋"/>
                <w:color w:val="auto"/>
                <w:sz w:val="24"/>
              </w:rPr>
            </w:pPr>
          </w:p>
        </w:tc>
        <w:tc>
          <w:tcPr>
            <w:tcW w:w="1606" w:type="dxa"/>
            <w:gridSpan w:val="2"/>
            <w:tcBorders>
              <w:right w:val="double" w:color="auto" w:sz="4" w:space="0"/>
            </w:tcBorders>
            <w:vAlign w:val="center"/>
          </w:tcPr>
          <w:p>
            <w:pPr>
              <w:tabs>
                <w:tab w:val="left" w:pos="4320"/>
              </w:tabs>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hint="eastAsia" w:ascii="仿宋" w:hAnsi="仿宋" w:eastAsia="仿宋" w:cs="仿宋"/>
                <w:color w:val="auto"/>
                <w:sz w:val="24"/>
              </w:rPr>
            </w:pPr>
          </w:p>
        </w:tc>
        <w:tc>
          <w:tcPr>
            <w:tcW w:w="1643" w:type="dxa"/>
            <w:gridSpan w:val="3"/>
            <w:vAlign w:val="center"/>
          </w:tcPr>
          <w:p>
            <w:pPr>
              <w:tabs>
                <w:tab w:val="left" w:pos="4320"/>
              </w:tabs>
              <w:rPr>
                <w:rFonts w:hint="eastAsia" w:ascii="仿宋" w:hAnsi="仿宋" w:eastAsia="仿宋" w:cs="仿宋"/>
                <w:color w:val="auto"/>
                <w:sz w:val="24"/>
              </w:rPr>
            </w:pPr>
          </w:p>
        </w:tc>
        <w:tc>
          <w:tcPr>
            <w:tcW w:w="1617" w:type="dxa"/>
            <w:gridSpan w:val="2"/>
            <w:vAlign w:val="center"/>
          </w:tcPr>
          <w:p>
            <w:pPr>
              <w:tabs>
                <w:tab w:val="left" w:pos="4320"/>
              </w:tabs>
              <w:rPr>
                <w:rFonts w:hint="eastAsia" w:ascii="仿宋" w:hAnsi="仿宋" w:eastAsia="仿宋" w:cs="仿宋"/>
                <w:color w:val="auto"/>
                <w:sz w:val="24"/>
              </w:rPr>
            </w:pPr>
          </w:p>
        </w:tc>
        <w:tc>
          <w:tcPr>
            <w:tcW w:w="946" w:type="dxa"/>
            <w:vAlign w:val="center"/>
          </w:tcPr>
          <w:p>
            <w:pPr>
              <w:tabs>
                <w:tab w:val="left" w:pos="4320"/>
              </w:tabs>
              <w:rPr>
                <w:rFonts w:hint="eastAsia" w:ascii="仿宋" w:hAnsi="仿宋" w:eastAsia="仿宋" w:cs="仿宋"/>
                <w:color w:val="auto"/>
                <w:sz w:val="24"/>
              </w:rPr>
            </w:pPr>
          </w:p>
        </w:tc>
        <w:tc>
          <w:tcPr>
            <w:tcW w:w="1263" w:type="dxa"/>
            <w:vAlign w:val="center"/>
          </w:tcPr>
          <w:p>
            <w:pPr>
              <w:tabs>
                <w:tab w:val="left" w:pos="4320"/>
              </w:tabs>
              <w:rPr>
                <w:rFonts w:hint="eastAsia" w:ascii="仿宋" w:hAnsi="仿宋" w:eastAsia="仿宋" w:cs="仿宋"/>
                <w:color w:val="auto"/>
                <w:sz w:val="24"/>
              </w:rPr>
            </w:pPr>
          </w:p>
        </w:tc>
        <w:tc>
          <w:tcPr>
            <w:tcW w:w="1273" w:type="dxa"/>
            <w:gridSpan w:val="2"/>
            <w:vAlign w:val="center"/>
          </w:tcPr>
          <w:p>
            <w:pPr>
              <w:tabs>
                <w:tab w:val="left" w:pos="4320"/>
              </w:tabs>
              <w:rPr>
                <w:rFonts w:hint="eastAsia" w:ascii="仿宋" w:hAnsi="仿宋" w:eastAsia="仿宋" w:cs="仿宋"/>
                <w:color w:val="auto"/>
                <w:sz w:val="24"/>
              </w:rPr>
            </w:pPr>
          </w:p>
        </w:tc>
        <w:tc>
          <w:tcPr>
            <w:tcW w:w="1606" w:type="dxa"/>
            <w:gridSpan w:val="2"/>
            <w:tcBorders>
              <w:right w:val="double" w:color="auto" w:sz="4" w:space="0"/>
            </w:tcBorders>
            <w:vAlign w:val="center"/>
          </w:tcPr>
          <w:p>
            <w:pPr>
              <w:tabs>
                <w:tab w:val="left" w:pos="4320"/>
              </w:tabs>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rPr>
                <w:rFonts w:hint="eastAsia" w:ascii="仿宋" w:hAnsi="仿宋" w:eastAsia="仿宋" w:cs="仿宋"/>
                <w:color w:val="auto"/>
                <w:sz w:val="24"/>
              </w:rPr>
            </w:pPr>
            <w:r>
              <w:rPr>
                <w:rFonts w:hint="eastAsia" w:ascii="仿宋" w:hAnsi="仿宋" w:eastAsia="仿宋" w:cs="仿宋"/>
                <w:color w:val="auto"/>
                <w:sz w:val="24"/>
              </w:rPr>
              <w:t>其它</w:t>
            </w:r>
          </w:p>
        </w:tc>
        <w:tc>
          <w:tcPr>
            <w:tcW w:w="4206" w:type="dxa"/>
            <w:gridSpan w:val="6"/>
            <w:vAlign w:val="center"/>
          </w:tcPr>
          <w:p>
            <w:pPr>
              <w:tabs>
                <w:tab w:val="left" w:pos="4320"/>
              </w:tabs>
              <w:spacing w:before="60" w:after="60"/>
              <w:rPr>
                <w:rFonts w:hint="eastAsia" w:ascii="仿宋" w:hAnsi="仿宋" w:eastAsia="仿宋" w:cs="仿宋"/>
                <w:color w:val="auto"/>
                <w:sz w:val="24"/>
              </w:rPr>
            </w:pPr>
            <w:r>
              <w:rPr>
                <w:rFonts w:hint="eastAsia" w:ascii="仿宋" w:hAnsi="仿宋" w:eastAsia="仿宋" w:cs="仿宋"/>
                <w:color w:val="auto"/>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pPr>
              <w:tabs>
                <w:tab w:val="left" w:pos="4320"/>
              </w:tabs>
              <w:spacing w:before="60" w:after="60"/>
              <w:rPr>
                <w:rFonts w:hint="eastAsia" w:ascii="仿宋" w:hAnsi="仿宋" w:eastAsia="仿宋" w:cs="仿宋"/>
                <w:color w:val="auto"/>
                <w:sz w:val="24"/>
              </w:rPr>
            </w:pPr>
            <w:r>
              <w:rPr>
                <w:rFonts w:hint="eastAsia" w:ascii="仿宋" w:hAnsi="仿宋" w:eastAsia="仿宋" w:cs="仿宋"/>
                <w:color w:val="auto"/>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pPr>
              <w:tabs>
                <w:tab w:val="left" w:pos="4320"/>
              </w:tabs>
              <w:rPr>
                <w:rFonts w:hint="eastAsia" w:ascii="仿宋" w:hAnsi="仿宋" w:eastAsia="仿宋" w:cs="仿宋"/>
                <w:color w:val="auto"/>
                <w:sz w:val="24"/>
              </w:rPr>
            </w:pPr>
          </w:p>
        </w:tc>
        <w:tc>
          <w:tcPr>
            <w:tcW w:w="4206" w:type="dxa"/>
            <w:gridSpan w:val="6"/>
            <w:tcBorders>
              <w:bottom w:val="double" w:color="auto" w:sz="4" w:space="0"/>
            </w:tcBorders>
            <w:vAlign w:val="center"/>
          </w:tcPr>
          <w:p>
            <w:pPr>
              <w:tabs>
                <w:tab w:val="left" w:pos="4320"/>
              </w:tabs>
              <w:rPr>
                <w:rFonts w:hint="eastAsia" w:ascii="仿宋" w:hAnsi="仿宋" w:eastAsia="仿宋" w:cs="仿宋"/>
                <w:color w:val="auto"/>
                <w:sz w:val="24"/>
              </w:rPr>
            </w:pPr>
          </w:p>
        </w:tc>
        <w:tc>
          <w:tcPr>
            <w:tcW w:w="4142" w:type="dxa"/>
            <w:gridSpan w:val="5"/>
            <w:tcBorders>
              <w:bottom w:val="double" w:color="auto" w:sz="4" w:space="0"/>
              <w:right w:val="double" w:color="auto" w:sz="4" w:space="0"/>
            </w:tcBorders>
            <w:vAlign w:val="center"/>
          </w:tcPr>
          <w:p>
            <w:pPr>
              <w:tabs>
                <w:tab w:val="left" w:pos="4320"/>
              </w:tabs>
              <w:rPr>
                <w:rFonts w:hint="eastAsia" w:ascii="仿宋" w:hAnsi="仿宋" w:eastAsia="仿宋" w:cs="仿宋"/>
                <w:color w:val="auto"/>
                <w:sz w:val="24"/>
              </w:rPr>
            </w:pPr>
          </w:p>
        </w:tc>
      </w:tr>
    </w:tbl>
    <w:p>
      <w:pPr>
        <w:snapToGrid w:val="0"/>
        <w:spacing w:line="300" w:lineRule="auto"/>
        <w:contextualSpacing/>
        <w:rPr>
          <w:rFonts w:hint="eastAsia" w:ascii="仿宋" w:hAnsi="仿宋" w:eastAsia="仿宋" w:cs="仿宋"/>
          <w:color w:val="auto"/>
          <w:sz w:val="28"/>
          <w:szCs w:val="28"/>
        </w:rPr>
      </w:pPr>
    </w:p>
    <w:p>
      <w:pPr>
        <w:snapToGrid w:val="0"/>
        <w:spacing w:line="300" w:lineRule="auto"/>
        <w:contextualSpacing/>
        <w:rPr>
          <w:rFonts w:hint="eastAsia" w:ascii="仿宋" w:hAnsi="仿宋" w:eastAsia="仿宋" w:cs="仿宋"/>
          <w:color w:val="auto"/>
          <w:sz w:val="28"/>
          <w:szCs w:val="28"/>
        </w:rPr>
      </w:pPr>
    </w:p>
    <w:p>
      <w:pPr>
        <w:snapToGrid w:val="0"/>
        <w:spacing w:line="400" w:lineRule="exact"/>
        <w:contextualSpacing/>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附件5</w:t>
      </w:r>
    </w:p>
    <w:p>
      <w:pPr>
        <w:snapToGrid w:val="0"/>
        <w:spacing w:line="300" w:lineRule="auto"/>
        <w:contextualSpacing/>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商务部分正负偏离表</w:t>
      </w:r>
    </w:p>
    <w:p>
      <w:pPr>
        <w:ind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（由供应商据实填写，表格不够自行添加）</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仿宋" w:hAnsi="仿宋" w:eastAsia="仿宋" w:cs="仿宋"/>
                <w:color w:val="auto"/>
                <w:sz w:val="24"/>
              </w:rPr>
            </w:pPr>
          </w:p>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 w:hAnsi="仿宋" w:eastAsia="仿宋" w:cs="仿宋"/>
                <w:color w:val="auto"/>
                <w:sz w:val="24"/>
              </w:rPr>
            </w:pPr>
          </w:p>
        </w:tc>
      </w:tr>
    </w:tbl>
    <w:p>
      <w:pPr>
        <w:snapToGrid w:val="0"/>
        <w:spacing w:line="300" w:lineRule="auto"/>
        <w:contextualSpacing/>
        <w:rPr>
          <w:rFonts w:hint="eastAsia" w:ascii="仿宋" w:hAnsi="仿宋" w:eastAsia="仿宋" w:cs="仿宋"/>
          <w:b/>
          <w:color w:val="auto"/>
          <w:sz w:val="24"/>
        </w:rPr>
      </w:pPr>
      <w:r>
        <w:rPr>
          <w:rFonts w:hint="eastAsia" w:ascii="仿宋" w:hAnsi="仿宋" w:eastAsia="仿宋" w:cs="仿宋"/>
          <w:b/>
          <w:color w:val="auto"/>
          <w:sz w:val="24"/>
        </w:rPr>
        <w:t>注：</w:t>
      </w:r>
    </w:p>
    <w:p>
      <w:pPr>
        <w:snapToGrid w:val="0"/>
        <w:spacing w:line="300" w:lineRule="auto"/>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1.供应商提交的响应文件中与磋商文件第三部分“项目需求”中的商务部分的要求，应逐条填列在偏离表中。完全响应以空表提交。</w:t>
      </w:r>
    </w:p>
    <w:p>
      <w:pPr>
        <w:snapToGrid w:val="0"/>
        <w:spacing w:line="300" w:lineRule="auto"/>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2.“偏离说明”一栏选择“正偏离”、“无偏离”、“负偏离”进行填写。正偏离的确认和负偏离的是否响应磋商文件，由磋商小组认定。</w:t>
      </w:r>
    </w:p>
    <w:p>
      <w:pPr>
        <w:snapToGrid w:val="0"/>
        <w:spacing w:line="300" w:lineRule="auto"/>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3.供应商如果虚假响应，将被暂停参加采购人组织采购活动。</w:t>
      </w:r>
    </w:p>
    <w:p>
      <w:pPr>
        <w:snapToGrid w:val="0"/>
        <w:spacing w:line="300" w:lineRule="auto"/>
        <w:ind w:firstLine="480" w:firstLineChars="200"/>
        <w:contextualSpacing/>
        <w:rPr>
          <w:rFonts w:hint="eastAsia" w:ascii="仿宋" w:hAnsi="仿宋" w:eastAsia="仿宋" w:cs="仿宋"/>
          <w:bCs/>
          <w:color w:val="auto"/>
          <w:sz w:val="24"/>
        </w:rPr>
      </w:pPr>
      <w:r>
        <w:rPr>
          <w:rFonts w:hint="eastAsia" w:ascii="仿宋" w:hAnsi="仿宋" w:eastAsia="仿宋" w:cs="仿宋"/>
          <w:bCs/>
          <w:color w:val="auto"/>
          <w:sz w:val="24"/>
        </w:rPr>
        <w:t>4.供应商若提供其他增值服务，可以在表中自行据实填写。</w:t>
      </w: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contextualSpacing/>
        <w:rPr>
          <w:rFonts w:hint="eastAsia" w:ascii="仿宋" w:hAnsi="仿宋" w:eastAsia="仿宋" w:cs="仿宋"/>
          <w:color w:val="auto"/>
          <w:kern w:val="0"/>
          <w:sz w:val="28"/>
          <w:szCs w:val="28"/>
        </w:rPr>
      </w:pPr>
    </w:p>
    <w:p>
      <w:pPr>
        <w:snapToGrid w:val="0"/>
        <w:spacing w:line="400" w:lineRule="exact"/>
        <w:contextualSpacing/>
        <w:rPr>
          <w:rFonts w:hint="eastAsia" w:ascii="仿宋" w:hAnsi="仿宋" w:eastAsia="仿宋" w:cs="仿宋"/>
          <w:color w:val="auto"/>
          <w:kern w:val="0"/>
          <w:sz w:val="28"/>
          <w:szCs w:val="28"/>
        </w:rPr>
      </w:pPr>
    </w:p>
    <w:p>
      <w:pPr>
        <w:widowControl/>
        <w:jc w:val="left"/>
        <w:rPr>
          <w:rFonts w:hint="eastAsia" w:ascii="仿宋" w:hAnsi="仿宋" w:eastAsia="仿宋" w:cs="仿宋"/>
          <w:color w:val="auto"/>
          <w:sz w:val="24"/>
        </w:rPr>
      </w:pPr>
    </w:p>
    <w:p>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①拟派项目组服务人员一览表</w:t>
      </w:r>
    </w:p>
    <w:tbl>
      <w:tblPr>
        <w:tblStyle w:val="2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340"/>
        <w:gridCol w:w="834"/>
        <w:gridCol w:w="1305"/>
        <w:gridCol w:w="1511"/>
        <w:gridCol w:w="1590"/>
        <w:gridCol w:w="1070"/>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839" w:type="dxa"/>
            <w:vAlign w:val="center"/>
          </w:tcPr>
          <w:p>
            <w:pPr>
              <w:tabs>
                <w:tab w:val="left" w:pos="1000"/>
              </w:tabs>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序号</w:t>
            </w:r>
          </w:p>
        </w:tc>
        <w:tc>
          <w:tcPr>
            <w:tcW w:w="1340" w:type="dxa"/>
            <w:vAlign w:val="center"/>
          </w:tcPr>
          <w:p>
            <w:pPr>
              <w:tabs>
                <w:tab w:val="left" w:pos="1000"/>
              </w:tabs>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姓名</w:t>
            </w:r>
          </w:p>
        </w:tc>
        <w:tc>
          <w:tcPr>
            <w:tcW w:w="834" w:type="dxa"/>
            <w:vAlign w:val="center"/>
          </w:tcPr>
          <w:p>
            <w:pPr>
              <w:tabs>
                <w:tab w:val="left" w:pos="1000"/>
              </w:tabs>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性别</w:t>
            </w:r>
          </w:p>
        </w:tc>
        <w:tc>
          <w:tcPr>
            <w:tcW w:w="1305" w:type="dxa"/>
            <w:vAlign w:val="center"/>
          </w:tcPr>
          <w:p>
            <w:pPr>
              <w:tabs>
                <w:tab w:val="left" w:pos="1000"/>
              </w:tabs>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年龄</w:t>
            </w:r>
          </w:p>
        </w:tc>
        <w:tc>
          <w:tcPr>
            <w:tcW w:w="1511" w:type="dxa"/>
            <w:vAlign w:val="center"/>
          </w:tcPr>
          <w:p>
            <w:pPr>
              <w:tabs>
                <w:tab w:val="left" w:pos="1000"/>
              </w:tabs>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身份证号码</w:t>
            </w:r>
          </w:p>
        </w:tc>
        <w:tc>
          <w:tcPr>
            <w:tcW w:w="1590" w:type="dxa"/>
            <w:vAlign w:val="center"/>
          </w:tcPr>
          <w:p>
            <w:pPr>
              <w:tabs>
                <w:tab w:val="left" w:pos="1000"/>
              </w:tabs>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工种</w:t>
            </w:r>
          </w:p>
        </w:tc>
        <w:tc>
          <w:tcPr>
            <w:tcW w:w="1070" w:type="dxa"/>
            <w:vAlign w:val="center"/>
          </w:tcPr>
          <w:p>
            <w:pPr>
              <w:tabs>
                <w:tab w:val="left" w:pos="1000"/>
              </w:tabs>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联系电话</w:t>
            </w:r>
          </w:p>
        </w:tc>
        <w:tc>
          <w:tcPr>
            <w:tcW w:w="706" w:type="dxa"/>
            <w:vAlign w:val="center"/>
          </w:tcPr>
          <w:p>
            <w:pPr>
              <w:tabs>
                <w:tab w:val="left" w:pos="1000"/>
              </w:tabs>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340" w:type="dxa"/>
            <w:vAlign w:val="center"/>
          </w:tcPr>
          <w:p>
            <w:pPr>
              <w:tabs>
                <w:tab w:val="left" w:pos="1000"/>
              </w:tabs>
              <w:jc w:val="center"/>
              <w:rPr>
                <w:rFonts w:hint="eastAsia" w:ascii="仿宋" w:hAnsi="仿宋" w:eastAsia="仿宋" w:cs="仿宋"/>
                <w:color w:val="auto"/>
                <w:szCs w:val="21"/>
              </w:rPr>
            </w:pPr>
          </w:p>
        </w:tc>
        <w:tc>
          <w:tcPr>
            <w:tcW w:w="834" w:type="dxa"/>
            <w:vAlign w:val="center"/>
          </w:tcPr>
          <w:p>
            <w:pPr>
              <w:tabs>
                <w:tab w:val="left" w:pos="1000"/>
              </w:tabs>
              <w:jc w:val="center"/>
              <w:rPr>
                <w:rFonts w:hint="eastAsia" w:ascii="仿宋" w:hAnsi="仿宋" w:eastAsia="仿宋" w:cs="仿宋"/>
                <w:color w:val="auto"/>
                <w:szCs w:val="21"/>
              </w:rPr>
            </w:pPr>
          </w:p>
        </w:tc>
        <w:tc>
          <w:tcPr>
            <w:tcW w:w="1305" w:type="dxa"/>
          </w:tcPr>
          <w:p>
            <w:pPr>
              <w:tabs>
                <w:tab w:val="left" w:pos="1000"/>
              </w:tabs>
              <w:jc w:val="center"/>
              <w:rPr>
                <w:rFonts w:hint="eastAsia" w:ascii="仿宋" w:hAnsi="仿宋" w:eastAsia="仿宋" w:cs="仿宋"/>
                <w:color w:val="auto"/>
                <w:szCs w:val="21"/>
              </w:rPr>
            </w:pPr>
          </w:p>
        </w:tc>
        <w:tc>
          <w:tcPr>
            <w:tcW w:w="1511" w:type="dxa"/>
            <w:vAlign w:val="center"/>
          </w:tcPr>
          <w:p>
            <w:pPr>
              <w:tabs>
                <w:tab w:val="left" w:pos="1000"/>
              </w:tabs>
              <w:jc w:val="center"/>
              <w:rPr>
                <w:rFonts w:hint="eastAsia" w:ascii="仿宋" w:hAnsi="仿宋" w:eastAsia="仿宋" w:cs="仿宋"/>
                <w:color w:val="auto"/>
                <w:szCs w:val="21"/>
              </w:rPr>
            </w:pPr>
          </w:p>
        </w:tc>
        <w:tc>
          <w:tcPr>
            <w:tcW w:w="1590" w:type="dxa"/>
            <w:vAlign w:val="center"/>
          </w:tcPr>
          <w:p>
            <w:pPr>
              <w:tabs>
                <w:tab w:val="left" w:pos="1000"/>
              </w:tabs>
              <w:jc w:val="center"/>
              <w:rPr>
                <w:rFonts w:hint="eastAsia" w:ascii="仿宋" w:hAnsi="仿宋" w:eastAsia="仿宋" w:cs="仿宋"/>
                <w:color w:val="auto"/>
                <w:szCs w:val="21"/>
              </w:rPr>
            </w:pPr>
          </w:p>
        </w:tc>
        <w:tc>
          <w:tcPr>
            <w:tcW w:w="1070" w:type="dxa"/>
            <w:vAlign w:val="center"/>
          </w:tcPr>
          <w:p>
            <w:pPr>
              <w:tabs>
                <w:tab w:val="left" w:pos="1000"/>
              </w:tabs>
              <w:jc w:val="center"/>
              <w:rPr>
                <w:rFonts w:hint="eastAsia" w:ascii="仿宋" w:hAnsi="仿宋" w:eastAsia="仿宋" w:cs="仿宋"/>
                <w:color w:val="auto"/>
                <w:szCs w:val="21"/>
              </w:rPr>
            </w:pPr>
          </w:p>
        </w:tc>
        <w:tc>
          <w:tcPr>
            <w:tcW w:w="706" w:type="dxa"/>
          </w:tcPr>
          <w:p>
            <w:pPr>
              <w:tabs>
                <w:tab w:val="left" w:pos="1000"/>
              </w:tabs>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1340" w:type="dxa"/>
            <w:vAlign w:val="center"/>
          </w:tcPr>
          <w:p>
            <w:pPr>
              <w:tabs>
                <w:tab w:val="left" w:pos="1000"/>
              </w:tabs>
              <w:jc w:val="center"/>
              <w:rPr>
                <w:rFonts w:hint="eastAsia" w:ascii="仿宋" w:hAnsi="仿宋" w:eastAsia="仿宋" w:cs="仿宋"/>
                <w:color w:val="auto"/>
                <w:szCs w:val="21"/>
              </w:rPr>
            </w:pPr>
          </w:p>
        </w:tc>
        <w:tc>
          <w:tcPr>
            <w:tcW w:w="834" w:type="dxa"/>
            <w:vAlign w:val="center"/>
          </w:tcPr>
          <w:p>
            <w:pPr>
              <w:tabs>
                <w:tab w:val="left" w:pos="1000"/>
              </w:tabs>
              <w:jc w:val="center"/>
              <w:rPr>
                <w:rFonts w:hint="eastAsia" w:ascii="仿宋" w:hAnsi="仿宋" w:eastAsia="仿宋" w:cs="仿宋"/>
                <w:color w:val="auto"/>
                <w:szCs w:val="21"/>
              </w:rPr>
            </w:pPr>
          </w:p>
        </w:tc>
        <w:tc>
          <w:tcPr>
            <w:tcW w:w="1305" w:type="dxa"/>
          </w:tcPr>
          <w:p>
            <w:pPr>
              <w:tabs>
                <w:tab w:val="left" w:pos="1000"/>
              </w:tabs>
              <w:jc w:val="center"/>
              <w:rPr>
                <w:rFonts w:hint="eastAsia" w:ascii="仿宋" w:hAnsi="仿宋" w:eastAsia="仿宋" w:cs="仿宋"/>
                <w:color w:val="auto"/>
                <w:szCs w:val="21"/>
              </w:rPr>
            </w:pPr>
          </w:p>
        </w:tc>
        <w:tc>
          <w:tcPr>
            <w:tcW w:w="1511" w:type="dxa"/>
            <w:vAlign w:val="center"/>
          </w:tcPr>
          <w:p>
            <w:pPr>
              <w:tabs>
                <w:tab w:val="left" w:pos="1000"/>
              </w:tabs>
              <w:jc w:val="center"/>
              <w:rPr>
                <w:rFonts w:hint="eastAsia" w:ascii="仿宋" w:hAnsi="仿宋" w:eastAsia="仿宋" w:cs="仿宋"/>
                <w:color w:val="auto"/>
                <w:szCs w:val="21"/>
              </w:rPr>
            </w:pPr>
          </w:p>
        </w:tc>
        <w:tc>
          <w:tcPr>
            <w:tcW w:w="1590" w:type="dxa"/>
            <w:vAlign w:val="center"/>
          </w:tcPr>
          <w:p>
            <w:pPr>
              <w:tabs>
                <w:tab w:val="left" w:pos="1000"/>
              </w:tabs>
              <w:jc w:val="center"/>
              <w:rPr>
                <w:rFonts w:hint="eastAsia" w:ascii="仿宋" w:hAnsi="仿宋" w:eastAsia="仿宋" w:cs="仿宋"/>
                <w:color w:val="auto"/>
                <w:szCs w:val="21"/>
              </w:rPr>
            </w:pPr>
          </w:p>
        </w:tc>
        <w:tc>
          <w:tcPr>
            <w:tcW w:w="1070" w:type="dxa"/>
            <w:vAlign w:val="center"/>
          </w:tcPr>
          <w:p>
            <w:pPr>
              <w:tabs>
                <w:tab w:val="left" w:pos="1000"/>
              </w:tabs>
              <w:jc w:val="center"/>
              <w:rPr>
                <w:rFonts w:hint="eastAsia" w:ascii="仿宋" w:hAnsi="仿宋" w:eastAsia="仿宋" w:cs="仿宋"/>
                <w:color w:val="auto"/>
                <w:szCs w:val="21"/>
              </w:rPr>
            </w:pPr>
          </w:p>
        </w:tc>
        <w:tc>
          <w:tcPr>
            <w:tcW w:w="706" w:type="dxa"/>
          </w:tcPr>
          <w:p>
            <w:pPr>
              <w:tabs>
                <w:tab w:val="left" w:pos="1000"/>
              </w:tabs>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1340" w:type="dxa"/>
            <w:vAlign w:val="center"/>
          </w:tcPr>
          <w:p>
            <w:pPr>
              <w:tabs>
                <w:tab w:val="left" w:pos="1000"/>
              </w:tabs>
              <w:jc w:val="center"/>
              <w:rPr>
                <w:rFonts w:hint="eastAsia" w:ascii="仿宋" w:hAnsi="仿宋" w:eastAsia="仿宋" w:cs="仿宋"/>
                <w:color w:val="auto"/>
                <w:szCs w:val="21"/>
              </w:rPr>
            </w:pPr>
          </w:p>
        </w:tc>
        <w:tc>
          <w:tcPr>
            <w:tcW w:w="834" w:type="dxa"/>
            <w:vAlign w:val="center"/>
          </w:tcPr>
          <w:p>
            <w:pPr>
              <w:tabs>
                <w:tab w:val="left" w:pos="1000"/>
              </w:tabs>
              <w:jc w:val="center"/>
              <w:rPr>
                <w:rFonts w:hint="eastAsia" w:ascii="仿宋" w:hAnsi="仿宋" w:eastAsia="仿宋" w:cs="仿宋"/>
                <w:color w:val="auto"/>
                <w:szCs w:val="21"/>
              </w:rPr>
            </w:pPr>
          </w:p>
        </w:tc>
        <w:tc>
          <w:tcPr>
            <w:tcW w:w="1305" w:type="dxa"/>
          </w:tcPr>
          <w:p>
            <w:pPr>
              <w:tabs>
                <w:tab w:val="left" w:pos="1000"/>
              </w:tabs>
              <w:jc w:val="center"/>
              <w:rPr>
                <w:rFonts w:hint="eastAsia" w:ascii="仿宋" w:hAnsi="仿宋" w:eastAsia="仿宋" w:cs="仿宋"/>
                <w:color w:val="auto"/>
                <w:szCs w:val="21"/>
              </w:rPr>
            </w:pPr>
          </w:p>
        </w:tc>
        <w:tc>
          <w:tcPr>
            <w:tcW w:w="1511" w:type="dxa"/>
            <w:vAlign w:val="center"/>
          </w:tcPr>
          <w:p>
            <w:pPr>
              <w:tabs>
                <w:tab w:val="left" w:pos="1000"/>
              </w:tabs>
              <w:jc w:val="center"/>
              <w:rPr>
                <w:rFonts w:hint="eastAsia" w:ascii="仿宋" w:hAnsi="仿宋" w:eastAsia="仿宋" w:cs="仿宋"/>
                <w:color w:val="auto"/>
                <w:szCs w:val="21"/>
              </w:rPr>
            </w:pPr>
          </w:p>
        </w:tc>
        <w:tc>
          <w:tcPr>
            <w:tcW w:w="1590" w:type="dxa"/>
            <w:vAlign w:val="center"/>
          </w:tcPr>
          <w:p>
            <w:pPr>
              <w:tabs>
                <w:tab w:val="left" w:pos="1000"/>
              </w:tabs>
              <w:jc w:val="center"/>
              <w:rPr>
                <w:rFonts w:hint="eastAsia" w:ascii="仿宋" w:hAnsi="仿宋" w:eastAsia="仿宋" w:cs="仿宋"/>
                <w:color w:val="auto"/>
                <w:szCs w:val="21"/>
              </w:rPr>
            </w:pPr>
          </w:p>
        </w:tc>
        <w:tc>
          <w:tcPr>
            <w:tcW w:w="1070" w:type="dxa"/>
            <w:vAlign w:val="center"/>
          </w:tcPr>
          <w:p>
            <w:pPr>
              <w:tabs>
                <w:tab w:val="left" w:pos="1000"/>
              </w:tabs>
              <w:jc w:val="center"/>
              <w:rPr>
                <w:rFonts w:hint="eastAsia" w:ascii="仿宋" w:hAnsi="仿宋" w:eastAsia="仿宋" w:cs="仿宋"/>
                <w:color w:val="auto"/>
                <w:szCs w:val="21"/>
              </w:rPr>
            </w:pPr>
          </w:p>
        </w:tc>
        <w:tc>
          <w:tcPr>
            <w:tcW w:w="706" w:type="dxa"/>
          </w:tcPr>
          <w:p>
            <w:pPr>
              <w:tabs>
                <w:tab w:val="left" w:pos="1000"/>
              </w:tabs>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1340" w:type="dxa"/>
            <w:vAlign w:val="center"/>
          </w:tcPr>
          <w:p>
            <w:pPr>
              <w:tabs>
                <w:tab w:val="left" w:pos="1000"/>
              </w:tabs>
              <w:jc w:val="center"/>
              <w:rPr>
                <w:rFonts w:hint="eastAsia" w:ascii="仿宋" w:hAnsi="仿宋" w:eastAsia="仿宋" w:cs="仿宋"/>
                <w:color w:val="auto"/>
                <w:szCs w:val="21"/>
              </w:rPr>
            </w:pPr>
          </w:p>
        </w:tc>
        <w:tc>
          <w:tcPr>
            <w:tcW w:w="834" w:type="dxa"/>
            <w:vAlign w:val="center"/>
          </w:tcPr>
          <w:p>
            <w:pPr>
              <w:tabs>
                <w:tab w:val="left" w:pos="1000"/>
              </w:tabs>
              <w:jc w:val="center"/>
              <w:rPr>
                <w:rFonts w:hint="eastAsia" w:ascii="仿宋" w:hAnsi="仿宋" w:eastAsia="仿宋" w:cs="仿宋"/>
                <w:color w:val="auto"/>
                <w:szCs w:val="21"/>
              </w:rPr>
            </w:pPr>
          </w:p>
        </w:tc>
        <w:tc>
          <w:tcPr>
            <w:tcW w:w="1305" w:type="dxa"/>
          </w:tcPr>
          <w:p>
            <w:pPr>
              <w:tabs>
                <w:tab w:val="left" w:pos="1000"/>
              </w:tabs>
              <w:jc w:val="center"/>
              <w:rPr>
                <w:rFonts w:hint="eastAsia" w:ascii="仿宋" w:hAnsi="仿宋" w:eastAsia="仿宋" w:cs="仿宋"/>
                <w:color w:val="auto"/>
                <w:szCs w:val="21"/>
              </w:rPr>
            </w:pPr>
          </w:p>
        </w:tc>
        <w:tc>
          <w:tcPr>
            <w:tcW w:w="1511" w:type="dxa"/>
            <w:vAlign w:val="center"/>
          </w:tcPr>
          <w:p>
            <w:pPr>
              <w:tabs>
                <w:tab w:val="left" w:pos="1000"/>
              </w:tabs>
              <w:jc w:val="center"/>
              <w:rPr>
                <w:rFonts w:hint="eastAsia" w:ascii="仿宋" w:hAnsi="仿宋" w:eastAsia="仿宋" w:cs="仿宋"/>
                <w:color w:val="auto"/>
                <w:szCs w:val="21"/>
              </w:rPr>
            </w:pPr>
          </w:p>
        </w:tc>
        <w:tc>
          <w:tcPr>
            <w:tcW w:w="1590" w:type="dxa"/>
            <w:vAlign w:val="center"/>
          </w:tcPr>
          <w:p>
            <w:pPr>
              <w:tabs>
                <w:tab w:val="left" w:pos="1000"/>
              </w:tabs>
              <w:jc w:val="center"/>
              <w:rPr>
                <w:rFonts w:hint="eastAsia" w:ascii="仿宋" w:hAnsi="仿宋" w:eastAsia="仿宋" w:cs="仿宋"/>
                <w:color w:val="auto"/>
                <w:szCs w:val="21"/>
              </w:rPr>
            </w:pPr>
          </w:p>
        </w:tc>
        <w:tc>
          <w:tcPr>
            <w:tcW w:w="1070" w:type="dxa"/>
            <w:vAlign w:val="center"/>
          </w:tcPr>
          <w:p>
            <w:pPr>
              <w:tabs>
                <w:tab w:val="left" w:pos="1000"/>
              </w:tabs>
              <w:jc w:val="center"/>
              <w:rPr>
                <w:rFonts w:hint="eastAsia" w:ascii="仿宋" w:hAnsi="仿宋" w:eastAsia="仿宋" w:cs="仿宋"/>
                <w:color w:val="auto"/>
                <w:szCs w:val="21"/>
              </w:rPr>
            </w:pPr>
          </w:p>
        </w:tc>
        <w:tc>
          <w:tcPr>
            <w:tcW w:w="706" w:type="dxa"/>
          </w:tcPr>
          <w:p>
            <w:pPr>
              <w:tabs>
                <w:tab w:val="left" w:pos="1000"/>
              </w:tabs>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1340" w:type="dxa"/>
            <w:vAlign w:val="center"/>
          </w:tcPr>
          <w:p>
            <w:pPr>
              <w:tabs>
                <w:tab w:val="left" w:pos="1000"/>
              </w:tabs>
              <w:jc w:val="center"/>
              <w:rPr>
                <w:rFonts w:hint="eastAsia" w:ascii="仿宋" w:hAnsi="仿宋" w:eastAsia="仿宋" w:cs="仿宋"/>
                <w:color w:val="auto"/>
                <w:szCs w:val="21"/>
              </w:rPr>
            </w:pPr>
          </w:p>
        </w:tc>
        <w:tc>
          <w:tcPr>
            <w:tcW w:w="834" w:type="dxa"/>
            <w:vAlign w:val="center"/>
          </w:tcPr>
          <w:p>
            <w:pPr>
              <w:tabs>
                <w:tab w:val="left" w:pos="1000"/>
              </w:tabs>
              <w:jc w:val="center"/>
              <w:rPr>
                <w:rFonts w:hint="eastAsia" w:ascii="仿宋" w:hAnsi="仿宋" w:eastAsia="仿宋" w:cs="仿宋"/>
                <w:color w:val="auto"/>
                <w:szCs w:val="21"/>
              </w:rPr>
            </w:pPr>
          </w:p>
        </w:tc>
        <w:tc>
          <w:tcPr>
            <w:tcW w:w="1305" w:type="dxa"/>
          </w:tcPr>
          <w:p>
            <w:pPr>
              <w:tabs>
                <w:tab w:val="left" w:pos="1000"/>
              </w:tabs>
              <w:jc w:val="center"/>
              <w:rPr>
                <w:rFonts w:hint="eastAsia" w:ascii="仿宋" w:hAnsi="仿宋" w:eastAsia="仿宋" w:cs="仿宋"/>
                <w:color w:val="auto"/>
                <w:szCs w:val="21"/>
              </w:rPr>
            </w:pPr>
          </w:p>
        </w:tc>
        <w:tc>
          <w:tcPr>
            <w:tcW w:w="1511" w:type="dxa"/>
            <w:vAlign w:val="center"/>
          </w:tcPr>
          <w:p>
            <w:pPr>
              <w:tabs>
                <w:tab w:val="left" w:pos="1000"/>
              </w:tabs>
              <w:jc w:val="center"/>
              <w:rPr>
                <w:rFonts w:hint="eastAsia" w:ascii="仿宋" w:hAnsi="仿宋" w:eastAsia="仿宋" w:cs="仿宋"/>
                <w:color w:val="auto"/>
                <w:szCs w:val="21"/>
              </w:rPr>
            </w:pPr>
          </w:p>
        </w:tc>
        <w:tc>
          <w:tcPr>
            <w:tcW w:w="1590" w:type="dxa"/>
            <w:vAlign w:val="center"/>
          </w:tcPr>
          <w:p>
            <w:pPr>
              <w:tabs>
                <w:tab w:val="left" w:pos="1000"/>
              </w:tabs>
              <w:jc w:val="center"/>
              <w:rPr>
                <w:rFonts w:hint="eastAsia" w:ascii="仿宋" w:hAnsi="仿宋" w:eastAsia="仿宋" w:cs="仿宋"/>
                <w:color w:val="auto"/>
                <w:szCs w:val="21"/>
              </w:rPr>
            </w:pPr>
          </w:p>
        </w:tc>
        <w:tc>
          <w:tcPr>
            <w:tcW w:w="1070" w:type="dxa"/>
            <w:vAlign w:val="center"/>
          </w:tcPr>
          <w:p>
            <w:pPr>
              <w:tabs>
                <w:tab w:val="left" w:pos="1000"/>
              </w:tabs>
              <w:jc w:val="center"/>
              <w:rPr>
                <w:rFonts w:hint="eastAsia" w:ascii="仿宋" w:hAnsi="仿宋" w:eastAsia="仿宋" w:cs="仿宋"/>
                <w:color w:val="auto"/>
                <w:szCs w:val="21"/>
              </w:rPr>
            </w:pPr>
          </w:p>
        </w:tc>
        <w:tc>
          <w:tcPr>
            <w:tcW w:w="706" w:type="dxa"/>
          </w:tcPr>
          <w:p>
            <w:pPr>
              <w:tabs>
                <w:tab w:val="left" w:pos="1000"/>
              </w:tabs>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1340" w:type="dxa"/>
            <w:vAlign w:val="center"/>
          </w:tcPr>
          <w:p>
            <w:pPr>
              <w:tabs>
                <w:tab w:val="left" w:pos="1000"/>
              </w:tabs>
              <w:jc w:val="center"/>
              <w:rPr>
                <w:rFonts w:hint="eastAsia" w:ascii="仿宋" w:hAnsi="仿宋" w:eastAsia="仿宋" w:cs="仿宋"/>
                <w:color w:val="auto"/>
                <w:szCs w:val="21"/>
              </w:rPr>
            </w:pPr>
          </w:p>
        </w:tc>
        <w:tc>
          <w:tcPr>
            <w:tcW w:w="834" w:type="dxa"/>
            <w:vAlign w:val="center"/>
          </w:tcPr>
          <w:p>
            <w:pPr>
              <w:tabs>
                <w:tab w:val="left" w:pos="1000"/>
              </w:tabs>
              <w:jc w:val="center"/>
              <w:rPr>
                <w:rFonts w:hint="eastAsia" w:ascii="仿宋" w:hAnsi="仿宋" w:eastAsia="仿宋" w:cs="仿宋"/>
                <w:color w:val="auto"/>
                <w:szCs w:val="21"/>
              </w:rPr>
            </w:pPr>
          </w:p>
        </w:tc>
        <w:tc>
          <w:tcPr>
            <w:tcW w:w="1305" w:type="dxa"/>
          </w:tcPr>
          <w:p>
            <w:pPr>
              <w:tabs>
                <w:tab w:val="left" w:pos="1000"/>
              </w:tabs>
              <w:jc w:val="center"/>
              <w:rPr>
                <w:rFonts w:hint="eastAsia" w:ascii="仿宋" w:hAnsi="仿宋" w:eastAsia="仿宋" w:cs="仿宋"/>
                <w:color w:val="auto"/>
                <w:szCs w:val="21"/>
              </w:rPr>
            </w:pPr>
          </w:p>
        </w:tc>
        <w:tc>
          <w:tcPr>
            <w:tcW w:w="1511" w:type="dxa"/>
            <w:vAlign w:val="center"/>
          </w:tcPr>
          <w:p>
            <w:pPr>
              <w:tabs>
                <w:tab w:val="left" w:pos="1000"/>
              </w:tabs>
              <w:jc w:val="center"/>
              <w:rPr>
                <w:rFonts w:hint="eastAsia" w:ascii="仿宋" w:hAnsi="仿宋" w:eastAsia="仿宋" w:cs="仿宋"/>
                <w:color w:val="auto"/>
                <w:szCs w:val="21"/>
              </w:rPr>
            </w:pPr>
          </w:p>
        </w:tc>
        <w:tc>
          <w:tcPr>
            <w:tcW w:w="1590" w:type="dxa"/>
            <w:vAlign w:val="center"/>
          </w:tcPr>
          <w:p>
            <w:pPr>
              <w:tabs>
                <w:tab w:val="left" w:pos="1000"/>
              </w:tabs>
              <w:jc w:val="center"/>
              <w:rPr>
                <w:rFonts w:hint="eastAsia" w:ascii="仿宋" w:hAnsi="仿宋" w:eastAsia="仿宋" w:cs="仿宋"/>
                <w:color w:val="auto"/>
                <w:szCs w:val="21"/>
              </w:rPr>
            </w:pPr>
          </w:p>
        </w:tc>
        <w:tc>
          <w:tcPr>
            <w:tcW w:w="1070" w:type="dxa"/>
            <w:vAlign w:val="center"/>
          </w:tcPr>
          <w:p>
            <w:pPr>
              <w:tabs>
                <w:tab w:val="left" w:pos="1000"/>
              </w:tabs>
              <w:jc w:val="center"/>
              <w:rPr>
                <w:rFonts w:hint="eastAsia" w:ascii="仿宋" w:hAnsi="仿宋" w:eastAsia="仿宋" w:cs="仿宋"/>
                <w:color w:val="auto"/>
                <w:szCs w:val="21"/>
              </w:rPr>
            </w:pPr>
          </w:p>
        </w:tc>
        <w:tc>
          <w:tcPr>
            <w:tcW w:w="706" w:type="dxa"/>
          </w:tcPr>
          <w:p>
            <w:pPr>
              <w:tabs>
                <w:tab w:val="left" w:pos="1000"/>
              </w:tabs>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1340" w:type="dxa"/>
            <w:vAlign w:val="center"/>
          </w:tcPr>
          <w:p>
            <w:pPr>
              <w:tabs>
                <w:tab w:val="left" w:pos="1000"/>
              </w:tabs>
              <w:jc w:val="center"/>
              <w:rPr>
                <w:rFonts w:hint="eastAsia" w:ascii="仿宋" w:hAnsi="仿宋" w:eastAsia="仿宋" w:cs="仿宋"/>
                <w:color w:val="auto"/>
                <w:szCs w:val="21"/>
              </w:rPr>
            </w:pPr>
          </w:p>
        </w:tc>
        <w:tc>
          <w:tcPr>
            <w:tcW w:w="834" w:type="dxa"/>
            <w:vAlign w:val="center"/>
          </w:tcPr>
          <w:p>
            <w:pPr>
              <w:tabs>
                <w:tab w:val="left" w:pos="1000"/>
              </w:tabs>
              <w:jc w:val="center"/>
              <w:rPr>
                <w:rFonts w:hint="eastAsia" w:ascii="仿宋" w:hAnsi="仿宋" w:eastAsia="仿宋" w:cs="仿宋"/>
                <w:color w:val="auto"/>
                <w:szCs w:val="21"/>
              </w:rPr>
            </w:pPr>
          </w:p>
        </w:tc>
        <w:tc>
          <w:tcPr>
            <w:tcW w:w="1305" w:type="dxa"/>
          </w:tcPr>
          <w:p>
            <w:pPr>
              <w:tabs>
                <w:tab w:val="left" w:pos="1000"/>
              </w:tabs>
              <w:jc w:val="center"/>
              <w:rPr>
                <w:rFonts w:hint="eastAsia" w:ascii="仿宋" w:hAnsi="仿宋" w:eastAsia="仿宋" w:cs="仿宋"/>
                <w:color w:val="auto"/>
                <w:szCs w:val="21"/>
              </w:rPr>
            </w:pPr>
          </w:p>
        </w:tc>
        <w:tc>
          <w:tcPr>
            <w:tcW w:w="1511" w:type="dxa"/>
            <w:vAlign w:val="center"/>
          </w:tcPr>
          <w:p>
            <w:pPr>
              <w:tabs>
                <w:tab w:val="left" w:pos="1000"/>
              </w:tabs>
              <w:jc w:val="center"/>
              <w:rPr>
                <w:rFonts w:hint="eastAsia" w:ascii="仿宋" w:hAnsi="仿宋" w:eastAsia="仿宋" w:cs="仿宋"/>
                <w:color w:val="auto"/>
                <w:szCs w:val="21"/>
              </w:rPr>
            </w:pPr>
          </w:p>
        </w:tc>
        <w:tc>
          <w:tcPr>
            <w:tcW w:w="1590" w:type="dxa"/>
            <w:vAlign w:val="center"/>
          </w:tcPr>
          <w:p>
            <w:pPr>
              <w:tabs>
                <w:tab w:val="left" w:pos="1000"/>
              </w:tabs>
              <w:jc w:val="center"/>
              <w:rPr>
                <w:rFonts w:hint="eastAsia" w:ascii="仿宋" w:hAnsi="仿宋" w:eastAsia="仿宋" w:cs="仿宋"/>
                <w:color w:val="auto"/>
                <w:szCs w:val="21"/>
              </w:rPr>
            </w:pPr>
          </w:p>
        </w:tc>
        <w:tc>
          <w:tcPr>
            <w:tcW w:w="1070" w:type="dxa"/>
            <w:vAlign w:val="center"/>
          </w:tcPr>
          <w:p>
            <w:pPr>
              <w:tabs>
                <w:tab w:val="left" w:pos="1000"/>
              </w:tabs>
              <w:jc w:val="center"/>
              <w:rPr>
                <w:rFonts w:hint="eastAsia" w:ascii="仿宋" w:hAnsi="仿宋" w:eastAsia="仿宋" w:cs="仿宋"/>
                <w:color w:val="auto"/>
                <w:szCs w:val="21"/>
              </w:rPr>
            </w:pPr>
          </w:p>
        </w:tc>
        <w:tc>
          <w:tcPr>
            <w:tcW w:w="706" w:type="dxa"/>
          </w:tcPr>
          <w:p>
            <w:pPr>
              <w:tabs>
                <w:tab w:val="left" w:pos="1000"/>
              </w:tabs>
              <w:jc w:val="center"/>
              <w:rPr>
                <w:rFonts w:hint="eastAsia" w:ascii="仿宋" w:hAnsi="仿宋" w:eastAsia="仿宋" w:cs="仿宋"/>
                <w:color w:val="auto"/>
                <w:szCs w:val="21"/>
              </w:rPr>
            </w:pPr>
          </w:p>
        </w:tc>
      </w:tr>
    </w:tbl>
    <w:p>
      <w:pPr>
        <w:kinsoku w:val="0"/>
        <w:topLinePunct/>
        <w:snapToGrid w:val="0"/>
        <w:spacing w:line="360" w:lineRule="auto"/>
        <w:rPr>
          <w:rFonts w:hint="eastAsia" w:ascii="仿宋" w:hAnsi="仿宋" w:eastAsia="仿宋" w:cs="仿宋"/>
          <w:color w:val="auto"/>
          <w:sz w:val="24"/>
        </w:rPr>
      </w:pPr>
    </w:p>
    <w:p>
      <w:pPr>
        <w:pStyle w:val="2"/>
        <w:rPr>
          <w:rFonts w:hint="eastAsia" w:ascii="仿宋" w:hAnsi="仿宋" w:eastAsia="仿宋" w:cs="仿宋"/>
          <w:color w:val="auto"/>
          <w:sz w:val="24"/>
        </w:rPr>
      </w:pPr>
    </w:p>
    <w:p>
      <w:pPr>
        <w:pStyle w:val="2"/>
        <w:rPr>
          <w:rFonts w:hint="eastAsia" w:ascii="仿宋" w:hAnsi="仿宋" w:eastAsia="仿宋" w:cs="仿宋"/>
          <w:color w:val="auto"/>
          <w:sz w:val="24"/>
        </w:rPr>
      </w:pPr>
    </w:p>
    <w:p>
      <w:pPr>
        <w:pStyle w:val="2"/>
        <w:rPr>
          <w:rFonts w:hint="eastAsia" w:ascii="仿宋" w:hAnsi="仿宋" w:eastAsia="仿宋" w:cs="仿宋"/>
          <w:color w:val="auto"/>
          <w:sz w:val="24"/>
        </w:rPr>
      </w:pPr>
    </w:p>
    <w:p>
      <w:pPr>
        <w:kinsoku w:val="0"/>
        <w:topLinePunct/>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投标</w:t>
      </w:r>
      <w:r>
        <w:rPr>
          <w:rFonts w:hint="eastAsia" w:ascii="仿宋" w:hAnsi="仿宋" w:eastAsia="仿宋" w:cs="仿宋"/>
          <w:color w:val="auto"/>
          <w:sz w:val="24"/>
          <w:szCs w:val="20"/>
          <w:lang w:val="zh-CN"/>
        </w:rPr>
        <w:t>供应商单位公章</w:t>
      </w:r>
      <w:r>
        <w:rPr>
          <w:rFonts w:hint="eastAsia" w:ascii="仿宋" w:hAnsi="仿宋" w:eastAsia="仿宋" w:cs="仿宋"/>
          <w:color w:val="auto"/>
          <w:sz w:val="24"/>
        </w:rPr>
        <w:t>：（盖章）</w:t>
      </w:r>
    </w:p>
    <w:p>
      <w:pPr>
        <w:kinsoku w:val="0"/>
        <w:topLinePunct/>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法定代表人或受权人（签字）：</w:t>
      </w:r>
    </w:p>
    <w:p>
      <w:pPr>
        <w:kinsoku w:val="0"/>
        <w:topLinePunct/>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日期：2022年月日</w:t>
      </w:r>
    </w:p>
    <w:p>
      <w:pPr>
        <w:pStyle w:val="49"/>
        <w:rPr>
          <w:rFonts w:hint="eastAsia" w:ascii="仿宋" w:hAnsi="仿宋" w:eastAsia="仿宋" w:cs="仿宋"/>
          <w:color w:val="auto"/>
          <w:sz w:val="28"/>
          <w:szCs w:val="28"/>
        </w:rPr>
      </w:pPr>
    </w:p>
    <w:p>
      <w:pPr>
        <w:pStyle w:val="49"/>
        <w:rPr>
          <w:rFonts w:hint="eastAsia" w:ascii="仿宋" w:hAnsi="仿宋" w:eastAsia="仿宋" w:cs="仿宋"/>
          <w:color w:val="auto"/>
          <w:sz w:val="28"/>
          <w:szCs w:val="28"/>
        </w:rPr>
      </w:pPr>
    </w:p>
    <w:p>
      <w:pPr>
        <w:snapToGrid w:val="0"/>
        <w:spacing w:line="400" w:lineRule="exact"/>
        <w:contextualSpacing/>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br w:type="page"/>
      </w:r>
      <w:r>
        <w:rPr>
          <w:rFonts w:hint="eastAsia" w:ascii="仿宋" w:hAnsi="仿宋" w:eastAsia="仿宋" w:cs="仿宋"/>
          <w:color w:val="auto"/>
          <w:kern w:val="0"/>
          <w:sz w:val="32"/>
          <w:szCs w:val="32"/>
        </w:rPr>
        <w:t>附件6</w:t>
      </w:r>
    </w:p>
    <w:p>
      <w:pPr>
        <w:snapToGrid w:val="0"/>
        <w:spacing w:line="300" w:lineRule="auto"/>
        <w:contextualSpacing/>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技术部分正负偏离表</w:t>
      </w:r>
    </w:p>
    <w:p>
      <w:pPr>
        <w:ind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（由供应商据实填写，表格不够自行添加）</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仿宋" w:hAnsi="仿宋" w:eastAsia="仿宋" w:cs="仿宋"/>
                <w:color w:val="auto"/>
                <w:sz w:val="24"/>
              </w:rPr>
            </w:pPr>
          </w:p>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 w:hAnsi="仿宋" w:eastAsia="仿宋" w:cs="仿宋"/>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 w:hAnsi="仿宋" w:eastAsia="仿宋" w:cs="仿宋"/>
                <w:color w:val="auto"/>
                <w:sz w:val="24"/>
              </w:rPr>
            </w:pPr>
          </w:p>
        </w:tc>
      </w:tr>
    </w:tbl>
    <w:p>
      <w:pPr>
        <w:snapToGrid w:val="0"/>
        <w:spacing w:line="300" w:lineRule="auto"/>
        <w:contextualSpacing/>
        <w:rPr>
          <w:rFonts w:hint="eastAsia" w:ascii="仿宋" w:hAnsi="仿宋" w:eastAsia="仿宋" w:cs="仿宋"/>
          <w:b/>
          <w:color w:val="auto"/>
          <w:sz w:val="24"/>
        </w:rPr>
      </w:pPr>
      <w:r>
        <w:rPr>
          <w:rFonts w:hint="eastAsia" w:ascii="仿宋" w:hAnsi="仿宋" w:eastAsia="仿宋" w:cs="仿宋"/>
          <w:b/>
          <w:color w:val="auto"/>
          <w:sz w:val="24"/>
        </w:rPr>
        <w:t>注：</w:t>
      </w:r>
    </w:p>
    <w:p>
      <w:pPr>
        <w:snapToGrid w:val="0"/>
        <w:spacing w:line="300" w:lineRule="auto"/>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1.供应商提交的响应文件中与磋商文件第三部分“项目需求”中的技术部分的要求，应逐条填列在偏离表中。完全响应以空表提交。</w:t>
      </w:r>
    </w:p>
    <w:p>
      <w:pPr>
        <w:snapToGrid w:val="0"/>
        <w:spacing w:line="300" w:lineRule="auto"/>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2.“偏离说明”一栏选择“正偏离”、“无偏离”、“负偏离”进行填写。正偏离的确认和负偏离的是否响应磋商文件，由磋商小组认定。</w:t>
      </w:r>
    </w:p>
    <w:p>
      <w:pPr>
        <w:snapToGrid w:val="0"/>
        <w:spacing w:line="300" w:lineRule="auto"/>
        <w:ind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3.供应商如果虚假响应，将被暂停参加采购人组织采购活动。</w:t>
      </w:r>
    </w:p>
    <w:p>
      <w:pPr>
        <w:snapToGrid w:val="0"/>
        <w:spacing w:line="300" w:lineRule="auto"/>
        <w:ind w:firstLine="480" w:firstLineChars="200"/>
        <w:contextualSpacing/>
        <w:rPr>
          <w:rFonts w:hint="eastAsia" w:ascii="仿宋" w:hAnsi="仿宋" w:eastAsia="仿宋" w:cs="仿宋"/>
          <w:bCs/>
          <w:color w:val="auto"/>
          <w:sz w:val="24"/>
        </w:rPr>
      </w:pPr>
      <w:r>
        <w:rPr>
          <w:rFonts w:hint="eastAsia" w:ascii="仿宋" w:hAnsi="仿宋" w:eastAsia="仿宋" w:cs="仿宋"/>
          <w:bCs/>
          <w:color w:val="auto"/>
          <w:sz w:val="24"/>
        </w:rPr>
        <w:t>4.供应商若提供其他增值服务，可以在表中自行据实填写。</w:t>
      </w: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contextualSpacing/>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附件7</w:t>
      </w:r>
    </w:p>
    <w:p>
      <w:pPr>
        <w:widowControl/>
        <w:spacing w:before="100" w:beforeAutospacing="1" w:after="100" w:afterAutospacing="1" w:line="500" w:lineRule="atLeast"/>
        <w:jc w:val="center"/>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报价总表</w:t>
      </w:r>
    </w:p>
    <w:p>
      <w:pPr>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供应商全称（加盖公章）：</w:t>
      </w:r>
    </w:p>
    <w:p>
      <w:pPr>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项目名称：</w:t>
      </w:r>
    </w:p>
    <w:p>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项目编号：</w:t>
      </w:r>
    </w:p>
    <w:p>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分包号：</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hint="eastAsia" w:ascii="仿宋" w:hAnsi="仿宋" w:eastAsia="仿宋" w:cs="仿宋"/>
                <w:color w:val="auto"/>
                <w:szCs w:val="22"/>
              </w:rPr>
            </w:pPr>
            <w:r>
              <w:rPr>
                <w:rFonts w:hint="eastAsia" w:ascii="仿宋" w:hAnsi="仿宋" w:eastAsia="仿宋" w:cs="仿宋"/>
                <w:color w:val="auto"/>
                <w:kern w:val="0"/>
                <w:sz w:val="28"/>
                <w:szCs w:val="28"/>
              </w:rPr>
              <w:t>磋商服务名称</w:t>
            </w:r>
          </w:p>
        </w:tc>
        <w:tc>
          <w:tcPr>
            <w:tcW w:w="4607" w:type="dxa"/>
          </w:tcPr>
          <w:p>
            <w:pPr>
              <w:jc w:val="center"/>
              <w:rPr>
                <w:rFonts w:hint="eastAsia" w:ascii="仿宋" w:hAnsi="仿宋" w:eastAsia="仿宋" w:cs="仿宋"/>
                <w:color w:val="auto"/>
                <w:szCs w:val="22"/>
              </w:rPr>
            </w:pPr>
            <w:r>
              <w:rPr>
                <w:rFonts w:hint="eastAsia" w:ascii="仿宋" w:hAnsi="仿宋" w:eastAsia="仿宋" w:cs="仿宋"/>
                <w:color w:val="auto"/>
                <w:kern w:val="0"/>
                <w:sz w:val="28"/>
                <w:szCs w:val="28"/>
              </w:rPr>
              <w:t>磋商总报价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rPr>
                <w:rFonts w:hint="eastAsia" w:ascii="仿宋" w:hAnsi="仿宋" w:eastAsia="仿宋" w:cs="仿宋"/>
                <w:color w:val="auto"/>
                <w:szCs w:val="22"/>
              </w:rPr>
            </w:pPr>
          </w:p>
        </w:tc>
        <w:tc>
          <w:tcPr>
            <w:tcW w:w="4607" w:type="dxa"/>
          </w:tcPr>
          <w:p>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大写：</w:t>
            </w:r>
          </w:p>
          <w:p>
            <w:pPr>
              <w:rPr>
                <w:rFonts w:hint="eastAsia" w:ascii="仿宋" w:hAnsi="仿宋" w:eastAsia="仿宋" w:cs="仿宋"/>
                <w:color w:val="auto"/>
                <w:szCs w:val="22"/>
                <w:u w:val="single"/>
              </w:rPr>
            </w:pPr>
            <w:r>
              <w:rPr>
                <w:rFonts w:hint="eastAsia" w:ascii="仿宋" w:hAnsi="仿宋" w:eastAsia="仿宋" w:cs="仿宋"/>
                <w:color w:val="auto"/>
                <w:kern w:val="0"/>
                <w:sz w:val="28"/>
                <w:szCs w:val="28"/>
              </w:rPr>
              <w:t>小写：元（人民币）</w:t>
            </w:r>
          </w:p>
        </w:tc>
      </w:tr>
    </w:tbl>
    <w:p>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日期：</w:t>
      </w:r>
    </w:p>
    <w:p>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填写说明：</w:t>
      </w:r>
    </w:p>
    <w:p>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1、报价总表必须加盖供应商公章（复印件无效）。</w:t>
      </w:r>
    </w:p>
    <w:p>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2、如有分包，供应商参与任何一个包的标的，都需单独填写报价总表。</w:t>
      </w: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ind w:firstLine="540" w:firstLineChars="192"/>
        <w:contextualSpacing/>
        <w:rPr>
          <w:rFonts w:hint="eastAsia" w:ascii="仿宋" w:hAnsi="仿宋" w:eastAsia="仿宋" w:cs="仿宋"/>
          <w:b/>
          <w:color w:val="auto"/>
          <w:kern w:val="0"/>
          <w:sz w:val="28"/>
          <w:szCs w:val="28"/>
        </w:rPr>
      </w:pPr>
    </w:p>
    <w:p>
      <w:pPr>
        <w:snapToGrid w:val="0"/>
        <w:spacing w:line="400" w:lineRule="exact"/>
        <w:contextualSpacing/>
        <w:rPr>
          <w:rFonts w:hint="eastAsia" w:ascii="仿宋" w:hAnsi="仿宋" w:eastAsia="仿宋" w:cs="仿宋"/>
          <w:b/>
          <w:color w:val="auto"/>
          <w:kern w:val="0"/>
          <w:sz w:val="28"/>
          <w:szCs w:val="28"/>
        </w:rPr>
      </w:pPr>
    </w:p>
    <w:p>
      <w:pPr>
        <w:snapToGrid w:val="0"/>
        <w:spacing w:line="400" w:lineRule="exact"/>
        <w:contextualSpacing/>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附件8</w:t>
      </w:r>
    </w:p>
    <w:p>
      <w:pPr>
        <w:snapToGrid w:val="0"/>
        <w:spacing w:line="360" w:lineRule="auto"/>
        <w:ind w:firstLine="703" w:firstLineChars="250"/>
        <w:jc w:val="center"/>
        <w:rPr>
          <w:rFonts w:hint="eastAsia" w:ascii="仿宋" w:hAnsi="仿宋" w:eastAsia="仿宋" w:cs="仿宋"/>
          <w:color w:val="auto"/>
          <w:sz w:val="24"/>
        </w:rPr>
      </w:pPr>
      <w:r>
        <w:rPr>
          <w:rFonts w:hint="eastAsia" w:ascii="仿宋" w:hAnsi="仿宋" w:eastAsia="仿宋" w:cs="仿宋"/>
          <w:b/>
          <w:color w:val="auto"/>
          <w:sz w:val="28"/>
          <w:szCs w:val="28"/>
        </w:rPr>
        <w:t>磋商响应报价明细表</w:t>
      </w:r>
    </w:p>
    <w:p>
      <w:pPr>
        <w:snapToGrid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 xml:space="preserve">项目名称： </w:t>
      </w:r>
    </w:p>
    <w:p>
      <w:pPr>
        <w:snapToGrid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项目编号：</w:t>
      </w:r>
    </w:p>
    <w:tbl>
      <w:tblPr>
        <w:tblStyle w:val="21"/>
        <w:tblW w:w="8617" w:type="dxa"/>
        <w:tblInd w:w="0" w:type="dxa"/>
        <w:shd w:val="clear" w:color="auto" w:fill="FFFFFF"/>
        <w:tblLayout w:type="autofit"/>
        <w:tblCellMar>
          <w:top w:w="0" w:type="dxa"/>
          <w:left w:w="0" w:type="dxa"/>
          <w:bottom w:w="0" w:type="dxa"/>
          <w:right w:w="0" w:type="dxa"/>
        </w:tblCellMar>
      </w:tblPr>
      <w:tblGrid>
        <w:gridCol w:w="634"/>
        <w:gridCol w:w="2918"/>
        <w:gridCol w:w="1134"/>
        <w:gridCol w:w="1276"/>
        <w:gridCol w:w="1134"/>
        <w:gridCol w:w="1511"/>
        <w:gridCol w:w="10"/>
      </w:tblGrid>
      <w:tr>
        <w:tblPrEx>
          <w:shd w:val="clear" w:color="auto" w:fill="FFFFFF"/>
          <w:tblCellMar>
            <w:top w:w="0" w:type="dxa"/>
            <w:left w:w="0" w:type="dxa"/>
            <w:bottom w:w="0" w:type="dxa"/>
            <w:right w:w="0" w:type="dxa"/>
          </w:tblCellMar>
        </w:tblPrEx>
        <w:trPr>
          <w:gridAfter w:val="1"/>
          <w:wAfter w:w="10" w:type="dxa"/>
          <w:trHeight w:val="43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项目内容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单价/次/台</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数量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总价</w:t>
            </w:r>
          </w:p>
        </w:tc>
        <w:tc>
          <w:tcPr>
            <w:tcW w:w="15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备注</w:t>
            </w:r>
          </w:p>
        </w:tc>
      </w:tr>
      <w:tr>
        <w:tblPrEx>
          <w:shd w:val="clear" w:color="auto" w:fill="FFFFFF"/>
          <w:tblCellMar>
            <w:top w:w="0" w:type="dxa"/>
            <w:left w:w="0" w:type="dxa"/>
            <w:bottom w:w="0" w:type="dxa"/>
            <w:right w:w="0" w:type="dxa"/>
          </w:tblCellMar>
        </w:tblPrEx>
        <w:trPr>
          <w:gridAfter w:val="1"/>
          <w:wAfter w:w="10" w:type="dxa"/>
          <w:trHeight w:val="42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1.5匹空调室内机</w:t>
            </w:r>
            <w:r>
              <w:rPr>
                <w:rFonts w:hint="eastAsia" w:ascii="仿宋" w:hAnsi="仿宋" w:eastAsia="仿宋" w:cs="仿宋"/>
                <w:color w:val="auto"/>
                <w:kern w:val="0"/>
                <w:szCs w:val="21"/>
                <w:lang w:val="en-US" w:eastAsia="zh-CN"/>
              </w:rPr>
              <w:t>滤网</w:t>
            </w:r>
            <w:r>
              <w:rPr>
                <w:rFonts w:hint="eastAsia" w:ascii="仿宋" w:hAnsi="仿宋" w:eastAsia="仿宋" w:cs="仿宋"/>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1.5匹空调移机（拆）</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1.5匹空调移机（装）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30台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2匹空调室内机</w:t>
            </w:r>
            <w:r>
              <w:rPr>
                <w:rFonts w:hint="eastAsia" w:ascii="仿宋" w:hAnsi="仿宋" w:eastAsia="仿宋" w:cs="仿宋"/>
                <w:color w:val="auto"/>
                <w:kern w:val="0"/>
                <w:szCs w:val="21"/>
                <w:lang w:val="en-US" w:eastAsia="zh-CN"/>
              </w:rPr>
              <w:t>滤网</w:t>
            </w:r>
            <w:r>
              <w:rPr>
                <w:rFonts w:hint="eastAsia" w:ascii="仿宋" w:hAnsi="仿宋" w:eastAsia="仿宋" w:cs="仿宋"/>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300台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3匹空调</w:t>
            </w:r>
            <w:r>
              <w:rPr>
                <w:rFonts w:hint="eastAsia" w:ascii="仿宋" w:hAnsi="仿宋" w:eastAsia="仿宋" w:cs="仿宋"/>
                <w:color w:val="auto"/>
                <w:kern w:val="0"/>
                <w:szCs w:val="21"/>
                <w:lang w:val="en-US" w:eastAsia="zh-CN"/>
              </w:rPr>
              <w:t>滤网</w:t>
            </w:r>
            <w:r>
              <w:rPr>
                <w:rFonts w:hint="eastAsia" w:ascii="仿宋" w:hAnsi="仿宋" w:eastAsia="仿宋" w:cs="仿宋"/>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 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5匹空调</w:t>
            </w:r>
            <w:r>
              <w:rPr>
                <w:rFonts w:hint="eastAsia" w:ascii="仿宋" w:hAnsi="仿宋" w:eastAsia="仿宋" w:cs="仿宋"/>
                <w:color w:val="auto"/>
                <w:kern w:val="0"/>
                <w:szCs w:val="21"/>
                <w:lang w:val="en-US" w:eastAsia="zh-CN"/>
              </w:rPr>
              <w:t>滤网</w:t>
            </w:r>
            <w:r>
              <w:rPr>
                <w:rFonts w:hint="eastAsia" w:ascii="仿宋" w:hAnsi="仿宋" w:eastAsia="仿宋" w:cs="仿宋"/>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1.5匹—2匹空调铜管（米）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打空调墙孔</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20个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20只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2匹四通阀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5匹四通阀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ind w:firstLine="735" w:firstLineChars="350"/>
              <w:jc w:val="left"/>
              <w:rPr>
                <w:rFonts w:hint="eastAsia" w:ascii="仿宋" w:hAnsi="仿宋" w:eastAsia="仿宋" w:cs="仿宋"/>
                <w:color w:val="auto"/>
                <w:kern w:val="0"/>
                <w:szCs w:val="21"/>
              </w:rPr>
            </w:pPr>
            <w:r>
              <w:rPr>
                <w:rFonts w:hint="eastAsia" w:ascii="仿宋" w:hAnsi="仿宋" w:eastAsia="仿宋" w:cs="仿宋"/>
                <w:color w:val="auto"/>
                <w:kern w:val="0"/>
                <w:szCs w:val="21"/>
              </w:rPr>
              <w:t>1.5匹轴流风叶</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10只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1.5匹内电机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1.5匹外电机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仿宋" w:hAnsi="仿宋" w:eastAsia="仿宋" w:cs="仿宋"/>
                <w:color w:val="auto"/>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1.5匹冷凝器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仿宋" w:hAnsi="仿宋" w:eastAsia="仿宋" w:cs="仿宋"/>
                <w:color w:val="auto"/>
              </w:rPr>
            </w:pPr>
            <w:r>
              <w:rPr>
                <w:rFonts w:hint="eastAsia" w:ascii="仿宋" w:hAnsi="仿宋" w:eastAsia="仿宋" w:cs="仿宋"/>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38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排水管（每米）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 w:hAnsi="仿宋" w:eastAsia="仿宋" w:cs="仿宋"/>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仿宋" w:hAnsi="仿宋" w:eastAsia="仿宋" w:cs="仿宋"/>
                <w:color w:val="auto"/>
              </w:rPr>
            </w:pPr>
            <w:r>
              <w:rPr>
                <w:rFonts w:hint="eastAsia" w:ascii="仿宋" w:hAnsi="仿宋" w:eastAsia="仿宋" w:cs="仿宋"/>
                <w:b/>
                <w:bCs/>
                <w:color w:val="auto"/>
                <w:kern w:val="0"/>
              </w:rPr>
              <w:t>50米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hint="eastAsia" w:ascii="仿宋" w:hAnsi="仿宋" w:eastAsia="仿宋" w:cs="仿宋"/>
                <w:color w:val="auto"/>
                <w:kern w:val="0"/>
                <w:sz w:val="18"/>
                <w:szCs w:val="18"/>
              </w:rPr>
            </w:pPr>
          </w:p>
        </w:tc>
      </w:tr>
      <w:tr>
        <w:tblPrEx>
          <w:shd w:val="clear" w:color="auto" w:fill="FFFFFF"/>
          <w:tblCellMar>
            <w:top w:w="0" w:type="dxa"/>
            <w:left w:w="0" w:type="dxa"/>
            <w:bottom w:w="0" w:type="dxa"/>
            <w:right w:w="0" w:type="dxa"/>
          </w:tblCellMar>
        </w:tblPrEx>
        <w:trPr>
          <w:trHeight w:val="435" w:hRule="atLeast"/>
        </w:trPr>
        <w:tc>
          <w:tcPr>
            <w:tcW w:w="3552"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仿宋" w:hAnsi="仿宋" w:eastAsia="仿宋" w:cs="仿宋"/>
                <w:color w:val="auto"/>
                <w:kern w:val="0"/>
                <w:szCs w:val="21"/>
              </w:rPr>
            </w:pPr>
            <w:r>
              <w:rPr>
                <w:rFonts w:hint="eastAsia" w:ascii="仿宋" w:hAnsi="仿宋" w:eastAsia="仿宋" w:cs="仿宋"/>
                <w:color w:val="auto"/>
                <w:kern w:val="0"/>
                <w:szCs w:val="21"/>
              </w:rPr>
              <w:t>合计（总金额）</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color w:val="auto"/>
                <w:kern w:val="0"/>
                <w:szCs w:val="21"/>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仿宋" w:hAnsi="仿宋" w:eastAsia="仿宋" w:cs="仿宋"/>
                <w:color w:val="auto"/>
                <w:kern w:val="0"/>
                <w:szCs w:val="21"/>
              </w:rPr>
            </w:pPr>
          </w:p>
        </w:tc>
        <w:tc>
          <w:tcPr>
            <w:tcW w:w="1134" w:type="dxa"/>
            <w:tcBorders>
              <w:top w:val="single" w:color="auto" w:sz="4" w:space="0"/>
              <w:bottom w:val="single" w:color="auto" w:sz="4" w:space="0"/>
              <w:right w:val="single" w:color="auto" w:sz="4" w:space="0"/>
            </w:tcBorders>
            <w:shd w:val="clear" w:color="auto" w:fill="auto"/>
          </w:tcPr>
          <w:p>
            <w:pPr>
              <w:widowControl/>
              <w:jc w:val="left"/>
              <w:rPr>
                <w:rFonts w:hint="eastAsia" w:ascii="仿宋" w:hAnsi="仿宋" w:eastAsia="仿宋" w:cs="仿宋"/>
                <w:color w:val="auto"/>
                <w:kern w:val="0"/>
                <w:sz w:val="20"/>
                <w:szCs w:val="20"/>
              </w:rPr>
            </w:pPr>
          </w:p>
        </w:tc>
        <w:tc>
          <w:tcPr>
            <w:tcW w:w="1521" w:type="dxa"/>
            <w:gridSpan w:val="2"/>
            <w:tcBorders>
              <w:top w:val="single" w:color="auto" w:sz="4" w:space="0"/>
              <w:bottom w:val="single" w:color="auto" w:sz="4" w:space="0"/>
              <w:right w:val="single" w:color="auto" w:sz="4" w:space="0"/>
            </w:tcBorders>
            <w:shd w:val="clear" w:color="auto" w:fill="auto"/>
          </w:tcPr>
          <w:p>
            <w:pPr>
              <w:widowControl/>
              <w:jc w:val="left"/>
              <w:rPr>
                <w:rFonts w:hint="eastAsia" w:ascii="仿宋" w:hAnsi="仿宋" w:eastAsia="仿宋" w:cs="仿宋"/>
                <w:color w:val="auto"/>
                <w:kern w:val="0"/>
                <w:sz w:val="20"/>
                <w:szCs w:val="20"/>
              </w:rPr>
            </w:pPr>
          </w:p>
        </w:tc>
      </w:tr>
    </w:tbl>
    <w:p>
      <w:pPr>
        <w:pStyle w:val="2"/>
        <w:rPr>
          <w:rFonts w:hint="eastAsia" w:ascii="仿宋" w:hAnsi="仿宋" w:eastAsia="仿宋" w:cs="仿宋"/>
          <w:color w:val="auto"/>
          <w:lang w:eastAsia="zh-CN" w:bidi="ar-SA"/>
        </w:rPr>
      </w:pPr>
    </w:p>
    <w:p>
      <w:pPr>
        <w:spacing w:line="520" w:lineRule="exact"/>
        <w:ind w:firstLine="482" w:firstLineChars="200"/>
        <w:rPr>
          <w:rFonts w:hint="eastAsia" w:ascii="仿宋" w:hAnsi="仿宋" w:eastAsia="仿宋" w:cs="仿宋"/>
          <w:b/>
          <w:color w:val="auto"/>
          <w:sz w:val="24"/>
          <w:szCs w:val="20"/>
        </w:rPr>
      </w:pPr>
      <w:r>
        <w:rPr>
          <w:rFonts w:hint="eastAsia" w:ascii="仿宋" w:hAnsi="仿宋" w:eastAsia="仿宋" w:cs="仿宋"/>
          <w:b/>
          <w:color w:val="auto"/>
          <w:sz w:val="24"/>
          <w:szCs w:val="20"/>
        </w:rPr>
        <w:t>供应商：（盖章）</w:t>
      </w:r>
    </w:p>
    <w:p>
      <w:pPr>
        <w:spacing w:line="520" w:lineRule="exact"/>
        <w:ind w:firstLine="482" w:firstLineChars="200"/>
        <w:rPr>
          <w:rFonts w:hint="eastAsia" w:ascii="仿宋" w:hAnsi="仿宋" w:eastAsia="仿宋" w:cs="仿宋"/>
          <w:b/>
          <w:color w:val="auto"/>
          <w:sz w:val="24"/>
          <w:szCs w:val="20"/>
        </w:rPr>
      </w:pPr>
      <w:r>
        <w:rPr>
          <w:rFonts w:hint="eastAsia" w:ascii="仿宋" w:hAnsi="仿宋" w:eastAsia="仿宋" w:cs="仿宋"/>
          <w:b/>
          <w:color w:val="auto"/>
          <w:sz w:val="24"/>
          <w:szCs w:val="20"/>
        </w:rPr>
        <w:t>法定代表人或受权人（签字）：</w:t>
      </w:r>
    </w:p>
    <w:p>
      <w:pPr>
        <w:spacing w:line="520" w:lineRule="exact"/>
        <w:ind w:firstLine="482" w:firstLineChars="200"/>
        <w:rPr>
          <w:rFonts w:hint="eastAsia" w:ascii="仿宋" w:hAnsi="仿宋" w:eastAsia="仿宋" w:cs="仿宋"/>
          <w:b/>
          <w:color w:val="auto"/>
          <w:sz w:val="24"/>
          <w:szCs w:val="20"/>
        </w:rPr>
      </w:pPr>
      <w:r>
        <w:rPr>
          <w:rFonts w:hint="eastAsia" w:ascii="仿宋" w:hAnsi="仿宋" w:eastAsia="仿宋" w:cs="仿宋"/>
          <w:b/>
          <w:color w:val="auto"/>
          <w:sz w:val="24"/>
          <w:szCs w:val="20"/>
        </w:rPr>
        <w:t>日期：</w:t>
      </w:r>
    </w:p>
    <w:p>
      <w:pPr>
        <w:spacing w:line="360" w:lineRule="auto"/>
        <w:ind w:firstLine="482" w:firstLineChars="200"/>
        <w:rPr>
          <w:rFonts w:hint="eastAsia" w:ascii="仿宋" w:hAnsi="仿宋" w:eastAsia="仿宋" w:cs="仿宋"/>
          <w:b/>
          <w:color w:val="auto"/>
          <w:sz w:val="24"/>
          <w:szCs w:val="20"/>
        </w:rPr>
      </w:pPr>
      <w:r>
        <w:rPr>
          <w:rFonts w:hint="eastAsia" w:ascii="仿宋" w:hAnsi="仿宋" w:eastAsia="仿宋" w:cs="仿宋"/>
          <w:b/>
          <w:color w:val="auto"/>
          <w:sz w:val="24"/>
          <w:szCs w:val="20"/>
        </w:rPr>
        <w:t>说明：</w:t>
      </w:r>
    </w:p>
    <w:p>
      <w:pPr>
        <w:spacing w:line="360" w:lineRule="auto"/>
        <w:ind w:firstLine="480" w:firstLineChars="200"/>
        <w:rPr>
          <w:rFonts w:hint="eastAsia" w:ascii="仿宋" w:hAnsi="仿宋" w:eastAsia="仿宋" w:cs="仿宋"/>
          <w:color w:val="auto"/>
          <w:sz w:val="24"/>
          <w:szCs w:val="20"/>
        </w:rPr>
      </w:pPr>
      <w:r>
        <w:rPr>
          <w:rFonts w:hint="eastAsia" w:ascii="仿宋" w:hAnsi="仿宋" w:eastAsia="仿宋" w:cs="仿宋"/>
          <w:color w:val="auto"/>
          <w:sz w:val="24"/>
          <w:szCs w:val="20"/>
        </w:rPr>
        <w:t>（1）本表式不得自行改动。</w:t>
      </w:r>
    </w:p>
    <w:p>
      <w:pPr>
        <w:spacing w:line="360" w:lineRule="auto"/>
        <w:ind w:firstLine="472" w:firstLineChars="197"/>
        <w:rPr>
          <w:rFonts w:hint="eastAsia" w:ascii="仿宋" w:hAnsi="仿宋" w:eastAsia="仿宋" w:cs="仿宋"/>
          <w:color w:val="auto"/>
          <w:sz w:val="24"/>
          <w:szCs w:val="20"/>
        </w:rPr>
      </w:pPr>
      <w:r>
        <w:rPr>
          <w:rFonts w:hint="eastAsia" w:ascii="仿宋" w:hAnsi="仿宋" w:eastAsia="仿宋" w:cs="仿宋"/>
          <w:color w:val="auto"/>
          <w:sz w:val="24"/>
          <w:szCs w:val="20"/>
        </w:rPr>
        <w:t>（2）供应商应按本磋商文件中项目需求的全部货物和服务计算单价和总价。</w:t>
      </w:r>
    </w:p>
    <w:p>
      <w:pPr>
        <w:spacing w:line="360" w:lineRule="auto"/>
        <w:ind w:firstLine="472" w:firstLineChars="197"/>
        <w:rPr>
          <w:rFonts w:hint="eastAsia" w:ascii="仿宋" w:hAnsi="仿宋" w:eastAsia="仿宋" w:cs="仿宋"/>
          <w:color w:val="auto"/>
          <w:sz w:val="24"/>
          <w:szCs w:val="20"/>
        </w:rPr>
      </w:pPr>
      <w:r>
        <w:rPr>
          <w:rFonts w:hint="eastAsia" w:ascii="仿宋" w:hAnsi="仿宋" w:eastAsia="仿宋" w:cs="仿宋"/>
          <w:color w:val="auto"/>
          <w:sz w:val="24"/>
          <w:szCs w:val="20"/>
        </w:rPr>
        <w:t>（3）投标报价（以人民币计价）为一年总费用，</w:t>
      </w:r>
      <w:r>
        <w:rPr>
          <w:rFonts w:hint="eastAsia" w:ascii="仿宋" w:hAnsi="仿宋" w:eastAsia="仿宋" w:cs="仿宋"/>
          <w:color w:val="auto"/>
          <w:sz w:val="24"/>
        </w:rPr>
        <w:t>包括人员工资、社保费用、管理费（含税）、税费及政策性文件规定及合同包含的所有风险、责任等各项应有费用。</w:t>
      </w:r>
    </w:p>
    <w:p>
      <w:pPr>
        <w:snapToGrid w:val="0"/>
        <w:spacing w:line="300" w:lineRule="auto"/>
        <w:outlineLvl w:val="0"/>
        <w:rPr>
          <w:rFonts w:hint="eastAsia" w:ascii="仿宋" w:hAnsi="仿宋" w:eastAsia="仿宋" w:cs="仿宋"/>
          <w:color w:val="auto"/>
          <w:sz w:val="32"/>
          <w:szCs w:val="32"/>
        </w:rPr>
      </w:pPr>
    </w:p>
    <w:p>
      <w:pPr>
        <w:snapToGrid w:val="0"/>
        <w:spacing w:line="300" w:lineRule="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br w:type="page"/>
      </w:r>
      <w:r>
        <w:rPr>
          <w:rFonts w:hint="eastAsia" w:ascii="仿宋" w:hAnsi="仿宋" w:eastAsia="仿宋" w:cs="仿宋"/>
          <w:color w:val="auto"/>
          <w:sz w:val="32"/>
          <w:szCs w:val="32"/>
        </w:rPr>
        <w:t>附件13</w:t>
      </w:r>
    </w:p>
    <w:p>
      <w:pPr>
        <w:spacing w:line="460" w:lineRule="exact"/>
        <w:jc w:val="center"/>
        <w:rPr>
          <w:rFonts w:hint="eastAsia" w:ascii="仿宋" w:hAnsi="仿宋" w:eastAsia="仿宋" w:cs="仿宋"/>
          <w:bCs/>
          <w:color w:val="auto"/>
          <w:sz w:val="40"/>
          <w:szCs w:val="40"/>
        </w:rPr>
      </w:pPr>
      <w:r>
        <w:rPr>
          <w:rFonts w:hint="eastAsia" w:ascii="仿宋" w:hAnsi="仿宋" w:eastAsia="仿宋" w:cs="仿宋"/>
          <w:bCs/>
          <w:color w:val="auto"/>
          <w:sz w:val="40"/>
          <w:szCs w:val="40"/>
        </w:rPr>
        <w:t>质疑函范本</w:t>
      </w:r>
    </w:p>
    <w:p>
      <w:pPr>
        <w:adjustRightInd w:val="0"/>
        <w:snapToGrid w:val="0"/>
        <w:spacing w:beforeLines="100" w:line="46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一、质疑供应商基本信息</w:t>
      </w:r>
    </w:p>
    <w:p>
      <w:pPr>
        <w:adjustRightInd w:val="0"/>
        <w:snapToGrid w:val="0"/>
        <w:spacing w:line="46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质疑供应商：</w:t>
      </w:r>
    </w:p>
    <w:p>
      <w:pPr>
        <w:adjustRightInd w:val="0"/>
        <w:snapToGrid w:val="0"/>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地址：邮编：</w:t>
      </w:r>
    </w:p>
    <w:p>
      <w:pPr>
        <w:adjustRightInd w:val="0"/>
        <w:snapToGrid w:val="0"/>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联系人：联系电话：</w:t>
      </w:r>
    </w:p>
    <w:p>
      <w:pPr>
        <w:adjustRightInd w:val="0"/>
        <w:snapToGrid w:val="0"/>
        <w:spacing w:line="46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授权代表：</w:t>
      </w:r>
    </w:p>
    <w:p>
      <w:pPr>
        <w:adjustRightInd w:val="0"/>
        <w:snapToGrid w:val="0"/>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联系电话：</w:t>
      </w:r>
    </w:p>
    <w:p>
      <w:pPr>
        <w:adjustRightInd w:val="0"/>
        <w:snapToGrid w:val="0"/>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地址：邮编：</w:t>
      </w:r>
    </w:p>
    <w:p>
      <w:pPr>
        <w:adjustRightInd w:val="0"/>
        <w:snapToGrid w:val="0"/>
        <w:spacing w:line="46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二、质疑项目基本情况</w:t>
      </w:r>
    </w:p>
    <w:p>
      <w:pPr>
        <w:adjustRightInd w:val="0"/>
        <w:snapToGrid w:val="0"/>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质疑项目的名称：</w:t>
      </w:r>
    </w:p>
    <w:p>
      <w:pPr>
        <w:adjustRightInd w:val="0"/>
        <w:snapToGrid w:val="0"/>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质疑项目的编号：包号：</w:t>
      </w:r>
    </w:p>
    <w:p>
      <w:pPr>
        <w:adjustRightInd w:val="0"/>
        <w:snapToGrid w:val="0"/>
        <w:spacing w:line="46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采购人名称：</w:t>
      </w:r>
    </w:p>
    <w:p>
      <w:pPr>
        <w:adjustRightInd w:val="0"/>
        <w:snapToGrid w:val="0"/>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采购文件获取日期：</w:t>
      </w:r>
    </w:p>
    <w:p>
      <w:pPr>
        <w:adjustRightInd w:val="0"/>
        <w:snapToGrid w:val="0"/>
        <w:spacing w:line="46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三、质疑事项具体内容</w:t>
      </w:r>
    </w:p>
    <w:p>
      <w:pPr>
        <w:adjustRightInd w:val="0"/>
        <w:snapToGrid w:val="0"/>
        <w:spacing w:line="46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质疑事项1：</w:t>
      </w:r>
    </w:p>
    <w:p>
      <w:pPr>
        <w:adjustRightInd w:val="0"/>
        <w:snapToGrid w:val="0"/>
        <w:spacing w:line="46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事实依据：</w:t>
      </w:r>
    </w:p>
    <w:p>
      <w:pPr>
        <w:adjustRightInd w:val="0"/>
        <w:snapToGrid w:val="0"/>
        <w:spacing w:line="460" w:lineRule="exact"/>
        <w:rPr>
          <w:rFonts w:hint="eastAsia" w:ascii="仿宋" w:hAnsi="仿宋" w:eastAsia="仿宋" w:cs="仿宋"/>
          <w:color w:val="auto"/>
          <w:sz w:val="28"/>
          <w:szCs w:val="28"/>
        </w:rPr>
      </w:pPr>
    </w:p>
    <w:p>
      <w:pPr>
        <w:adjustRightInd w:val="0"/>
        <w:snapToGrid w:val="0"/>
        <w:spacing w:line="46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法律依据：</w:t>
      </w:r>
    </w:p>
    <w:p>
      <w:pPr>
        <w:adjustRightInd w:val="0"/>
        <w:snapToGrid w:val="0"/>
        <w:spacing w:line="460" w:lineRule="exact"/>
        <w:rPr>
          <w:rFonts w:hint="eastAsia" w:ascii="仿宋" w:hAnsi="仿宋" w:eastAsia="仿宋" w:cs="仿宋"/>
          <w:color w:val="auto"/>
          <w:sz w:val="28"/>
          <w:szCs w:val="28"/>
          <w:u w:val="dotted"/>
        </w:rPr>
      </w:pPr>
    </w:p>
    <w:p>
      <w:pPr>
        <w:adjustRightInd w:val="0"/>
        <w:snapToGrid w:val="0"/>
        <w:spacing w:line="46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质疑事项2</w:t>
      </w:r>
    </w:p>
    <w:p>
      <w:pPr>
        <w:adjustRightInd w:val="0"/>
        <w:snapToGrid w:val="0"/>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w:t>
      </w:r>
    </w:p>
    <w:p>
      <w:pPr>
        <w:adjustRightInd w:val="0"/>
        <w:snapToGrid w:val="0"/>
        <w:spacing w:line="46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四、与质疑事项相关的质疑请求</w:t>
      </w:r>
    </w:p>
    <w:p>
      <w:pPr>
        <w:adjustRightInd w:val="0"/>
        <w:snapToGrid w:val="0"/>
        <w:spacing w:line="460" w:lineRule="exact"/>
        <w:rPr>
          <w:rFonts w:hint="eastAsia" w:ascii="仿宋" w:hAnsi="仿宋" w:eastAsia="仿宋" w:cs="仿宋"/>
          <w:color w:val="auto"/>
          <w:sz w:val="28"/>
          <w:szCs w:val="28"/>
          <w:u w:val="dotted"/>
        </w:rPr>
      </w:pPr>
      <w:r>
        <w:rPr>
          <w:rFonts w:hint="eastAsia" w:ascii="仿宋" w:hAnsi="仿宋" w:eastAsia="仿宋" w:cs="仿宋"/>
          <w:color w:val="auto"/>
          <w:sz w:val="28"/>
          <w:szCs w:val="28"/>
        </w:rPr>
        <w:t>请求：</w:t>
      </w: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签字(签章)：                   公章：                      </w:t>
      </w:r>
    </w:p>
    <w:p>
      <w:pPr>
        <w:spacing w:line="46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w:t>
      </w:r>
    </w:p>
    <w:p>
      <w:pPr>
        <w:adjustRightInd w:val="0"/>
        <w:snapToGrid w:val="0"/>
        <w:spacing w:line="460" w:lineRule="exact"/>
        <w:rPr>
          <w:rFonts w:hint="eastAsia" w:ascii="仿宋" w:hAnsi="仿宋" w:eastAsia="仿宋" w:cs="仿宋"/>
          <w:color w:val="auto"/>
          <w:sz w:val="28"/>
          <w:szCs w:val="28"/>
        </w:rPr>
      </w:pPr>
    </w:p>
    <w:p>
      <w:pPr>
        <w:spacing w:line="460" w:lineRule="exact"/>
        <w:rPr>
          <w:rFonts w:hint="eastAsia" w:ascii="仿宋" w:hAnsi="仿宋" w:eastAsia="仿宋" w:cs="仿宋"/>
          <w:b/>
          <w:color w:val="auto"/>
          <w:sz w:val="28"/>
          <w:szCs w:val="28"/>
        </w:rPr>
      </w:pPr>
    </w:p>
    <w:p>
      <w:pPr>
        <w:spacing w:line="460" w:lineRule="exact"/>
        <w:rPr>
          <w:rFonts w:hint="eastAsia" w:ascii="仿宋" w:hAnsi="仿宋" w:eastAsia="仿宋" w:cs="仿宋"/>
          <w:b/>
          <w:color w:val="auto"/>
          <w:sz w:val="28"/>
          <w:szCs w:val="28"/>
        </w:rPr>
      </w:pPr>
    </w:p>
    <w:p>
      <w:pPr>
        <w:spacing w:line="46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质疑函制作说明：</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1.供应商提出质疑时，应提交质疑函和必要的证明材料。</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rPr>
        <w:t>供应商签署的授权委托书。授权委托书应载明代理人的姓名或者名称、代理事项、具体权限、期限和相关事项。</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3.质疑供应商若对项目的某一分包进行质疑，质疑函中应列明具体分包号。</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4.质疑函的质疑事项应具体、明确，并有必要的事实依据和法律依据。</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5.质疑函的质疑请求应与质疑事项相关。</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仿宋" w:hAnsi="仿宋" w:eastAsia="仿宋" w:cs="仿宋"/>
          <w:color w:val="auto"/>
          <w:sz w:val="28"/>
          <w:szCs w:val="28"/>
        </w:rPr>
      </w:pPr>
    </w:p>
    <w:p>
      <w:pPr>
        <w:snapToGrid w:val="0"/>
        <w:spacing w:line="300" w:lineRule="auto"/>
        <w:outlineLvl w:val="0"/>
        <w:rPr>
          <w:rFonts w:hint="eastAsia" w:ascii="仿宋" w:hAnsi="仿宋" w:eastAsia="仿宋" w:cs="仿宋"/>
          <w:color w:val="auto"/>
          <w:sz w:val="28"/>
          <w:szCs w:val="28"/>
        </w:rPr>
      </w:pPr>
    </w:p>
    <w:p>
      <w:pPr>
        <w:snapToGrid w:val="0"/>
        <w:spacing w:line="500" w:lineRule="exact"/>
        <w:rPr>
          <w:rFonts w:hint="eastAsia" w:ascii="仿宋" w:hAnsi="仿宋" w:eastAsia="仿宋" w:cs="仿宋"/>
          <w:b/>
          <w:color w:val="auto"/>
          <w:sz w:val="28"/>
          <w:szCs w:val="28"/>
        </w:rPr>
      </w:pPr>
    </w:p>
    <w:p>
      <w:pPr>
        <w:autoSpaceDE w:val="0"/>
        <w:autoSpaceDN w:val="0"/>
        <w:adjustRightInd w:val="0"/>
        <w:snapToGrid w:val="0"/>
        <w:spacing w:line="500" w:lineRule="exact"/>
        <w:contextualSpacing/>
        <w:rPr>
          <w:rFonts w:hint="eastAsia" w:ascii="仿宋" w:hAnsi="仿宋" w:eastAsia="仿宋" w:cs="仿宋"/>
          <w:b/>
          <w:bCs/>
          <w:color w:val="auto"/>
          <w:sz w:val="28"/>
          <w:szCs w:val="28"/>
        </w:rPr>
      </w:pPr>
    </w:p>
    <w:p>
      <w:pPr>
        <w:snapToGrid w:val="0"/>
        <w:spacing w:line="500" w:lineRule="exact"/>
        <w:ind w:firstLine="562" w:firstLineChars="200"/>
        <w:contextualSpacing/>
        <w:outlineLvl w:val="0"/>
        <w:rPr>
          <w:rFonts w:hint="eastAsia" w:ascii="仿宋" w:hAnsi="仿宋" w:eastAsia="仿宋" w:cs="仿宋"/>
          <w:b/>
          <w:color w:val="auto"/>
          <w:sz w:val="28"/>
          <w:szCs w:val="28"/>
        </w:rPr>
      </w:pPr>
    </w:p>
    <w:p>
      <w:pPr>
        <w:snapToGrid w:val="0"/>
        <w:spacing w:line="500" w:lineRule="exact"/>
        <w:ind w:firstLine="562" w:firstLineChars="200"/>
        <w:contextualSpacing/>
        <w:outlineLvl w:val="0"/>
        <w:rPr>
          <w:rFonts w:hint="eastAsia" w:ascii="仿宋" w:hAnsi="仿宋" w:eastAsia="仿宋" w:cs="仿宋"/>
          <w:b/>
          <w:color w:val="auto"/>
          <w:sz w:val="28"/>
          <w:szCs w:val="28"/>
        </w:rPr>
      </w:pPr>
    </w:p>
    <w:p>
      <w:pPr>
        <w:snapToGrid w:val="0"/>
        <w:spacing w:line="500" w:lineRule="exact"/>
        <w:ind w:firstLine="562" w:firstLineChars="200"/>
        <w:contextualSpacing/>
        <w:outlineLvl w:val="0"/>
        <w:rPr>
          <w:rFonts w:hint="eastAsia" w:ascii="仿宋" w:hAnsi="仿宋" w:eastAsia="仿宋" w:cs="仿宋"/>
          <w:b/>
          <w:color w:val="auto"/>
          <w:sz w:val="28"/>
          <w:szCs w:val="28"/>
        </w:rPr>
      </w:pPr>
    </w:p>
    <w:sectPr>
      <w:headerReference r:id="rId3" w:type="default"/>
      <w:footerReference r:id="rId4"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monospace">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1" w:fontKey="{B8EBE519-2DB6-45E6-B02D-95E39498A8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rPr>
                              <w:lang w:val="en-US" w:eastAsia="zh-CN"/>
                            </w:rPr>
                            <w:t>18</w:t>
                          </w:r>
                          <w:r>
                            <w:fldChar w:fldCharType="end"/>
                          </w:r>
                          <w:r>
                            <w:t xml:space="preserve"> 页 共 </w:t>
                          </w:r>
                          <w:r>
                            <w:fldChar w:fldCharType="begin"/>
                          </w:r>
                          <w:r>
                            <w:instrText xml:space="preserve"> NUMPAGES  \* MERGEFORMAT </w:instrText>
                          </w:r>
                          <w:r>
                            <w:fldChar w:fldCharType="separate"/>
                          </w:r>
                          <w:r>
                            <w:rPr>
                              <w:lang w:val="en-US" w:eastAsia="zh-CN"/>
                            </w:rPr>
                            <w:t>43</w:t>
                          </w:r>
                          <w:r>
                            <w:rPr>
                              <w:lang w:val="en-US" w:eastAsia="zh-CN"/>
                            </w:rP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rPr>
                        <w:lang w:val="en-US" w:eastAsia="zh-CN"/>
                      </w:rPr>
                      <w:t>18</w:t>
                    </w:r>
                    <w:r>
                      <w:fldChar w:fldCharType="end"/>
                    </w:r>
                    <w:r>
                      <w:t xml:space="preserve"> 页 共 </w:t>
                    </w:r>
                    <w:r>
                      <w:fldChar w:fldCharType="begin"/>
                    </w:r>
                    <w:r>
                      <w:instrText xml:space="preserve"> NUMPAGES  \* MERGEFORMAT </w:instrText>
                    </w:r>
                    <w:r>
                      <w:fldChar w:fldCharType="separate"/>
                    </w:r>
                    <w:r>
                      <w:rPr>
                        <w:lang w:val="en-US" w:eastAsia="zh-CN"/>
                      </w:rPr>
                      <w:t>43</w:t>
                    </w:r>
                    <w:r>
                      <w:rPr>
                        <w:lang w:val="en-US" w:eastAsia="zh-CN"/>
                      </w:rP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4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jc2OGM3MmFkOTE0ZDYyOTRhZTlkN2Q1YWFhM2MifQ=="/>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7214"/>
    <w:rsid w:val="00031E5F"/>
    <w:rsid w:val="00033A03"/>
    <w:rsid w:val="00034FFC"/>
    <w:rsid w:val="00035F29"/>
    <w:rsid w:val="000363E7"/>
    <w:rsid w:val="00040BC7"/>
    <w:rsid w:val="00043CCD"/>
    <w:rsid w:val="0004687B"/>
    <w:rsid w:val="00046AE8"/>
    <w:rsid w:val="00051BE5"/>
    <w:rsid w:val="00051C4B"/>
    <w:rsid w:val="000531E3"/>
    <w:rsid w:val="00055731"/>
    <w:rsid w:val="00057C9F"/>
    <w:rsid w:val="0006312A"/>
    <w:rsid w:val="00064E5C"/>
    <w:rsid w:val="0006533C"/>
    <w:rsid w:val="000674BE"/>
    <w:rsid w:val="00067D3A"/>
    <w:rsid w:val="000707B4"/>
    <w:rsid w:val="000733BC"/>
    <w:rsid w:val="000733D5"/>
    <w:rsid w:val="000743C3"/>
    <w:rsid w:val="00077641"/>
    <w:rsid w:val="000811BB"/>
    <w:rsid w:val="00081A99"/>
    <w:rsid w:val="0008288C"/>
    <w:rsid w:val="000860E4"/>
    <w:rsid w:val="000930EC"/>
    <w:rsid w:val="000931E9"/>
    <w:rsid w:val="0009351A"/>
    <w:rsid w:val="00093B09"/>
    <w:rsid w:val="00093F93"/>
    <w:rsid w:val="000949F1"/>
    <w:rsid w:val="00096D7E"/>
    <w:rsid w:val="000A3BFD"/>
    <w:rsid w:val="000A5B2F"/>
    <w:rsid w:val="000B0744"/>
    <w:rsid w:val="000B09B6"/>
    <w:rsid w:val="000B78D1"/>
    <w:rsid w:val="000B7DF5"/>
    <w:rsid w:val="000C09DC"/>
    <w:rsid w:val="000C433D"/>
    <w:rsid w:val="000C6148"/>
    <w:rsid w:val="000C6432"/>
    <w:rsid w:val="000C660A"/>
    <w:rsid w:val="000C70B7"/>
    <w:rsid w:val="000D0543"/>
    <w:rsid w:val="000D3C5A"/>
    <w:rsid w:val="000D4824"/>
    <w:rsid w:val="000D68E3"/>
    <w:rsid w:val="000D6B97"/>
    <w:rsid w:val="000E0E54"/>
    <w:rsid w:val="000E2F2C"/>
    <w:rsid w:val="000E474C"/>
    <w:rsid w:val="000E6565"/>
    <w:rsid w:val="000F23EA"/>
    <w:rsid w:val="000F28DF"/>
    <w:rsid w:val="000F5ACE"/>
    <w:rsid w:val="000F7D4F"/>
    <w:rsid w:val="00102CB7"/>
    <w:rsid w:val="00104AF2"/>
    <w:rsid w:val="0010514D"/>
    <w:rsid w:val="001104D2"/>
    <w:rsid w:val="00115E82"/>
    <w:rsid w:val="00116E44"/>
    <w:rsid w:val="001244CE"/>
    <w:rsid w:val="0012592D"/>
    <w:rsid w:val="0012699C"/>
    <w:rsid w:val="00127475"/>
    <w:rsid w:val="00132D06"/>
    <w:rsid w:val="001359DC"/>
    <w:rsid w:val="00137F66"/>
    <w:rsid w:val="00141B11"/>
    <w:rsid w:val="001443A6"/>
    <w:rsid w:val="0014603C"/>
    <w:rsid w:val="001463C7"/>
    <w:rsid w:val="001467F4"/>
    <w:rsid w:val="00150D31"/>
    <w:rsid w:val="00151847"/>
    <w:rsid w:val="00154178"/>
    <w:rsid w:val="00155581"/>
    <w:rsid w:val="00156591"/>
    <w:rsid w:val="001570D4"/>
    <w:rsid w:val="0015743C"/>
    <w:rsid w:val="00160309"/>
    <w:rsid w:val="0016109E"/>
    <w:rsid w:val="001620CF"/>
    <w:rsid w:val="00162A03"/>
    <w:rsid w:val="001639C2"/>
    <w:rsid w:val="00163D0B"/>
    <w:rsid w:val="001646CB"/>
    <w:rsid w:val="0017113F"/>
    <w:rsid w:val="001731C5"/>
    <w:rsid w:val="00173C44"/>
    <w:rsid w:val="0017626E"/>
    <w:rsid w:val="00181ED3"/>
    <w:rsid w:val="00182CCA"/>
    <w:rsid w:val="001869A8"/>
    <w:rsid w:val="00187BE1"/>
    <w:rsid w:val="001903D4"/>
    <w:rsid w:val="0019251D"/>
    <w:rsid w:val="00192DB5"/>
    <w:rsid w:val="001A00EE"/>
    <w:rsid w:val="001A0364"/>
    <w:rsid w:val="001A0C8B"/>
    <w:rsid w:val="001A1AC6"/>
    <w:rsid w:val="001A3410"/>
    <w:rsid w:val="001A3EDD"/>
    <w:rsid w:val="001A47E3"/>
    <w:rsid w:val="001A67C9"/>
    <w:rsid w:val="001B2572"/>
    <w:rsid w:val="001B344D"/>
    <w:rsid w:val="001B663D"/>
    <w:rsid w:val="001B6EC8"/>
    <w:rsid w:val="001C1D5F"/>
    <w:rsid w:val="001C45F5"/>
    <w:rsid w:val="001C4662"/>
    <w:rsid w:val="001C6AFF"/>
    <w:rsid w:val="001D279A"/>
    <w:rsid w:val="001D3500"/>
    <w:rsid w:val="001D4EC2"/>
    <w:rsid w:val="001D66F0"/>
    <w:rsid w:val="001D6723"/>
    <w:rsid w:val="001D6A81"/>
    <w:rsid w:val="001E1433"/>
    <w:rsid w:val="001E53BC"/>
    <w:rsid w:val="001F120D"/>
    <w:rsid w:val="001F3AEC"/>
    <w:rsid w:val="001F4F3E"/>
    <w:rsid w:val="001F7EC5"/>
    <w:rsid w:val="002007BF"/>
    <w:rsid w:val="00201576"/>
    <w:rsid w:val="00204B7C"/>
    <w:rsid w:val="002106EA"/>
    <w:rsid w:val="002131C8"/>
    <w:rsid w:val="00214649"/>
    <w:rsid w:val="00214B6D"/>
    <w:rsid w:val="00215DD8"/>
    <w:rsid w:val="0021679D"/>
    <w:rsid w:val="00223407"/>
    <w:rsid w:val="002244DA"/>
    <w:rsid w:val="00227E29"/>
    <w:rsid w:val="00230636"/>
    <w:rsid w:val="002330E2"/>
    <w:rsid w:val="0023425B"/>
    <w:rsid w:val="00234DAB"/>
    <w:rsid w:val="00235DF7"/>
    <w:rsid w:val="00237E0C"/>
    <w:rsid w:val="00241BB8"/>
    <w:rsid w:val="00244939"/>
    <w:rsid w:val="002468F0"/>
    <w:rsid w:val="00247C93"/>
    <w:rsid w:val="00250900"/>
    <w:rsid w:val="002546EC"/>
    <w:rsid w:val="00254A15"/>
    <w:rsid w:val="00254B39"/>
    <w:rsid w:val="00255AAF"/>
    <w:rsid w:val="002602DD"/>
    <w:rsid w:val="0026242C"/>
    <w:rsid w:val="002647BE"/>
    <w:rsid w:val="00270410"/>
    <w:rsid w:val="00274032"/>
    <w:rsid w:val="002748BD"/>
    <w:rsid w:val="0027499D"/>
    <w:rsid w:val="00275C65"/>
    <w:rsid w:val="002840DC"/>
    <w:rsid w:val="002871A5"/>
    <w:rsid w:val="00290923"/>
    <w:rsid w:val="00291471"/>
    <w:rsid w:val="00292164"/>
    <w:rsid w:val="00294605"/>
    <w:rsid w:val="0029623B"/>
    <w:rsid w:val="002975D9"/>
    <w:rsid w:val="002A1054"/>
    <w:rsid w:val="002A287A"/>
    <w:rsid w:val="002A3E8C"/>
    <w:rsid w:val="002A4991"/>
    <w:rsid w:val="002A7755"/>
    <w:rsid w:val="002A79A7"/>
    <w:rsid w:val="002A7F5E"/>
    <w:rsid w:val="002B1C13"/>
    <w:rsid w:val="002B1C92"/>
    <w:rsid w:val="002B6371"/>
    <w:rsid w:val="002B64B0"/>
    <w:rsid w:val="002C02A7"/>
    <w:rsid w:val="002C04E9"/>
    <w:rsid w:val="002C221F"/>
    <w:rsid w:val="002C29D9"/>
    <w:rsid w:val="002C41EE"/>
    <w:rsid w:val="002C4C6D"/>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EC6"/>
    <w:rsid w:val="002F70DF"/>
    <w:rsid w:val="003009D5"/>
    <w:rsid w:val="00300A5F"/>
    <w:rsid w:val="00302E16"/>
    <w:rsid w:val="00310100"/>
    <w:rsid w:val="00310EFD"/>
    <w:rsid w:val="003121B1"/>
    <w:rsid w:val="00314C38"/>
    <w:rsid w:val="003164A3"/>
    <w:rsid w:val="00320476"/>
    <w:rsid w:val="00320B07"/>
    <w:rsid w:val="00320C34"/>
    <w:rsid w:val="00321CBF"/>
    <w:rsid w:val="00322B57"/>
    <w:rsid w:val="00330686"/>
    <w:rsid w:val="0033200D"/>
    <w:rsid w:val="00334C59"/>
    <w:rsid w:val="003406AD"/>
    <w:rsid w:val="003436D0"/>
    <w:rsid w:val="00343D2E"/>
    <w:rsid w:val="0035199B"/>
    <w:rsid w:val="00355DE5"/>
    <w:rsid w:val="003602C3"/>
    <w:rsid w:val="003604DF"/>
    <w:rsid w:val="00361079"/>
    <w:rsid w:val="00364309"/>
    <w:rsid w:val="00367A68"/>
    <w:rsid w:val="0037007E"/>
    <w:rsid w:val="0037119F"/>
    <w:rsid w:val="0037319F"/>
    <w:rsid w:val="00375458"/>
    <w:rsid w:val="00381D8F"/>
    <w:rsid w:val="00383292"/>
    <w:rsid w:val="00385B36"/>
    <w:rsid w:val="0039137F"/>
    <w:rsid w:val="00395FAE"/>
    <w:rsid w:val="003A3808"/>
    <w:rsid w:val="003A42A7"/>
    <w:rsid w:val="003A4DE4"/>
    <w:rsid w:val="003B1C66"/>
    <w:rsid w:val="003B38ED"/>
    <w:rsid w:val="003B5148"/>
    <w:rsid w:val="003C6991"/>
    <w:rsid w:val="003C71ED"/>
    <w:rsid w:val="003D041B"/>
    <w:rsid w:val="003D06E5"/>
    <w:rsid w:val="003D199E"/>
    <w:rsid w:val="003D4401"/>
    <w:rsid w:val="003D64B6"/>
    <w:rsid w:val="003E2B34"/>
    <w:rsid w:val="003E3257"/>
    <w:rsid w:val="003F1853"/>
    <w:rsid w:val="003F3E0C"/>
    <w:rsid w:val="003F4D19"/>
    <w:rsid w:val="003F549E"/>
    <w:rsid w:val="003F5D1B"/>
    <w:rsid w:val="003F7843"/>
    <w:rsid w:val="00403B9D"/>
    <w:rsid w:val="00407224"/>
    <w:rsid w:val="00407903"/>
    <w:rsid w:val="00407BFC"/>
    <w:rsid w:val="004101B0"/>
    <w:rsid w:val="004103F6"/>
    <w:rsid w:val="00410D0B"/>
    <w:rsid w:val="00412036"/>
    <w:rsid w:val="00417B67"/>
    <w:rsid w:val="00422590"/>
    <w:rsid w:val="00422FCC"/>
    <w:rsid w:val="00423142"/>
    <w:rsid w:val="004247C4"/>
    <w:rsid w:val="00426626"/>
    <w:rsid w:val="00431BA5"/>
    <w:rsid w:val="00432FD1"/>
    <w:rsid w:val="0043442A"/>
    <w:rsid w:val="00434A49"/>
    <w:rsid w:val="004358AD"/>
    <w:rsid w:val="00435AA8"/>
    <w:rsid w:val="00443C88"/>
    <w:rsid w:val="0044543D"/>
    <w:rsid w:val="00446291"/>
    <w:rsid w:val="004464E9"/>
    <w:rsid w:val="00452A22"/>
    <w:rsid w:val="00454E44"/>
    <w:rsid w:val="00456B89"/>
    <w:rsid w:val="00461B41"/>
    <w:rsid w:val="00462EA0"/>
    <w:rsid w:val="00464D34"/>
    <w:rsid w:val="00472FA9"/>
    <w:rsid w:val="0047528B"/>
    <w:rsid w:val="00476030"/>
    <w:rsid w:val="004767BD"/>
    <w:rsid w:val="0048021C"/>
    <w:rsid w:val="00480AC6"/>
    <w:rsid w:val="00481750"/>
    <w:rsid w:val="0048181A"/>
    <w:rsid w:val="00482671"/>
    <w:rsid w:val="00483895"/>
    <w:rsid w:val="00490A35"/>
    <w:rsid w:val="00495061"/>
    <w:rsid w:val="004956F7"/>
    <w:rsid w:val="00495EB8"/>
    <w:rsid w:val="00496FC3"/>
    <w:rsid w:val="00497322"/>
    <w:rsid w:val="004A1844"/>
    <w:rsid w:val="004A3046"/>
    <w:rsid w:val="004A4B9D"/>
    <w:rsid w:val="004A704F"/>
    <w:rsid w:val="004A72A4"/>
    <w:rsid w:val="004A7C96"/>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5292"/>
    <w:rsid w:val="004E152F"/>
    <w:rsid w:val="004E2A00"/>
    <w:rsid w:val="004E2AC9"/>
    <w:rsid w:val="004E2F63"/>
    <w:rsid w:val="004E3BF5"/>
    <w:rsid w:val="004F099F"/>
    <w:rsid w:val="004F3CB4"/>
    <w:rsid w:val="00503474"/>
    <w:rsid w:val="00503BA7"/>
    <w:rsid w:val="0050700C"/>
    <w:rsid w:val="00513B39"/>
    <w:rsid w:val="00514E8A"/>
    <w:rsid w:val="00515B97"/>
    <w:rsid w:val="00515D24"/>
    <w:rsid w:val="00516020"/>
    <w:rsid w:val="0052071E"/>
    <w:rsid w:val="00521230"/>
    <w:rsid w:val="00526739"/>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51258"/>
    <w:rsid w:val="00554692"/>
    <w:rsid w:val="00554B19"/>
    <w:rsid w:val="00556006"/>
    <w:rsid w:val="005569D2"/>
    <w:rsid w:val="00561A91"/>
    <w:rsid w:val="005627F2"/>
    <w:rsid w:val="00562FB5"/>
    <w:rsid w:val="005632D0"/>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608C"/>
    <w:rsid w:val="0059678A"/>
    <w:rsid w:val="005A1415"/>
    <w:rsid w:val="005A506D"/>
    <w:rsid w:val="005A7731"/>
    <w:rsid w:val="005B02F9"/>
    <w:rsid w:val="005B0E49"/>
    <w:rsid w:val="005B1F16"/>
    <w:rsid w:val="005B1F8C"/>
    <w:rsid w:val="005B21BD"/>
    <w:rsid w:val="005B5D7D"/>
    <w:rsid w:val="005B688B"/>
    <w:rsid w:val="005B71B9"/>
    <w:rsid w:val="005C06AF"/>
    <w:rsid w:val="005C0BF8"/>
    <w:rsid w:val="005C20F7"/>
    <w:rsid w:val="005C2ABD"/>
    <w:rsid w:val="005C38A7"/>
    <w:rsid w:val="005C7A1F"/>
    <w:rsid w:val="005D015B"/>
    <w:rsid w:val="005D0AD7"/>
    <w:rsid w:val="005D0C2B"/>
    <w:rsid w:val="005D2DCB"/>
    <w:rsid w:val="005D7364"/>
    <w:rsid w:val="005D7993"/>
    <w:rsid w:val="005E1A14"/>
    <w:rsid w:val="005E44C9"/>
    <w:rsid w:val="005E4685"/>
    <w:rsid w:val="005E5BB9"/>
    <w:rsid w:val="005F1266"/>
    <w:rsid w:val="005F16EC"/>
    <w:rsid w:val="005F4B25"/>
    <w:rsid w:val="005F4F51"/>
    <w:rsid w:val="005F57EA"/>
    <w:rsid w:val="005F6069"/>
    <w:rsid w:val="005F60A5"/>
    <w:rsid w:val="005F70F9"/>
    <w:rsid w:val="005F7ACA"/>
    <w:rsid w:val="006001DA"/>
    <w:rsid w:val="00603D1A"/>
    <w:rsid w:val="00605FEF"/>
    <w:rsid w:val="00606BE4"/>
    <w:rsid w:val="006078EC"/>
    <w:rsid w:val="0061376F"/>
    <w:rsid w:val="00614C21"/>
    <w:rsid w:val="00615482"/>
    <w:rsid w:val="00615983"/>
    <w:rsid w:val="00615F7F"/>
    <w:rsid w:val="00616192"/>
    <w:rsid w:val="00621D6D"/>
    <w:rsid w:val="00624F5F"/>
    <w:rsid w:val="0062611B"/>
    <w:rsid w:val="006277EC"/>
    <w:rsid w:val="00632BD0"/>
    <w:rsid w:val="00634A4B"/>
    <w:rsid w:val="00635ECA"/>
    <w:rsid w:val="00637DDA"/>
    <w:rsid w:val="00642E22"/>
    <w:rsid w:val="0065148D"/>
    <w:rsid w:val="00655F61"/>
    <w:rsid w:val="00663E65"/>
    <w:rsid w:val="00665DDD"/>
    <w:rsid w:val="00667586"/>
    <w:rsid w:val="006679E2"/>
    <w:rsid w:val="0067083A"/>
    <w:rsid w:val="00670CCF"/>
    <w:rsid w:val="00670E4B"/>
    <w:rsid w:val="0067155A"/>
    <w:rsid w:val="006724BC"/>
    <w:rsid w:val="006746C4"/>
    <w:rsid w:val="006771C9"/>
    <w:rsid w:val="00677ABA"/>
    <w:rsid w:val="00684B51"/>
    <w:rsid w:val="00687A51"/>
    <w:rsid w:val="00690502"/>
    <w:rsid w:val="00691715"/>
    <w:rsid w:val="0069299B"/>
    <w:rsid w:val="006A4C2F"/>
    <w:rsid w:val="006A5C54"/>
    <w:rsid w:val="006A5D76"/>
    <w:rsid w:val="006B2BD2"/>
    <w:rsid w:val="006B5071"/>
    <w:rsid w:val="006B6DA9"/>
    <w:rsid w:val="006B71E7"/>
    <w:rsid w:val="006C3296"/>
    <w:rsid w:val="006C5470"/>
    <w:rsid w:val="006C5AA4"/>
    <w:rsid w:val="006C6D70"/>
    <w:rsid w:val="006C7523"/>
    <w:rsid w:val="006D12EF"/>
    <w:rsid w:val="006D6598"/>
    <w:rsid w:val="006D6A87"/>
    <w:rsid w:val="006D6D47"/>
    <w:rsid w:val="006E3200"/>
    <w:rsid w:val="006E3E45"/>
    <w:rsid w:val="006E4A3F"/>
    <w:rsid w:val="006E5AD6"/>
    <w:rsid w:val="006F0802"/>
    <w:rsid w:val="006F2FDC"/>
    <w:rsid w:val="0070050A"/>
    <w:rsid w:val="00701FC9"/>
    <w:rsid w:val="00702715"/>
    <w:rsid w:val="00703177"/>
    <w:rsid w:val="007060DA"/>
    <w:rsid w:val="007070D1"/>
    <w:rsid w:val="007110EF"/>
    <w:rsid w:val="00714C6D"/>
    <w:rsid w:val="007155C8"/>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47E37"/>
    <w:rsid w:val="007513A7"/>
    <w:rsid w:val="00751504"/>
    <w:rsid w:val="007517B2"/>
    <w:rsid w:val="007526C6"/>
    <w:rsid w:val="0075320C"/>
    <w:rsid w:val="007536EF"/>
    <w:rsid w:val="00753BF0"/>
    <w:rsid w:val="00755FC7"/>
    <w:rsid w:val="00760802"/>
    <w:rsid w:val="00760CB0"/>
    <w:rsid w:val="00760DDB"/>
    <w:rsid w:val="0076390F"/>
    <w:rsid w:val="00765BEA"/>
    <w:rsid w:val="007666DE"/>
    <w:rsid w:val="0077291C"/>
    <w:rsid w:val="007738FD"/>
    <w:rsid w:val="00773A5D"/>
    <w:rsid w:val="00776D95"/>
    <w:rsid w:val="00781919"/>
    <w:rsid w:val="007826F0"/>
    <w:rsid w:val="00787BE5"/>
    <w:rsid w:val="00791CD7"/>
    <w:rsid w:val="00792E96"/>
    <w:rsid w:val="00793250"/>
    <w:rsid w:val="00794B53"/>
    <w:rsid w:val="007975A1"/>
    <w:rsid w:val="007A116D"/>
    <w:rsid w:val="007A29EE"/>
    <w:rsid w:val="007B0654"/>
    <w:rsid w:val="007B10D0"/>
    <w:rsid w:val="007B4D8F"/>
    <w:rsid w:val="007B5B52"/>
    <w:rsid w:val="007B6989"/>
    <w:rsid w:val="007B77F4"/>
    <w:rsid w:val="007C1564"/>
    <w:rsid w:val="007C1C13"/>
    <w:rsid w:val="007C2E08"/>
    <w:rsid w:val="007C456E"/>
    <w:rsid w:val="007C4F92"/>
    <w:rsid w:val="007C63C9"/>
    <w:rsid w:val="007D1241"/>
    <w:rsid w:val="007D1696"/>
    <w:rsid w:val="007D4874"/>
    <w:rsid w:val="007D5914"/>
    <w:rsid w:val="007D76AC"/>
    <w:rsid w:val="007E04C2"/>
    <w:rsid w:val="007E3A62"/>
    <w:rsid w:val="007E4448"/>
    <w:rsid w:val="007E4C1C"/>
    <w:rsid w:val="007F098A"/>
    <w:rsid w:val="007F1A35"/>
    <w:rsid w:val="007F1DB3"/>
    <w:rsid w:val="007F6A4A"/>
    <w:rsid w:val="007F7F83"/>
    <w:rsid w:val="00800DC9"/>
    <w:rsid w:val="00802238"/>
    <w:rsid w:val="0080270D"/>
    <w:rsid w:val="00803663"/>
    <w:rsid w:val="0080455C"/>
    <w:rsid w:val="00806901"/>
    <w:rsid w:val="00807C9C"/>
    <w:rsid w:val="00810974"/>
    <w:rsid w:val="00811C64"/>
    <w:rsid w:val="0081445E"/>
    <w:rsid w:val="0081539D"/>
    <w:rsid w:val="00820BBA"/>
    <w:rsid w:val="00825CEA"/>
    <w:rsid w:val="00826495"/>
    <w:rsid w:val="00826A8E"/>
    <w:rsid w:val="008276AF"/>
    <w:rsid w:val="00827AB4"/>
    <w:rsid w:val="008346D9"/>
    <w:rsid w:val="00834E31"/>
    <w:rsid w:val="00835269"/>
    <w:rsid w:val="00841969"/>
    <w:rsid w:val="0084230F"/>
    <w:rsid w:val="00843E6D"/>
    <w:rsid w:val="0084449A"/>
    <w:rsid w:val="0084496E"/>
    <w:rsid w:val="00846157"/>
    <w:rsid w:val="00851F7D"/>
    <w:rsid w:val="008535D2"/>
    <w:rsid w:val="00854624"/>
    <w:rsid w:val="008619A1"/>
    <w:rsid w:val="00861D87"/>
    <w:rsid w:val="00861F35"/>
    <w:rsid w:val="0086246D"/>
    <w:rsid w:val="00862904"/>
    <w:rsid w:val="008646B1"/>
    <w:rsid w:val="008660CD"/>
    <w:rsid w:val="00870789"/>
    <w:rsid w:val="0087299F"/>
    <w:rsid w:val="0087426A"/>
    <w:rsid w:val="0087707F"/>
    <w:rsid w:val="00880AE4"/>
    <w:rsid w:val="00881756"/>
    <w:rsid w:val="0088337A"/>
    <w:rsid w:val="008858B1"/>
    <w:rsid w:val="00886511"/>
    <w:rsid w:val="00887480"/>
    <w:rsid w:val="00887FD2"/>
    <w:rsid w:val="00895657"/>
    <w:rsid w:val="008966C9"/>
    <w:rsid w:val="00897A59"/>
    <w:rsid w:val="008A2A50"/>
    <w:rsid w:val="008A4BAB"/>
    <w:rsid w:val="008A662B"/>
    <w:rsid w:val="008A778E"/>
    <w:rsid w:val="008A7EED"/>
    <w:rsid w:val="008B54A4"/>
    <w:rsid w:val="008B5D02"/>
    <w:rsid w:val="008B6038"/>
    <w:rsid w:val="008B7D19"/>
    <w:rsid w:val="008C617D"/>
    <w:rsid w:val="008C67B4"/>
    <w:rsid w:val="008C6E04"/>
    <w:rsid w:val="008D0955"/>
    <w:rsid w:val="008D099A"/>
    <w:rsid w:val="008D13F8"/>
    <w:rsid w:val="008D19E0"/>
    <w:rsid w:val="008D5D69"/>
    <w:rsid w:val="008E05A2"/>
    <w:rsid w:val="008E0F02"/>
    <w:rsid w:val="008E112C"/>
    <w:rsid w:val="008E4EE4"/>
    <w:rsid w:val="008E61F1"/>
    <w:rsid w:val="008E6ABA"/>
    <w:rsid w:val="008E6C8B"/>
    <w:rsid w:val="008E7641"/>
    <w:rsid w:val="008F141B"/>
    <w:rsid w:val="008F5E85"/>
    <w:rsid w:val="008F70FC"/>
    <w:rsid w:val="00900FB2"/>
    <w:rsid w:val="009015EF"/>
    <w:rsid w:val="00901DB7"/>
    <w:rsid w:val="00904499"/>
    <w:rsid w:val="00904AA6"/>
    <w:rsid w:val="00906B25"/>
    <w:rsid w:val="00906EE0"/>
    <w:rsid w:val="00912E3B"/>
    <w:rsid w:val="00916E16"/>
    <w:rsid w:val="009209D2"/>
    <w:rsid w:val="009235DA"/>
    <w:rsid w:val="00930118"/>
    <w:rsid w:val="009313F0"/>
    <w:rsid w:val="009325CD"/>
    <w:rsid w:val="00935232"/>
    <w:rsid w:val="009357B9"/>
    <w:rsid w:val="00937D34"/>
    <w:rsid w:val="00941FC0"/>
    <w:rsid w:val="009462EB"/>
    <w:rsid w:val="009501A5"/>
    <w:rsid w:val="0095029E"/>
    <w:rsid w:val="00951CB7"/>
    <w:rsid w:val="009606F2"/>
    <w:rsid w:val="00961CEF"/>
    <w:rsid w:val="00962975"/>
    <w:rsid w:val="00963A5D"/>
    <w:rsid w:val="009666EA"/>
    <w:rsid w:val="00970A22"/>
    <w:rsid w:val="00971AA2"/>
    <w:rsid w:val="00973D4B"/>
    <w:rsid w:val="00981AB2"/>
    <w:rsid w:val="00981C49"/>
    <w:rsid w:val="009835B6"/>
    <w:rsid w:val="0098598E"/>
    <w:rsid w:val="0099104D"/>
    <w:rsid w:val="009960BD"/>
    <w:rsid w:val="009A2102"/>
    <w:rsid w:val="009A2379"/>
    <w:rsid w:val="009A270A"/>
    <w:rsid w:val="009A376E"/>
    <w:rsid w:val="009A6905"/>
    <w:rsid w:val="009B0D30"/>
    <w:rsid w:val="009B2C76"/>
    <w:rsid w:val="009B47BE"/>
    <w:rsid w:val="009B4AAA"/>
    <w:rsid w:val="009C00B4"/>
    <w:rsid w:val="009C1E60"/>
    <w:rsid w:val="009C260F"/>
    <w:rsid w:val="009C2B05"/>
    <w:rsid w:val="009C44F2"/>
    <w:rsid w:val="009C5FA5"/>
    <w:rsid w:val="009C62C2"/>
    <w:rsid w:val="009C6DB3"/>
    <w:rsid w:val="009D085C"/>
    <w:rsid w:val="009D3960"/>
    <w:rsid w:val="009D4788"/>
    <w:rsid w:val="009D5073"/>
    <w:rsid w:val="009D6C42"/>
    <w:rsid w:val="009D76F6"/>
    <w:rsid w:val="009D7ECB"/>
    <w:rsid w:val="009E127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2ED"/>
    <w:rsid w:val="00A1045F"/>
    <w:rsid w:val="00A1184C"/>
    <w:rsid w:val="00A12970"/>
    <w:rsid w:val="00A13ECB"/>
    <w:rsid w:val="00A140A1"/>
    <w:rsid w:val="00A16E4A"/>
    <w:rsid w:val="00A20293"/>
    <w:rsid w:val="00A21B17"/>
    <w:rsid w:val="00A22E72"/>
    <w:rsid w:val="00A26193"/>
    <w:rsid w:val="00A3120C"/>
    <w:rsid w:val="00A31C8C"/>
    <w:rsid w:val="00A337AF"/>
    <w:rsid w:val="00A41C16"/>
    <w:rsid w:val="00A4252F"/>
    <w:rsid w:val="00A43E5B"/>
    <w:rsid w:val="00A4492E"/>
    <w:rsid w:val="00A4524C"/>
    <w:rsid w:val="00A45CD1"/>
    <w:rsid w:val="00A51B03"/>
    <w:rsid w:val="00A51BDE"/>
    <w:rsid w:val="00A5669E"/>
    <w:rsid w:val="00A57106"/>
    <w:rsid w:val="00A60435"/>
    <w:rsid w:val="00A61617"/>
    <w:rsid w:val="00A63925"/>
    <w:rsid w:val="00A63EC2"/>
    <w:rsid w:val="00A70DDB"/>
    <w:rsid w:val="00A7144E"/>
    <w:rsid w:val="00A73C9D"/>
    <w:rsid w:val="00A767FF"/>
    <w:rsid w:val="00A769D3"/>
    <w:rsid w:val="00A82845"/>
    <w:rsid w:val="00A839D1"/>
    <w:rsid w:val="00A85F9C"/>
    <w:rsid w:val="00A86330"/>
    <w:rsid w:val="00A86999"/>
    <w:rsid w:val="00A9167C"/>
    <w:rsid w:val="00AA246F"/>
    <w:rsid w:val="00AA2866"/>
    <w:rsid w:val="00AA2A90"/>
    <w:rsid w:val="00AA4BD2"/>
    <w:rsid w:val="00AA664D"/>
    <w:rsid w:val="00AB0BBE"/>
    <w:rsid w:val="00AB1E43"/>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5688"/>
    <w:rsid w:val="00AD5E0C"/>
    <w:rsid w:val="00AE040F"/>
    <w:rsid w:val="00AE0617"/>
    <w:rsid w:val="00AE6E0C"/>
    <w:rsid w:val="00AE7343"/>
    <w:rsid w:val="00AE7E5F"/>
    <w:rsid w:val="00AF0BB1"/>
    <w:rsid w:val="00AF201C"/>
    <w:rsid w:val="00AF3DFF"/>
    <w:rsid w:val="00AF400D"/>
    <w:rsid w:val="00B012B5"/>
    <w:rsid w:val="00B03B6E"/>
    <w:rsid w:val="00B041B3"/>
    <w:rsid w:val="00B04FC9"/>
    <w:rsid w:val="00B07CFC"/>
    <w:rsid w:val="00B12763"/>
    <w:rsid w:val="00B12DBC"/>
    <w:rsid w:val="00B13F4C"/>
    <w:rsid w:val="00B16451"/>
    <w:rsid w:val="00B208BA"/>
    <w:rsid w:val="00B22B58"/>
    <w:rsid w:val="00B24B44"/>
    <w:rsid w:val="00B2548E"/>
    <w:rsid w:val="00B30803"/>
    <w:rsid w:val="00B31C19"/>
    <w:rsid w:val="00B34F46"/>
    <w:rsid w:val="00B36C5C"/>
    <w:rsid w:val="00B37478"/>
    <w:rsid w:val="00B428F2"/>
    <w:rsid w:val="00B435FB"/>
    <w:rsid w:val="00B45E8F"/>
    <w:rsid w:val="00B46CB3"/>
    <w:rsid w:val="00B51453"/>
    <w:rsid w:val="00B51554"/>
    <w:rsid w:val="00B51739"/>
    <w:rsid w:val="00B53061"/>
    <w:rsid w:val="00B55C18"/>
    <w:rsid w:val="00B56258"/>
    <w:rsid w:val="00B56B96"/>
    <w:rsid w:val="00B64054"/>
    <w:rsid w:val="00B65A74"/>
    <w:rsid w:val="00B65DBF"/>
    <w:rsid w:val="00B70F8B"/>
    <w:rsid w:val="00B71578"/>
    <w:rsid w:val="00B720DF"/>
    <w:rsid w:val="00B7386A"/>
    <w:rsid w:val="00B74502"/>
    <w:rsid w:val="00B76EB7"/>
    <w:rsid w:val="00B771F9"/>
    <w:rsid w:val="00B80736"/>
    <w:rsid w:val="00B81902"/>
    <w:rsid w:val="00B92EB2"/>
    <w:rsid w:val="00B97308"/>
    <w:rsid w:val="00BA3508"/>
    <w:rsid w:val="00BA4274"/>
    <w:rsid w:val="00BA4B7B"/>
    <w:rsid w:val="00BA56C2"/>
    <w:rsid w:val="00BB1214"/>
    <w:rsid w:val="00BB1CA6"/>
    <w:rsid w:val="00BB7FAA"/>
    <w:rsid w:val="00BC3874"/>
    <w:rsid w:val="00BC6CD4"/>
    <w:rsid w:val="00BC7BC3"/>
    <w:rsid w:val="00BD0960"/>
    <w:rsid w:val="00BD3F6A"/>
    <w:rsid w:val="00BD4BED"/>
    <w:rsid w:val="00BD5610"/>
    <w:rsid w:val="00BD56DB"/>
    <w:rsid w:val="00BE40B8"/>
    <w:rsid w:val="00BE4D79"/>
    <w:rsid w:val="00BF130A"/>
    <w:rsid w:val="00BF185F"/>
    <w:rsid w:val="00BF2C83"/>
    <w:rsid w:val="00BF40F9"/>
    <w:rsid w:val="00BF5FB2"/>
    <w:rsid w:val="00BF7E9A"/>
    <w:rsid w:val="00C00D7C"/>
    <w:rsid w:val="00C0231B"/>
    <w:rsid w:val="00C103D4"/>
    <w:rsid w:val="00C10771"/>
    <w:rsid w:val="00C1162E"/>
    <w:rsid w:val="00C13466"/>
    <w:rsid w:val="00C134F4"/>
    <w:rsid w:val="00C14370"/>
    <w:rsid w:val="00C148C0"/>
    <w:rsid w:val="00C14E6E"/>
    <w:rsid w:val="00C23B0F"/>
    <w:rsid w:val="00C261EA"/>
    <w:rsid w:val="00C3671A"/>
    <w:rsid w:val="00C36875"/>
    <w:rsid w:val="00C37886"/>
    <w:rsid w:val="00C425B0"/>
    <w:rsid w:val="00C42F30"/>
    <w:rsid w:val="00C46925"/>
    <w:rsid w:val="00C46CD6"/>
    <w:rsid w:val="00C54773"/>
    <w:rsid w:val="00C557DF"/>
    <w:rsid w:val="00C558CC"/>
    <w:rsid w:val="00C55FAC"/>
    <w:rsid w:val="00C56AA5"/>
    <w:rsid w:val="00C56C38"/>
    <w:rsid w:val="00C6161E"/>
    <w:rsid w:val="00C63986"/>
    <w:rsid w:val="00C675E4"/>
    <w:rsid w:val="00C67D60"/>
    <w:rsid w:val="00C70515"/>
    <w:rsid w:val="00C804F7"/>
    <w:rsid w:val="00C82B0E"/>
    <w:rsid w:val="00C84D6D"/>
    <w:rsid w:val="00C85B97"/>
    <w:rsid w:val="00C85E5E"/>
    <w:rsid w:val="00C86F1B"/>
    <w:rsid w:val="00C9096D"/>
    <w:rsid w:val="00C91BC1"/>
    <w:rsid w:val="00C93767"/>
    <w:rsid w:val="00C95930"/>
    <w:rsid w:val="00C96E7C"/>
    <w:rsid w:val="00C97D17"/>
    <w:rsid w:val="00CA069C"/>
    <w:rsid w:val="00CA1A4C"/>
    <w:rsid w:val="00CA2A8C"/>
    <w:rsid w:val="00CA3A76"/>
    <w:rsid w:val="00CB38D7"/>
    <w:rsid w:val="00CB6600"/>
    <w:rsid w:val="00CB7762"/>
    <w:rsid w:val="00CC30E1"/>
    <w:rsid w:val="00CC423B"/>
    <w:rsid w:val="00CC56AF"/>
    <w:rsid w:val="00CD225E"/>
    <w:rsid w:val="00CD3768"/>
    <w:rsid w:val="00CD5D9B"/>
    <w:rsid w:val="00CD756F"/>
    <w:rsid w:val="00CE08D4"/>
    <w:rsid w:val="00CE299E"/>
    <w:rsid w:val="00CE3B6F"/>
    <w:rsid w:val="00CF494E"/>
    <w:rsid w:val="00D016D5"/>
    <w:rsid w:val="00D02743"/>
    <w:rsid w:val="00D0448D"/>
    <w:rsid w:val="00D10242"/>
    <w:rsid w:val="00D11C98"/>
    <w:rsid w:val="00D13E9D"/>
    <w:rsid w:val="00D148F7"/>
    <w:rsid w:val="00D15FA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236E"/>
    <w:rsid w:val="00D532E1"/>
    <w:rsid w:val="00D55A52"/>
    <w:rsid w:val="00D5633E"/>
    <w:rsid w:val="00D617EB"/>
    <w:rsid w:val="00D64133"/>
    <w:rsid w:val="00D65F8D"/>
    <w:rsid w:val="00D71A37"/>
    <w:rsid w:val="00D7394A"/>
    <w:rsid w:val="00D7641E"/>
    <w:rsid w:val="00D816AA"/>
    <w:rsid w:val="00D83BDC"/>
    <w:rsid w:val="00D851A1"/>
    <w:rsid w:val="00D8597C"/>
    <w:rsid w:val="00D92EF6"/>
    <w:rsid w:val="00D96A6E"/>
    <w:rsid w:val="00DA3130"/>
    <w:rsid w:val="00DA58E4"/>
    <w:rsid w:val="00DB0E66"/>
    <w:rsid w:val="00DB2655"/>
    <w:rsid w:val="00DB2B03"/>
    <w:rsid w:val="00DB4F16"/>
    <w:rsid w:val="00DC2653"/>
    <w:rsid w:val="00DC4C2A"/>
    <w:rsid w:val="00DC6996"/>
    <w:rsid w:val="00DC6C13"/>
    <w:rsid w:val="00DC7E9F"/>
    <w:rsid w:val="00DD0B99"/>
    <w:rsid w:val="00DD195C"/>
    <w:rsid w:val="00DD40E9"/>
    <w:rsid w:val="00DD426E"/>
    <w:rsid w:val="00DD600D"/>
    <w:rsid w:val="00DD6E72"/>
    <w:rsid w:val="00DD7797"/>
    <w:rsid w:val="00DE2FA0"/>
    <w:rsid w:val="00DE6465"/>
    <w:rsid w:val="00DE6711"/>
    <w:rsid w:val="00DF3105"/>
    <w:rsid w:val="00DF3DE4"/>
    <w:rsid w:val="00DF3E87"/>
    <w:rsid w:val="00DF756F"/>
    <w:rsid w:val="00E0036C"/>
    <w:rsid w:val="00E00B2E"/>
    <w:rsid w:val="00E023DF"/>
    <w:rsid w:val="00E05508"/>
    <w:rsid w:val="00E0551F"/>
    <w:rsid w:val="00E05E14"/>
    <w:rsid w:val="00E1428C"/>
    <w:rsid w:val="00E1739C"/>
    <w:rsid w:val="00E24F24"/>
    <w:rsid w:val="00E32272"/>
    <w:rsid w:val="00E32B08"/>
    <w:rsid w:val="00E3344C"/>
    <w:rsid w:val="00E35707"/>
    <w:rsid w:val="00E35DD8"/>
    <w:rsid w:val="00E37623"/>
    <w:rsid w:val="00E422F7"/>
    <w:rsid w:val="00E433EB"/>
    <w:rsid w:val="00E477EF"/>
    <w:rsid w:val="00E5194C"/>
    <w:rsid w:val="00E55B5E"/>
    <w:rsid w:val="00E56B57"/>
    <w:rsid w:val="00E57385"/>
    <w:rsid w:val="00E60777"/>
    <w:rsid w:val="00E62DA0"/>
    <w:rsid w:val="00E64C57"/>
    <w:rsid w:val="00E66F14"/>
    <w:rsid w:val="00E7103C"/>
    <w:rsid w:val="00E72DEE"/>
    <w:rsid w:val="00E73AB1"/>
    <w:rsid w:val="00E73C3B"/>
    <w:rsid w:val="00E74758"/>
    <w:rsid w:val="00E74A45"/>
    <w:rsid w:val="00E74F32"/>
    <w:rsid w:val="00E82529"/>
    <w:rsid w:val="00E839E0"/>
    <w:rsid w:val="00E846EF"/>
    <w:rsid w:val="00E849D1"/>
    <w:rsid w:val="00E84B4C"/>
    <w:rsid w:val="00E86621"/>
    <w:rsid w:val="00E93AC5"/>
    <w:rsid w:val="00E94579"/>
    <w:rsid w:val="00E9459D"/>
    <w:rsid w:val="00E97110"/>
    <w:rsid w:val="00E9798C"/>
    <w:rsid w:val="00EA0B57"/>
    <w:rsid w:val="00EA1035"/>
    <w:rsid w:val="00EA1F98"/>
    <w:rsid w:val="00EA3C4B"/>
    <w:rsid w:val="00EA5D83"/>
    <w:rsid w:val="00EB1DC5"/>
    <w:rsid w:val="00EB1F25"/>
    <w:rsid w:val="00EB340B"/>
    <w:rsid w:val="00EB41D1"/>
    <w:rsid w:val="00EB54DF"/>
    <w:rsid w:val="00EB5C12"/>
    <w:rsid w:val="00EC014B"/>
    <w:rsid w:val="00EC20A8"/>
    <w:rsid w:val="00EC4DA7"/>
    <w:rsid w:val="00EC5B1A"/>
    <w:rsid w:val="00EC6112"/>
    <w:rsid w:val="00EC7446"/>
    <w:rsid w:val="00ED1774"/>
    <w:rsid w:val="00ED2EED"/>
    <w:rsid w:val="00ED361D"/>
    <w:rsid w:val="00ED51F7"/>
    <w:rsid w:val="00ED6978"/>
    <w:rsid w:val="00ED7A88"/>
    <w:rsid w:val="00EE0752"/>
    <w:rsid w:val="00EE0BE9"/>
    <w:rsid w:val="00EE2198"/>
    <w:rsid w:val="00EE3A0B"/>
    <w:rsid w:val="00EE5ADB"/>
    <w:rsid w:val="00EE627E"/>
    <w:rsid w:val="00EF0F24"/>
    <w:rsid w:val="00EF17C7"/>
    <w:rsid w:val="00EF2803"/>
    <w:rsid w:val="00EF32E8"/>
    <w:rsid w:val="00EF6658"/>
    <w:rsid w:val="00F01B5D"/>
    <w:rsid w:val="00F11E42"/>
    <w:rsid w:val="00F12347"/>
    <w:rsid w:val="00F13525"/>
    <w:rsid w:val="00F16830"/>
    <w:rsid w:val="00F209DC"/>
    <w:rsid w:val="00F22592"/>
    <w:rsid w:val="00F23ECA"/>
    <w:rsid w:val="00F24DD9"/>
    <w:rsid w:val="00F2528C"/>
    <w:rsid w:val="00F32735"/>
    <w:rsid w:val="00F348A6"/>
    <w:rsid w:val="00F36F9F"/>
    <w:rsid w:val="00F424D0"/>
    <w:rsid w:val="00F42EEF"/>
    <w:rsid w:val="00F42EF2"/>
    <w:rsid w:val="00F433FF"/>
    <w:rsid w:val="00F4414C"/>
    <w:rsid w:val="00F442E0"/>
    <w:rsid w:val="00F44F9D"/>
    <w:rsid w:val="00F473B3"/>
    <w:rsid w:val="00F50AB2"/>
    <w:rsid w:val="00F51457"/>
    <w:rsid w:val="00F52884"/>
    <w:rsid w:val="00F549CF"/>
    <w:rsid w:val="00F56D41"/>
    <w:rsid w:val="00F57D8B"/>
    <w:rsid w:val="00F602FC"/>
    <w:rsid w:val="00F60EAE"/>
    <w:rsid w:val="00F63670"/>
    <w:rsid w:val="00F65276"/>
    <w:rsid w:val="00F721D0"/>
    <w:rsid w:val="00F73F1B"/>
    <w:rsid w:val="00F742B5"/>
    <w:rsid w:val="00F776EA"/>
    <w:rsid w:val="00F80CE5"/>
    <w:rsid w:val="00F8253D"/>
    <w:rsid w:val="00F82C93"/>
    <w:rsid w:val="00F9388E"/>
    <w:rsid w:val="00F94A0B"/>
    <w:rsid w:val="00F95688"/>
    <w:rsid w:val="00F978EA"/>
    <w:rsid w:val="00FA2083"/>
    <w:rsid w:val="00FA22E2"/>
    <w:rsid w:val="00FA335C"/>
    <w:rsid w:val="00FA5344"/>
    <w:rsid w:val="00FA6EF6"/>
    <w:rsid w:val="00FB0268"/>
    <w:rsid w:val="00FB157B"/>
    <w:rsid w:val="00FB5B08"/>
    <w:rsid w:val="00FC3FDF"/>
    <w:rsid w:val="00FC4C5B"/>
    <w:rsid w:val="00FC5E5A"/>
    <w:rsid w:val="00FC64B2"/>
    <w:rsid w:val="00FC688A"/>
    <w:rsid w:val="00FC79ED"/>
    <w:rsid w:val="00FD0A4D"/>
    <w:rsid w:val="00FD2FA0"/>
    <w:rsid w:val="00FD551E"/>
    <w:rsid w:val="00FE1227"/>
    <w:rsid w:val="00FE21A8"/>
    <w:rsid w:val="00FE4859"/>
    <w:rsid w:val="00FE4936"/>
    <w:rsid w:val="00FE5300"/>
    <w:rsid w:val="00FE6E46"/>
    <w:rsid w:val="00FE7FAD"/>
    <w:rsid w:val="00FF2F4D"/>
    <w:rsid w:val="00FF35AC"/>
    <w:rsid w:val="00FF3F0A"/>
    <w:rsid w:val="00FF7076"/>
    <w:rsid w:val="012873D3"/>
    <w:rsid w:val="02A46519"/>
    <w:rsid w:val="02F30FA1"/>
    <w:rsid w:val="06F91383"/>
    <w:rsid w:val="07C80DEE"/>
    <w:rsid w:val="07F27FE4"/>
    <w:rsid w:val="07F636F7"/>
    <w:rsid w:val="092906CB"/>
    <w:rsid w:val="09694699"/>
    <w:rsid w:val="096E3BEA"/>
    <w:rsid w:val="09802D59"/>
    <w:rsid w:val="09E8138B"/>
    <w:rsid w:val="0A410AF1"/>
    <w:rsid w:val="0D57008A"/>
    <w:rsid w:val="0DA56F93"/>
    <w:rsid w:val="0E3B46FF"/>
    <w:rsid w:val="0E7E1C83"/>
    <w:rsid w:val="0F7637A5"/>
    <w:rsid w:val="1049527D"/>
    <w:rsid w:val="11A6391C"/>
    <w:rsid w:val="11AF15E3"/>
    <w:rsid w:val="11FC3B98"/>
    <w:rsid w:val="12C81DAF"/>
    <w:rsid w:val="12FA67BA"/>
    <w:rsid w:val="142011A6"/>
    <w:rsid w:val="14C60571"/>
    <w:rsid w:val="15965C16"/>
    <w:rsid w:val="15A444A6"/>
    <w:rsid w:val="16277A0B"/>
    <w:rsid w:val="16852D6C"/>
    <w:rsid w:val="17491AA3"/>
    <w:rsid w:val="17B24919"/>
    <w:rsid w:val="17B4163D"/>
    <w:rsid w:val="17F94FFE"/>
    <w:rsid w:val="189E735D"/>
    <w:rsid w:val="18AF29F3"/>
    <w:rsid w:val="1A6C3968"/>
    <w:rsid w:val="1A957A72"/>
    <w:rsid w:val="1C1D6568"/>
    <w:rsid w:val="1C585691"/>
    <w:rsid w:val="1C6F7096"/>
    <w:rsid w:val="1C75035D"/>
    <w:rsid w:val="1E097B16"/>
    <w:rsid w:val="205839ED"/>
    <w:rsid w:val="206C3055"/>
    <w:rsid w:val="20EE6FC1"/>
    <w:rsid w:val="21606878"/>
    <w:rsid w:val="2190637B"/>
    <w:rsid w:val="22027AEB"/>
    <w:rsid w:val="23A42D0F"/>
    <w:rsid w:val="24062928"/>
    <w:rsid w:val="242D5F16"/>
    <w:rsid w:val="24446463"/>
    <w:rsid w:val="24462A2D"/>
    <w:rsid w:val="25761FE8"/>
    <w:rsid w:val="26B36D0C"/>
    <w:rsid w:val="26C70FC3"/>
    <w:rsid w:val="272F3A51"/>
    <w:rsid w:val="274517C9"/>
    <w:rsid w:val="29142A0C"/>
    <w:rsid w:val="29362D86"/>
    <w:rsid w:val="29D15596"/>
    <w:rsid w:val="2A4E3D69"/>
    <w:rsid w:val="2B5F21E3"/>
    <w:rsid w:val="2BAE36BF"/>
    <w:rsid w:val="2BCB3F2A"/>
    <w:rsid w:val="2C102611"/>
    <w:rsid w:val="2C29369E"/>
    <w:rsid w:val="2CB216AE"/>
    <w:rsid w:val="2CD814EF"/>
    <w:rsid w:val="2D02506B"/>
    <w:rsid w:val="2DC14C40"/>
    <w:rsid w:val="2E4A46A0"/>
    <w:rsid w:val="2EF72DA2"/>
    <w:rsid w:val="2F3515C3"/>
    <w:rsid w:val="2F4123B0"/>
    <w:rsid w:val="302765E7"/>
    <w:rsid w:val="30B11C7D"/>
    <w:rsid w:val="317407C0"/>
    <w:rsid w:val="3175068C"/>
    <w:rsid w:val="31AB7E01"/>
    <w:rsid w:val="32B3311C"/>
    <w:rsid w:val="34126ED7"/>
    <w:rsid w:val="342F6C69"/>
    <w:rsid w:val="354B6B44"/>
    <w:rsid w:val="36537BE4"/>
    <w:rsid w:val="36681030"/>
    <w:rsid w:val="36D0551D"/>
    <w:rsid w:val="37956880"/>
    <w:rsid w:val="3849628B"/>
    <w:rsid w:val="396E5902"/>
    <w:rsid w:val="398B7F95"/>
    <w:rsid w:val="39CE38A0"/>
    <w:rsid w:val="39FD199C"/>
    <w:rsid w:val="3A882839"/>
    <w:rsid w:val="3A97759B"/>
    <w:rsid w:val="3A990BD3"/>
    <w:rsid w:val="3BB367AF"/>
    <w:rsid w:val="3C024B7D"/>
    <w:rsid w:val="3C7F4EBC"/>
    <w:rsid w:val="3C837535"/>
    <w:rsid w:val="3CE60F00"/>
    <w:rsid w:val="3E2145BE"/>
    <w:rsid w:val="3F676452"/>
    <w:rsid w:val="40E26775"/>
    <w:rsid w:val="40FF1D3F"/>
    <w:rsid w:val="41655958"/>
    <w:rsid w:val="41D35827"/>
    <w:rsid w:val="42E732F8"/>
    <w:rsid w:val="435528D9"/>
    <w:rsid w:val="43CA2CF3"/>
    <w:rsid w:val="441962C2"/>
    <w:rsid w:val="44344B6A"/>
    <w:rsid w:val="44CE2C8D"/>
    <w:rsid w:val="457202D9"/>
    <w:rsid w:val="45C86CE6"/>
    <w:rsid w:val="48374FFD"/>
    <w:rsid w:val="487E1EBD"/>
    <w:rsid w:val="48D63633"/>
    <w:rsid w:val="492E3CB8"/>
    <w:rsid w:val="49602681"/>
    <w:rsid w:val="4AFA3073"/>
    <w:rsid w:val="4BBE0F5B"/>
    <w:rsid w:val="4BE66A88"/>
    <w:rsid w:val="4C46012D"/>
    <w:rsid w:val="4D161D35"/>
    <w:rsid w:val="4DF27B79"/>
    <w:rsid w:val="4EE942B4"/>
    <w:rsid w:val="519C3784"/>
    <w:rsid w:val="55F00D79"/>
    <w:rsid w:val="56682C5A"/>
    <w:rsid w:val="572A48CB"/>
    <w:rsid w:val="573D3418"/>
    <w:rsid w:val="57FD3B20"/>
    <w:rsid w:val="58CB74D0"/>
    <w:rsid w:val="597C1F53"/>
    <w:rsid w:val="5A170196"/>
    <w:rsid w:val="5BEF76E9"/>
    <w:rsid w:val="5CC70097"/>
    <w:rsid w:val="5CE337FB"/>
    <w:rsid w:val="5D77643D"/>
    <w:rsid w:val="5F1662FE"/>
    <w:rsid w:val="5FC67737"/>
    <w:rsid w:val="5FF722CD"/>
    <w:rsid w:val="60464B44"/>
    <w:rsid w:val="616109D2"/>
    <w:rsid w:val="6171498D"/>
    <w:rsid w:val="62255DD6"/>
    <w:rsid w:val="634C5B54"/>
    <w:rsid w:val="645E0594"/>
    <w:rsid w:val="65B6317D"/>
    <w:rsid w:val="66AB22D9"/>
    <w:rsid w:val="66D41533"/>
    <w:rsid w:val="670F2C7E"/>
    <w:rsid w:val="68226616"/>
    <w:rsid w:val="68B84DB4"/>
    <w:rsid w:val="69005E96"/>
    <w:rsid w:val="69BA445C"/>
    <w:rsid w:val="6AB53B3C"/>
    <w:rsid w:val="6AFD34C8"/>
    <w:rsid w:val="6B6C069F"/>
    <w:rsid w:val="6BFF2AF4"/>
    <w:rsid w:val="6CDA7624"/>
    <w:rsid w:val="6CE81713"/>
    <w:rsid w:val="6CF05BCD"/>
    <w:rsid w:val="6D070BEB"/>
    <w:rsid w:val="6D0B6015"/>
    <w:rsid w:val="6D7B76B4"/>
    <w:rsid w:val="6DB932C1"/>
    <w:rsid w:val="6E1437DA"/>
    <w:rsid w:val="6E1F0847"/>
    <w:rsid w:val="6E331948"/>
    <w:rsid w:val="6E3A43BC"/>
    <w:rsid w:val="6E697118"/>
    <w:rsid w:val="6F7264A0"/>
    <w:rsid w:val="71B66B18"/>
    <w:rsid w:val="722C52AF"/>
    <w:rsid w:val="72954F16"/>
    <w:rsid w:val="72D82ABE"/>
    <w:rsid w:val="73505599"/>
    <w:rsid w:val="73A07A74"/>
    <w:rsid w:val="73C86E78"/>
    <w:rsid w:val="74467ECF"/>
    <w:rsid w:val="747D391D"/>
    <w:rsid w:val="74BC21EB"/>
    <w:rsid w:val="74DD1DA7"/>
    <w:rsid w:val="77D23F80"/>
    <w:rsid w:val="788D4480"/>
    <w:rsid w:val="78A32008"/>
    <w:rsid w:val="791E369B"/>
    <w:rsid w:val="792206B8"/>
    <w:rsid w:val="79E65AC0"/>
    <w:rsid w:val="7AED2E7F"/>
    <w:rsid w:val="7B4A6DD9"/>
    <w:rsid w:val="7D3A560F"/>
    <w:rsid w:val="7DD74128"/>
    <w:rsid w:val="7E1F194A"/>
    <w:rsid w:val="7F30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40"/>
    <w:qFormat/>
    <w:uiPriority w:val="0"/>
    <w:pPr>
      <w:keepNext/>
      <w:jc w:val="center"/>
      <w:outlineLvl w:val="3"/>
    </w:pPr>
    <w:rPr>
      <w:rFonts w:eastAsia="新宋体"/>
      <w:sz w:val="30"/>
      <w:szCs w:val="21"/>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宋体" w:cs="Times New Roman"/>
      <w:sz w:val="22"/>
      <w:szCs w:val="22"/>
      <w:lang w:val="en-US" w:eastAsia="en-US" w:bidi="en-US"/>
    </w:rPr>
  </w:style>
  <w:style w:type="paragraph" w:styleId="7">
    <w:name w:val="Normal Indent"/>
    <w:basedOn w:val="1"/>
    <w:link w:val="41"/>
    <w:qFormat/>
    <w:uiPriority w:val="0"/>
    <w:pPr>
      <w:ind w:firstLine="420"/>
    </w:pPr>
    <w:rPr>
      <w:szCs w:val="20"/>
    </w:rPr>
  </w:style>
  <w:style w:type="paragraph" w:styleId="8">
    <w:name w:val="Document Map"/>
    <w:basedOn w:val="1"/>
    <w:link w:val="42"/>
    <w:semiHidden/>
    <w:qFormat/>
    <w:uiPriority w:val="0"/>
    <w:pPr>
      <w:shd w:val="clear" w:color="auto" w:fill="000080"/>
    </w:pPr>
  </w:style>
  <w:style w:type="paragraph" w:styleId="9">
    <w:name w:val="annotation text"/>
    <w:basedOn w:val="1"/>
    <w:unhideWhenUsed/>
    <w:qFormat/>
    <w:uiPriority w:val="99"/>
    <w:pPr>
      <w:jc w:val="left"/>
    </w:pPr>
  </w:style>
  <w:style w:type="paragraph" w:styleId="10">
    <w:name w:val="Body Text"/>
    <w:basedOn w:val="1"/>
    <w:next w:val="1"/>
    <w:qFormat/>
    <w:uiPriority w:val="0"/>
    <w:pPr>
      <w:spacing w:line="400" w:lineRule="exact"/>
    </w:pPr>
    <w:rPr>
      <w:rFonts w:ascii="楷体_GB2312"/>
      <w:sz w:val="28"/>
    </w:rPr>
  </w:style>
  <w:style w:type="paragraph" w:styleId="11">
    <w:name w:val="Body Text Indent"/>
    <w:basedOn w:val="1"/>
    <w:next w:val="12"/>
    <w:link w:val="43"/>
    <w:qFormat/>
    <w:uiPriority w:val="0"/>
    <w:pPr>
      <w:spacing w:after="120"/>
      <w:ind w:left="420" w:leftChars="200"/>
    </w:pPr>
  </w:style>
  <w:style w:type="paragraph" w:styleId="12">
    <w:name w:val="envelope return"/>
    <w:basedOn w:val="1"/>
    <w:unhideWhenUsed/>
    <w:qFormat/>
    <w:uiPriority w:val="99"/>
    <w:pPr>
      <w:snapToGrid w:val="0"/>
    </w:pPr>
    <w:rPr>
      <w:rFonts w:ascii="Arial" w:hAnsi="Arial"/>
    </w:rPr>
  </w:style>
  <w:style w:type="paragraph" w:styleId="13">
    <w:name w:val="Date"/>
    <w:basedOn w:val="1"/>
    <w:next w:val="1"/>
    <w:link w:val="44"/>
    <w:qFormat/>
    <w:uiPriority w:val="0"/>
    <w:pPr>
      <w:ind w:left="100" w:leftChars="2500"/>
    </w:pPr>
  </w:style>
  <w:style w:type="paragraph" w:styleId="14">
    <w:name w:val="Balloon Text"/>
    <w:basedOn w:val="1"/>
    <w:link w:val="45"/>
    <w:semiHidden/>
    <w:qFormat/>
    <w:uiPriority w:val="0"/>
    <w:rPr>
      <w:sz w:val="18"/>
      <w:szCs w:val="18"/>
    </w:rPr>
  </w:style>
  <w:style w:type="paragraph" w:styleId="15">
    <w:name w:val="footer"/>
    <w:basedOn w:val="1"/>
    <w:link w:val="46"/>
    <w:qFormat/>
    <w:uiPriority w:val="99"/>
    <w:pPr>
      <w:tabs>
        <w:tab w:val="center" w:pos="4153"/>
        <w:tab w:val="right" w:pos="8306"/>
      </w:tabs>
      <w:snapToGrid w:val="0"/>
      <w:jc w:val="left"/>
    </w:pPr>
    <w:rPr>
      <w:sz w:val="18"/>
      <w:szCs w:val="18"/>
    </w:rPr>
  </w:style>
  <w:style w:type="paragraph" w:styleId="16">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48"/>
    <w:qFormat/>
    <w:uiPriority w:val="0"/>
    <w:pPr>
      <w:spacing w:line="520" w:lineRule="exact"/>
      <w:ind w:firstLine="539" w:firstLineChars="184"/>
    </w:pPr>
    <w:rPr>
      <w:rFonts w:ascii="宋体"/>
      <w:b/>
      <w:spacing w:val="6"/>
      <w:sz w:val="28"/>
    </w:rPr>
  </w:style>
  <w:style w:type="paragraph" w:styleId="1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2"/>
    <w:basedOn w:val="11"/>
    <w:next w:val="17"/>
    <w:unhideWhenUsed/>
    <w:qFormat/>
    <w:uiPriority w:val="99"/>
    <w:pPr>
      <w:ind w:firstLine="20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page number"/>
    <w:qFormat/>
    <w:uiPriority w:val="0"/>
  </w:style>
  <w:style w:type="character" w:styleId="26">
    <w:name w:val="FollowedHyperlink"/>
    <w:unhideWhenUsed/>
    <w:qFormat/>
    <w:uiPriority w:val="99"/>
    <w:rPr>
      <w:color w:val="800080"/>
      <w:u w:val="none"/>
    </w:rPr>
  </w:style>
  <w:style w:type="character" w:styleId="27">
    <w:name w:val="Emphasis"/>
    <w:qFormat/>
    <w:uiPriority w:val="0"/>
    <w:rPr>
      <w:b/>
      <w:bCs/>
    </w:rPr>
  </w:style>
  <w:style w:type="character" w:styleId="28">
    <w:name w:val="HTML Definition"/>
    <w:unhideWhenUsed/>
    <w:qFormat/>
    <w:uiPriority w:val="99"/>
  </w:style>
  <w:style w:type="character" w:styleId="29">
    <w:name w:val="HTML Typewriter"/>
    <w:unhideWhenUsed/>
    <w:qFormat/>
    <w:uiPriority w:val="99"/>
    <w:rPr>
      <w:rFonts w:hint="default" w:ascii="monospace" w:hAnsi="monospace" w:eastAsia="monospace" w:cs="monospace"/>
      <w:sz w:val="20"/>
    </w:rPr>
  </w:style>
  <w:style w:type="character" w:styleId="30">
    <w:name w:val="HTML Acronym"/>
    <w:unhideWhenUsed/>
    <w:qFormat/>
    <w:uiPriority w:val="99"/>
  </w:style>
  <w:style w:type="character" w:styleId="31">
    <w:name w:val="HTML Variable"/>
    <w:unhideWhenUsed/>
    <w:qFormat/>
    <w:uiPriority w:val="99"/>
  </w:style>
  <w:style w:type="character" w:styleId="32">
    <w:name w:val="Hyperlink"/>
    <w:unhideWhenUsed/>
    <w:qFormat/>
    <w:uiPriority w:val="99"/>
    <w:rPr>
      <w:color w:val="0000FF"/>
      <w:u w:val="none"/>
    </w:rPr>
  </w:style>
  <w:style w:type="character" w:styleId="33">
    <w:name w:val="HTML Code"/>
    <w:unhideWhenUsed/>
    <w:qFormat/>
    <w:uiPriority w:val="99"/>
    <w:rPr>
      <w:rFonts w:hint="default" w:ascii="monospace" w:hAnsi="monospace" w:eastAsia="monospace" w:cs="monospace"/>
      <w:sz w:val="20"/>
    </w:rPr>
  </w:style>
  <w:style w:type="character" w:styleId="34">
    <w:name w:val="HTML Cite"/>
    <w:unhideWhenUsed/>
    <w:qFormat/>
    <w:uiPriority w:val="99"/>
  </w:style>
  <w:style w:type="character" w:styleId="35">
    <w:name w:val="HTML Keyboard"/>
    <w:unhideWhenUsed/>
    <w:qFormat/>
    <w:uiPriority w:val="99"/>
    <w:rPr>
      <w:rFonts w:ascii="monospace" w:hAnsi="monospace" w:eastAsia="monospace" w:cs="monospace"/>
      <w:sz w:val="20"/>
    </w:rPr>
  </w:style>
  <w:style w:type="character" w:styleId="36">
    <w:name w:val="HTML Sample"/>
    <w:unhideWhenUsed/>
    <w:qFormat/>
    <w:uiPriority w:val="99"/>
    <w:rPr>
      <w:rFonts w:hint="default" w:ascii="monospace" w:hAnsi="monospace" w:eastAsia="monospace" w:cs="monospace"/>
    </w:rPr>
  </w:style>
  <w:style w:type="character" w:customStyle="1" w:styleId="37">
    <w:name w:val="标题 1 Char"/>
    <w:link w:val="3"/>
    <w:qFormat/>
    <w:uiPriority w:val="0"/>
    <w:rPr>
      <w:b/>
      <w:bCs/>
      <w:kern w:val="44"/>
      <w:sz w:val="44"/>
      <w:szCs w:val="44"/>
    </w:rPr>
  </w:style>
  <w:style w:type="character" w:customStyle="1" w:styleId="38">
    <w:name w:val="标题 2 Char"/>
    <w:link w:val="4"/>
    <w:qFormat/>
    <w:uiPriority w:val="0"/>
    <w:rPr>
      <w:rFonts w:ascii="Arial" w:hAnsi="Arial" w:eastAsia="黑体"/>
      <w:b/>
      <w:bCs/>
      <w:kern w:val="2"/>
      <w:sz w:val="32"/>
      <w:szCs w:val="32"/>
    </w:rPr>
  </w:style>
  <w:style w:type="character" w:customStyle="1" w:styleId="39">
    <w:name w:val="标题 3 Char"/>
    <w:link w:val="5"/>
    <w:qFormat/>
    <w:uiPriority w:val="0"/>
    <w:rPr>
      <w:b/>
      <w:bCs/>
      <w:kern w:val="2"/>
      <w:sz w:val="32"/>
      <w:szCs w:val="32"/>
    </w:rPr>
  </w:style>
  <w:style w:type="character" w:customStyle="1" w:styleId="40">
    <w:name w:val="标题 4 Char"/>
    <w:link w:val="6"/>
    <w:qFormat/>
    <w:uiPriority w:val="0"/>
    <w:rPr>
      <w:rFonts w:eastAsia="新宋体"/>
      <w:kern w:val="2"/>
      <w:sz w:val="30"/>
      <w:szCs w:val="21"/>
    </w:rPr>
  </w:style>
  <w:style w:type="character" w:customStyle="1" w:styleId="41">
    <w:name w:val="正文缩进 Char"/>
    <w:link w:val="7"/>
    <w:qFormat/>
    <w:uiPriority w:val="0"/>
    <w:rPr>
      <w:kern w:val="2"/>
      <w:sz w:val="21"/>
    </w:rPr>
  </w:style>
  <w:style w:type="character" w:customStyle="1" w:styleId="42">
    <w:name w:val="文档结构图 Char"/>
    <w:link w:val="8"/>
    <w:semiHidden/>
    <w:qFormat/>
    <w:uiPriority w:val="0"/>
    <w:rPr>
      <w:kern w:val="2"/>
      <w:sz w:val="21"/>
      <w:szCs w:val="24"/>
      <w:shd w:val="clear" w:color="auto" w:fill="000080"/>
    </w:rPr>
  </w:style>
  <w:style w:type="character" w:customStyle="1" w:styleId="43">
    <w:name w:val="正文文本缩进 Char"/>
    <w:link w:val="11"/>
    <w:qFormat/>
    <w:uiPriority w:val="0"/>
    <w:rPr>
      <w:kern w:val="2"/>
      <w:sz w:val="21"/>
      <w:szCs w:val="24"/>
    </w:rPr>
  </w:style>
  <w:style w:type="character" w:customStyle="1" w:styleId="44">
    <w:name w:val="日期 Char"/>
    <w:link w:val="13"/>
    <w:qFormat/>
    <w:uiPriority w:val="0"/>
    <w:rPr>
      <w:kern w:val="2"/>
      <w:sz w:val="21"/>
      <w:szCs w:val="24"/>
    </w:rPr>
  </w:style>
  <w:style w:type="character" w:customStyle="1" w:styleId="45">
    <w:name w:val="批注框文本 Char"/>
    <w:link w:val="14"/>
    <w:semiHidden/>
    <w:qFormat/>
    <w:uiPriority w:val="0"/>
    <w:rPr>
      <w:kern w:val="2"/>
      <w:sz w:val="18"/>
      <w:szCs w:val="18"/>
    </w:rPr>
  </w:style>
  <w:style w:type="character" w:customStyle="1" w:styleId="46">
    <w:name w:val="页脚 Char"/>
    <w:link w:val="15"/>
    <w:qFormat/>
    <w:uiPriority w:val="99"/>
    <w:rPr>
      <w:kern w:val="2"/>
      <w:sz w:val="18"/>
      <w:szCs w:val="18"/>
    </w:rPr>
  </w:style>
  <w:style w:type="character" w:customStyle="1" w:styleId="47">
    <w:name w:val="页眉 Char"/>
    <w:link w:val="16"/>
    <w:qFormat/>
    <w:uiPriority w:val="0"/>
    <w:rPr>
      <w:kern w:val="2"/>
      <w:sz w:val="18"/>
      <w:szCs w:val="18"/>
    </w:rPr>
  </w:style>
  <w:style w:type="character" w:customStyle="1" w:styleId="48">
    <w:name w:val="正文文本缩进 3 Char"/>
    <w:link w:val="17"/>
    <w:qFormat/>
    <w:uiPriority w:val="0"/>
    <w:rPr>
      <w:rFonts w:ascii="宋体"/>
      <w:b/>
      <w:spacing w:val="6"/>
      <w:kern w:val="2"/>
      <w:sz w:val="28"/>
      <w:szCs w:val="24"/>
    </w:rPr>
  </w:style>
  <w:style w:type="paragraph" w:customStyle="1" w:styleId="49">
    <w:name w:val="正文缩进1"/>
    <w:basedOn w:val="1"/>
    <w:qFormat/>
    <w:uiPriority w:val="0"/>
    <w:pPr>
      <w:widowControl/>
      <w:ind w:firstLine="420"/>
      <w:jc w:val="left"/>
    </w:pPr>
    <w:rPr>
      <w:kern w:val="0"/>
    </w:rPr>
  </w:style>
  <w:style w:type="character" w:customStyle="1" w:styleId="50">
    <w:name w:val="正文缩进2格 Char"/>
    <w:link w:val="51"/>
    <w:qFormat/>
    <w:locked/>
    <w:uiPriority w:val="0"/>
    <w:rPr>
      <w:rFonts w:ascii="仿宋_GB2312" w:hAnsi="宋体" w:eastAsia="仿宋_GB2312"/>
      <w:kern w:val="2"/>
      <w:sz w:val="31"/>
      <w:szCs w:val="28"/>
    </w:rPr>
  </w:style>
  <w:style w:type="paragraph" w:customStyle="1" w:styleId="51">
    <w:name w:val="正文缩进2格"/>
    <w:basedOn w:val="1"/>
    <w:link w:val="50"/>
    <w:qFormat/>
    <w:uiPriority w:val="0"/>
    <w:pPr>
      <w:spacing w:line="600" w:lineRule="exact"/>
      <w:ind w:firstLine="639" w:firstLineChars="206"/>
    </w:pPr>
    <w:rPr>
      <w:rFonts w:ascii="仿宋_GB2312" w:hAnsi="宋体" w:eastAsia="仿宋_GB2312"/>
      <w:sz w:val="31"/>
      <w:szCs w:val="28"/>
    </w:rPr>
  </w:style>
  <w:style w:type="character" w:customStyle="1" w:styleId="52">
    <w:name w:val="标题 3.1 Char"/>
    <w:link w:val="53"/>
    <w:qFormat/>
    <w:locked/>
    <w:uiPriority w:val="0"/>
    <w:rPr>
      <w:rFonts w:ascii="宋体" w:hAnsi="宋体"/>
      <w:b/>
      <w:bCs/>
      <w:color w:val="000000"/>
      <w:kern w:val="2"/>
      <w:sz w:val="32"/>
      <w:szCs w:val="32"/>
    </w:rPr>
  </w:style>
  <w:style w:type="paragraph" w:customStyle="1" w:styleId="53">
    <w:name w:val="标题 3.1"/>
    <w:basedOn w:val="5"/>
    <w:link w:val="52"/>
    <w:qFormat/>
    <w:uiPriority w:val="0"/>
    <w:pPr>
      <w:tabs>
        <w:tab w:val="left" w:pos="1440"/>
        <w:tab w:val="left" w:pos="1620"/>
      </w:tabs>
      <w:spacing w:line="600" w:lineRule="exact"/>
    </w:pPr>
    <w:rPr>
      <w:rFonts w:ascii="宋体" w:hAnsi="宋体"/>
      <w:color w:val="000000"/>
    </w:rPr>
  </w:style>
  <w:style w:type="paragraph" w:customStyle="1" w:styleId="54">
    <w:name w:val=" Char"/>
    <w:basedOn w:val="1"/>
    <w:qFormat/>
    <w:uiPriority w:val="0"/>
    <w:rPr>
      <w:rFonts w:ascii="Tahoma" w:hAnsi="Tahoma"/>
      <w:sz w:val="24"/>
      <w:szCs w:val="20"/>
    </w:rPr>
  </w:style>
  <w:style w:type="paragraph" w:customStyle="1" w:styleId="55">
    <w:name w:val="正文缩进4格"/>
    <w:basedOn w:val="51"/>
    <w:qFormat/>
    <w:uiPriority w:val="0"/>
    <w:pPr>
      <w:ind w:left="2" w:firstLine="538" w:firstLineChars="192"/>
    </w:pPr>
    <w:rPr>
      <w:color w:val="000000"/>
      <w:sz w:val="28"/>
    </w:rPr>
  </w:style>
  <w:style w:type="paragraph" w:customStyle="1" w:styleId="56">
    <w:name w:val=" Char Char Char Char"/>
    <w:basedOn w:val="1"/>
    <w:qFormat/>
    <w:uiPriority w:val="0"/>
    <w:rPr>
      <w:rFonts w:ascii="Tahoma" w:hAnsi="Tahoma"/>
      <w:sz w:val="24"/>
      <w:szCs w:val="20"/>
    </w:rPr>
  </w:style>
  <w:style w:type="paragraph" w:customStyle="1" w:styleId="57">
    <w:name w:val="Char1"/>
    <w:basedOn w:val="1"/>
    <w:qFormat/>
    <w:uiPriority w:val="0"/>
    <w:pPr>
      <w:tabs>
        <w:tab w:val="left" w:pos="840"/>
      </w:tabs>
      <w:ind w:left="840" w:hanging="420"/>
    </w:pPr>
    <w:rPr>
      <w:sz w:val="24"/>
    </w:rPr>
  </w:style>
  <w:style w:type="paragraph" w:customStyle="1" w:styleId="58">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 Char Char 字元 字元 字元 Char Char Char Char"/>
    <w:basedOn w:val="1"/>
    <w:qFormat/>
    <w:uiPriority w:val="0"/>
    <w:pPr>
      <w:adjustRightInd w:val="0"/>
      <w:spacing w:line="360" w:lineRule="auto"/>
    </w:pPr>
    <w:rPr>
      <w:kern w:val="0"/>
      <w:sz w:val="24"/>
      <w:szCs w:val="20"/>
    </w:rPr>
  </w:style>
  <w:style w:type="paragraph" w:customStyle="1" w:styleId="61">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62">
    <w:name w:val="Char"/>
    <w:basedOn w:val="1"/>
    <w:qFormat/>
    <w:uiPriority w:val="0"/>
    <w:rPr>
      <w:rFonts w:ascii="Tahoma" w:hAnsi="Tahoma"/>
      <w:sz w:val="24"/>
      <w:szCs w:val="20"/>
    </w:rPr>
  </w:style>
  <w:style w:type="paragraph" w:customStyle="1" w:styleId="63">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64">
    <w:name w:val="普通正文 Char"/>
    <w:link w:val="65"/>
    <w:qFormat/>
    <w:uiPriority w:val="0"/>
    <w:rPr>
      <w:rFonts w:ascii="Arial" w:hAnsi="Arial"/>
      <w:sz w:val="24"/>
      <w:szCs w:val="24"/>
    </w:rPr>
  </w:style>
  <w:style w:type="paragraph" w:customStyle="1" w:styleId="65">
    <w:name w:val="普通正文"/>
    <w:basedOn w:val="1"/>
    <w:link w:val="64"/>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6">
    <w:name w:val="mini-outputtext1"/>
    <w:qFormat/>
    <w:uiPriority w:val="0"/>
  </w:style>
  <w:style w:type="character" w:customStyle="1" w:styleId="67">
    <w:name w:val="font31"/>
    <w:qFormat/>
    <w:uiPriority w:val="0"/>
    <w:rPr>
      <w:rFonts w:hint="eastAsia" w:ascii="宋体" w:hAnsi="宋体" w:eastAsia="宋体" w:cs="宋体"/>
      <w:color w:val="000000"/>
      <w:sz w:val="21"/>
      <w:szCs w:val="21"/>
      <w:u w:val="none"/>
    </w:rPr>
  </w:style>
  <w:style w:type="character" w:customStyle="1" w:styleId="68">
    <w:name w:val="font61"/>
    <w:qFormat/>
    <w:uiPriority w:val="0"/>
    <w:rPr>
      <w:rFonts w:hint="default" w:ascii="Times New Roman" w:hAnsi="Times New Roman" w:cs="Times New Roman"/>
      <w:color w:val="000000"/>
      <w:sz w:val="21"/>
      <w:szCs w:val="21"/>
      <w:u w:val="none"/>
    </w:rPr>
  </w:style>
  <w:style w:type="character" w:customStyle="1" w:styleId="69">
    <w:name w:val="font01"/>
    <w:qFormat/>
    <w:uiPriority w:val="0"/>
    <w:rPr>
      <w:rFonts w:hint="default" w:ascii="等线" w:hAnsi="等线" w:eastAsia="等线" w:cs="等线"/>
      <w:color w:val="000000"/>
      <w:sz w:val="22"/>
      <w:szCs w:val="22"/>
      <w:u w:val="none"/>
    </w:rPr>
  </w:style>
  <w:style w:type="character" w:customStyle="1" w:styleId="70">
    <w:name w:val="font51"/>
    <w:qFormat/>
    <w:uiPriority w:val="0"/>
    <w:rPr>
      <w:rFonts w:hint="default" w:ascii="等线" w:hAnsi="等线" w:eastAsia="等线" w:cs="等线"/>
      <w:b/>
      <w:bCs/>
      <w:color w:val="000000"/>
      <w:sz w:val="22"/>
      <w:szCs w:val="22"/>
      <w:u w:val="none"/>
    </w:rPr>
  </w:style>
  <w:style w:type="paragraph" w:customStyle="1" w:styleId="71">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styleId="72">
    <w:name w:val="List Paragraph"/>
    <w:basedOn w:val="1"/>
    <w:qFormat/>
    <w:uiPriority w:val="34"/>
    <w:pPr>
      <w:ind w:firstLine="420" w:firstLineChars="200"/>
    </w:pPr>
  </w:style>
  <w:style w:type="paragraph" w:customStyle="1" w:styleId="73">
    <w:name w:val="western"/>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15606</Words>
  <Characters>16549</Characters>
  <Lines>133</Lines>
  <Paragraphs>37</Paragraphs>
  <TotalTime>15</TotalTime>
  <ScaleCrop>false</ScaleCrop>
  <LinksUpToDate>false</LinksUpToDate>
  <CharactersWithSpaces>16972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2022-08-07T05:46:00Z</dcterms:created>
  <dc:creator>User</dc:creator>
  <cp:lastModifiedBy>admin</cp:lastModifiedBy>
  <cp:lastPrinted>2020-04-14T03:11:00Z</cp:lastPrinted>
  <dcterms:modified xsi:type="dcterms:W3CDTF">2022-09-02T04:09:13Z</dcterms:modified>
  <dc:title>南通市环境监测中心站火焰原子吸收光谱仪项目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9F02D675C3E0463A88DB6EF413AD2B29</vt:lpwstr>
  </property>
</Properties>
</file>