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仿宋" w:hAnsi="仿宋" w:eastAsia="仿宋" w:cs="宋体"/>
          <w:bCs/>
          <w:color w:val="333333"/>
          <w:kern w:val="0"/>
          <w:sz w:val="28"/>
          <w:szCs w:val="28"/>
        </w:rPr>
      </w:pPr>
      <w:bookmarkStart w:id="0" w:name="OLE_LINK1"/>
      <w:r>
        <w:rPr>
          <w:rFonts w:hint="eastAsia" w:ascii="仿宋" w:hAnsi="仿宋" w:eastAsia="仿宋" w:cs="宋体"/>
          <w:bCs/>
          <w:color w:val="333333"/>
          <w:kern w:val="0"/>
          <w:sz w:val="28"/>
          <w:szCs w:val="28"/>
        </w:rPr>
        <w:t xml:space="preserve">                                     招标文件编号：BS2020069</w:t>
      </w:r>
    </w:p>
    <w:p>
      <w:pPr>
        <w:widowControl/>
        <w:shd w:val="clear" w:color="auto" w:fill="FFFFFF"/>
        <w:jc w:val="center"/>
        <w:rPr>
          <w:rFonts w:ascii="微软雅黑" w:hAnsi="微软雅黑" w:eastAsia="微软雅黑" w:cs="宋体"/>
          <w:color w:val="333333"/>
          <w:kern w:val="0"/>
          <w:sz w:val="24"/>
          <w:szCs w:val="24"/>
        </w:rPr>
      </w:pPr>
      <w:r>
        <w:rPr>
          <w:rFonts w:hint="eastAsia" w:ascii="仿宋" w:hAnsi="仿宋" w:eastAsia="仿宋" w:cs="宋体"/>
          <w:b/>
          <w:bCs/>
          <w:color w:val="333333"/>
          <w:kern w:val="0"/>
          <w:sz w:val="36"/>
        </w:rPr>
        <w:t>江苏省南通卫生高等职业技术学校</w:t>
      </w:r>
    </w:p>
    <w:p>
      <w:pPr>
        <w:widowControl/>
        <w:shd w:val="clear" w:color="auto" w:fill="FFFFFF"/>
        <w:spacing w:line="405" w:lineRule="atLeast"/>
        <w:jc w:val="center"/>
        <w:rPr>
          <w:rFonts w:ascii="仿宋" w:hAnsi="仿宋" w:eastAsia="仿宋" w:cs="宋体"/>
          <w:b/>
          <w:bCs/>
          <w:color w:val="333333"/>
          <w:kern w:val="0"/>
          <w:sz w:val="36"/>
        </w:rPr>
      </w:pPr>
      <w:r>
        <w:rPr>
          <w:rFonts w:hint="eastAsia" w:ascii="仿宋" w:hAnsi="仿宋" w:eastAsia="仿宋" w:cs="宋体"/>
          <w:b/>
          <w:bCs/>
          <w:color w:val="333333"/>
          <w:kern w:val="0"/>
          <w:sz w:val="36"/>
        </w:rPr>
        <w:t>网络安全驻点和服务项目招标文件</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江苏省南通卫生高等职业技术学校（以下简称招标人）拟对2021年度</w:t>
      </w:r>
      <w:r>
        <w:rPr>
          <w:rFonts w:hint="eastAsia" w:ascii="仿宋" w:hAnsi="仿宋" w:eastAsia="仿宋" w:cs="宋体"/>
          <w:bCs/>
          <w:color w:val="333333"/>
          <w:kern w:val="0"/>
          <w:sz w:val="29"/>
          <w:szCs w:val="29"/>
        </w:rPr>
        <w:t>网络安全驻点和服务</w:t>
      </w:r>
      <w:r>
        <w:rPr>
          <w:rFonts w:hint="eastAsia" w:ascii="仿宋" w:hAnsi="仿宋" w:eastAsia="仿宋" w:cs="宋体"/>
          <w:color w:val="333333"/>
          <w:kern w:val="0"/>
          <w:sz w:val="29"/>
          <w:szCs w:val="29"/>
        </w:rPr>
        <w:t>项目进行招标，欢迎符合资格的单位（以下简称投标人）参加投标。</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一、招标文件编号：BS2020069</w:t>
      </w:r>
    </w:p>
    <w:p>
      <w:pPr>
        <w:widowControl/>
        <w:shd w:val="clear" w:color="auto" w:fill="FFFFFF"/>
        <w:spacing w:line="480" w:lineRule="atLeast"/>
        <w:ind w:firstLine="555"/>
        <w:jc w:val="left"/>
        <w:rPr>
          <w:rFonts w:ascii="微软雅黑" w:hAnsi="微软雅黑" w:eastAsia="微软雅黑" w:cs="宋体"/>
          <w:b/>
          <w:color w:val="333333"/>
          <w:kern w:val="0"/>
          <w:sz w:val="24"/>
          <w:szCs w:val="24"/>
        </w:rPr>
      </w:pPr>
      <w:r>
        <w:rPr>
          <w:rFonts w:hint="eastAsia" w:ascii="仿宋" w:hAnsi="仿宋" w:eastAsia="仿宋" w:cs="宋体"/>
          <w:b/>
          <w:color w:val="333333"/>
          <w:kern w:val="0"/>
          <w:sz w:val="29"/>
          <w:szCs w:val="29"/>
        </w:rPr>
        <w:t>二、投标供应商资格要求</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1、具有独立承担民事责任的能力；具有良好的商业信誉和健全的财务会计制度；具有履行合同所必需的设备和专业技术能力；有依法缴纳税收和社会保障资金的良好记录；参加本次政府采购活动前三年内，在经营活动中没有重大违法记录。</w:t>
      </w:r>
    </w:p>
    <w:p>
      <w:pPr>
        <w:widowControl/>
        <w:shd w:val="clear" w:color="auto" w:fill="FFFFFF"/>
        <w:tabs>
          <w:tab w:val="left" w:pos="312"/>
        </w:tabs>
        <w:spacing w:line="480" w:lineRule="atLeast"/>
        <w:ind w:firstLine="580" w:firstLineChars="20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2、满足招标人对运维人员时间地点的要求（详见第三大条）；</w:t>
      </w:r>
    </w:p>
    <w:p>
      <w:pPr>
        <w:widowControl/>
        <w:shd w:val="clear" w:color="auto" w:fill="FFFFFF"/>
        <w:tabs>
          <w:tab w:val="left" w:pos="312"/>
        </w:tabs>
        <w:spacing w:line="480" w:lineRule="atLeast"/>
        <w:ind w:firstLine="580" w:firstLineChars="20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3、未被“信用中国”网站（www.creditchina.gov.cn）列入失信被执行人、重大税收违法案件当事人名单、政府采购严重失信行为记录名单以及近三年没有重大违法记录的书面声明；</w:t>
      </w:r>
    </w:p>
    <w:p>
      <w:pPr>
        <w:widowControl/>
        <w:shd w:val="clear" w:color="auto" w:fill="FFFFFF"/>
        <w:tabs>
          <w:tab w:val="left" w:pos="312"/>
        </w:tabs>
        <w:spacing w:line="480" w:lineRule="atLeast"/>
        <w:ind w:left="-142" w:firstLine="719" w:firstLineChars="248"/>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4、法定代表人为同一个人的两个及两个以上的公司，母公司、全资子公司及其直接控股或者间接控股关系公司，不得同时投标；</w:t>
      </w:r>
    </w:p>
    <w:p>
      <w:pPr>
        <w:widowControl/>
        <w:shd w:val="clear" w:color="auto" w:fill="FFFFFF"/>
        <w:tabs>
          <w:tab w:val="left" w:pos="312"/>
        </w:tabs>
        <w:spacing w:line="480" w:lineRule="atLeast"/>
        <w:ind w:left="58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5、本项目不接受联合体投标及投标后转包、分包行为。</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三、项目需求</w:t>
      </w:r>
    </w:p>
    <w:p>
      <w:pPr>
        <w:widowControl/>
        <w:shd w:val="clear" w:color="auto" w:fill="FFFFFF"/>
        <w:spacing w:line="480" w:lineRule="atLeast"/>
        <w:ind w:firstLine="555"/>
        <w:jc w:val="left"/>
        <w:rPr>
          <w:rFonts w:ascii="仿宋" w:hAnsi="仿宋" w:eastAsia="仿宋" w:cs="宋体"/>
          <w:bCs/>
          <w:color w:val="333333"/>
          <w:kern w:val="0"/>
          <w:sz w:val="29"/>
        </w:rPr>
      </w:pPr>
      <w:r>
        <w:rPr>
          <w:rFonts w:hint="eastAsia" w:ascii="仿宋" w:hAnsi="仿宋" w:eastAsia="仿宋" w:cs="宋体"/>
          <w:bCs/>
          <w:color w:val="333333"/>
          <w:kern w:val="0"/>
          <w:sz w:val="29"/>
        </w:rPr>
        <w:t>（一）驻点运维服务</w:t>
      </w:r>
    </w:p>
    <w:p>
      <w:pPr>
        <w:widowControl/>
        <w:shd w:val="clear" w:color="auto" w:fill="FFFFFF"/>
        <w:spacing w:line="480" w:lineRule="atLeast"/>
        <w:ind w:firstLine="555"/>
        <w:jc w:val="left"/>
        <w:rPr>
          <w:rFonts w:ascii="仿宋" w:hAnsi="仿宋" w:eastAsia="仿宋" w:cs="宋体"/>
          <w:bCs/>
          <w:color w:val="333333"/>
          <w:kern w:val="0"/>
          <w:sz w:val="29"/>
        </w:rPr>
      </w:pPr>
      <w:r>
        <w:rPr>
          <w:rFonts w:hint="eastAsia" w:ascii="仿宋" w:hAnsi="仿宋" w:eastAsia="仿宋" w:cs="宋体"/>
          <w:bCs/>
          <w:color w:val="333333"/>
          <w:kern w:val="0"/>
          <w:sz w:val="29"/>
        </w:rPr>
        <w:t>1、情况介绍</w:t>
      </w:r>
    </w:p>
    <w:p>
      <w:pPr>
        <w:widowControl/>
        <w:shd w:val="clear" w:color="auto" w:fill="FFFFFF"/>
        <w:spacing w:line="480" w:lineRule="atLeast"/>
        <w:ind w:firstLine="555"/>
        <w:jc w:val="left"/>
        <w:rPr>
          <w:rFonts w:ascii="仿宋" w:hAnsi="仿宋" w:eastAsia="仿宋" w:cs="宋体"/>
          <w:bCs/>
          <w:color w:val="333333"/>
          <w:kern w:val="0"/>
          <w:sz w:val="29"/>
        </w:rPr>
      </w:pPr>
      <w:r>
        <w:rPr>
          <w:rFonts w:hint="eastAsia" w:ascii="仿宋" w:hAnsi="仿宋" w:eastAsia="仿宋" w:cs="宋体"/>
          <w:bCs/>
          <w:color w:val="333333"/>
          <w:kern w:val="0"/>
          <w:sz w:val="29"/>
        </w:rPr>
        <w:t>我校信息系统部署在校内机房、公有云及专属云平台，有自有服务器、网络及安全等设备等。本次采购为期一年的驻点运维服务、</w:t>
      </w:r>
      <w:r>
        <w:rPr>
          <w:rFonts w:ascii="仿宋" w:hAnsi="仿宋" w:eastAsia="仿宋" w:cs="宋体"/>
          <w:bCs/>
          <w:color w:val="333333"/>
          <w:kern w:val="0"/>
          <w:sz w:val="29"/>
        </w:rPr>
        <w:t>网络安全服务（网站监测、漏洞预警、漏洞扫描、安全巡检、安全培训等）</w:t>
      </w:r>
      <w:r>
        <w:rPr>
          <w:rFonts w:hint="eastAsia" w:ascii="仿宋" w:hAnsi="仿宋" w:eastAsia="仿宋" w:cs="宋体"/>
          <w:bCs/>
          <w:color w:val="333333"/>
          <w:kern w:val="0"/>
          <w:sz w:val="29"/>
        </w:rPr>
        <w:t>。</w:t>
      </w:r>
    </w:p>
    <w:p>
      <w:pPr>
        <w:widowControl/>
        <w:shd w:val="clear" w:color="auto" w:fill="FFFFFF"/>
        <w:spacing w:line="480" w:lineRule="atLeast"/>
        <w:ind w:firstLine="580" w:firstLineChars="200"/>
        <w:jc w:val="left"/>
        <w:rPr>
          <w:rFonts w:ascii="仿宋" w:hAnsi="仿宋" w:eastAsia="仿宋" w:cs="宋体"/>
          <w:bCs/>
          <w:color w:val="333333"/>
          <w:kern w:val="0"/>
          <w:sz w:val="29"/>
        </w:rPr>
      </w:pPr>
      <w:r>
        <w:rPr>
          <w:rFonts w:hint="eastAsia" w:ascii="仿宋" w:hAnsi="仿宋" w:eastAsia="仿宋" w:cs="宋体"/>
          <w:bCs/>
          <w:color w:val="333333"/>
          <w:kern w:val="0"/>
          <w:sz w:val="29"/>
        </w:rPr>
        <w:t>2、驻点工作要求</w:t>
      </w:r>
    </w:p>
    <w:p>
      <w:pPr>
        <w:widowControl/>
        <w:shd w:val="clear" w:color="auto" w:fill="FFFFFF"/>
        <w:spacing w:line="480" w:lineRule="atLeast"/>
        <w:ind w:left="580"/>
        <w:jc w:val="left"/>
        <w:rPr>
          <w:rFonts w:ascii="仿宋" w:hAnsi="仿宋" w:eastAsia="仿宋" w:cs="宋体"/>
          <w:bCs/>
          <w:color w:val="333333"/>
          <w:kern w:val="0"/>
          <w:sz w:val="29"/>
        </w:rPr>
      </w:pPr>
      <w:r>
        <w:rPr>
          <w:rFonts w:hint="eastAsia" w:ascii="仿宋" w:hAnsi="仿宋" w:eastAsia="仿宋" w:cs="宋体"/>
          <w:bCs/>
          <w:color w:val="333333"/>
          <w:kern w:val="0"/>
          <w:sz w:val="29"/>
        </w:rPr>
        <w:t>（1）工作时间</w:t>
      </w:r>
    </w:p>
    <w:p>
      <w:pPr>
        <w:widowControl/>
        <w:shd w:val="clear" w:color="auto" w:fill="FFFFFF"/>
        <w:spacing w:line="480" w:lineRule="atLeast"/>
        <w:ind w:firstLine="555"/>
        <w:jc w:val="left"/>
        <w:rPr>
          <w:rFonts w:ascii="仿宋" w:hAnsi="仿宋" w:eastAsia="仿宋" w:cs="宋体"/>
          <w:bCs/>
          <w:color w:val="333333"/>
          <w:kern w:val="0"/>
          <w:sz w:val="29"/>
        </w:rPr>
      </w:pPr>
      <w:r>
        <w:rPr>
          <w:rFonts w:hint="eastAsia" w:ascii="仿宋" w:hAnsi="仿宋" w:eastAsia="仿宋" w:cs="宋体"/>
          <w:bCs/>
          <w:color w:val="333333"/>
          <w:kern w:val="0"/>
          <w:sz w:val="29"/>
        </w:rPr>
        <w:t>派遣1-</w:t>
      </w:r>
      <w:r>
        <w:rPr>
          <w:rFonts w:ascii="仿宋" w:hAnsi="仿宋" w:eastAsia="仿宋" w:cs="宋体"/>
          <w:bCs/>
          <w:color w:val="333333"/>
          <w:kern w:val="0"/>
          <w:sz w:val="29"/>
        </w:rPr>
        <w:t>2</w:t>
      </w:r>
      <w:r>
        <w:rPr>
          <w:rFonts w:hint="eastAsia" w:ascii="仿宋" w:hAnsi="仿宋" w:eastAsia="仿宋" w:cs="宋体"/>
          <w:bCs/>
          <w:color w:val="333333"/>
          <w:kern w:val="0"/>
          <w:sz w:val="29"/>
        </w:rPr>
        <w:t>名固定人员驻场提供技术服务，工作时间参照在校教职工时间要求，其它时间为电话值班，节假日按校方计划安排驻场值班。</w:t>
      </w:r>
    </w:p>
    <w:p>
      <w:pPr>
        <w:widowControl/>
        <w:shd w:val="clear" w:color="auto" w:fill="FFFFFF"/>
        <w:spacing w:line="480" w:lineRule="atLeast"/>
        <w:ind w:left="580"/>
        <w:jc w:val="left"/>
        <w:rPr>
          <w:rFonts w:ascii="仿宋" w:hAnsi="仿宋" w:eastAsia="仿宋" w:cs="宋体"/>
          <w:bCs/>
          <w:color w:val="333333"/>
          <w:kern w:val="0"/>
          <w:sz w:val="29"/>
        </w:rPr>
      </w:pPr>
      <w:r>
        <w:rPr>
          <w:rFonts w:hint="eastAsia" w:ascii="仿宋" w:hAnsi="仿宋" w:eastAsia="仿宋" w:cs="宋体"/>
          <w:bCs/>
          <w:color w:val="333333"/>
          <w:kern w:val="0"/>
          <w:sz w:val="29"/>
        </w:rPr>
        <w:t>（2）人员要求</w:t>
      </w:r>
    </w:p>
    <w:p>
      <w:pPr>
        <w:widowControl/>
        <w:shd w:val="clear" w:color="auto" w:fill="FFFFFF"/>
        <w:spacing w:line="480" w:lineRule="atLeast"/>
        <w:ind w:firstLine="555"/>
        <w:jc w:val="left"/>
        <w:rPr>
          <w:rFonts w:ascii="仿宋" w:hAnsi="仿宋" w:eastAsia="仿宋" w:cs="宋体"/>
          <w:bCs/>
          <w:color w:val="333333"/>
          <w:kern w:val="0"/>
          <w:sz w:val="29"/>
        </w:rPr>
      </w:pPr>
      <w:r>
        <w:rPr>
          <w:rFonts w:hint="eastAsia" w:ascii="仿宋" w:hAnsi="仿宋" w:eastAsia="仿宋" w:cs="宋体"/>
          <w:bCs/>
          <w:color w:val="333333"/>
          <w:kern w:val="0"/>
          <w:sz w:val="29"/>
        </w:rPr>
        <w:t>派驻人员需大学本科毕业，从事网络工作或信息安全工作5年以上，派驻人员必须服从我校的管理和工作安排，遵守我校相关的规章制度。</w:t>
      </w:r>
    </w:p>
    <w:p>
      <w:pPr>
        <w:widowControl/>
        <w:shd w:val="clear" w:color="auto" w:fill="FFFFFF"/>
        <w:spacing w:line="480" w:lineRule="atLeast"/>
        <w:ind w:left="580"/>
        <w:jc w:val="left"/>
        <w:rPr>
          <w:rFonts w:ascii="仿宋" w:hAnsi="仿宋" w:eastAsia="仿宋" w:cs="宋体"/>
          <w:bCs/>
          <w:color w:val="333333"/>
          <w:kern w:val="0"/>
          <w:sz w:val="29"/>
        </w:rPr>
      </w:pPr>
      <w:r>
        <w:rPr>
          <w:rFonts w:hint="eastAsia" w:ascii="仿宋" w:hAnsi="仿宋" w:eastAsia="仿宋" w:cs="宋体"/>
          <w:bCs/>
          <w:color w:val="333333"/>
          <w:kern w:val="0"/>
          <w:sz w:val="29"/>
        </w:rPr>
        <w:t>（3）工作范围</w:t>
      </w:r>
    </w:p>
    <w:p>
      <w:pPr>
        <w:widowControl/>
        <w:shd w:val="clear" w:color="auto" w:fill="FFFFFF"/>
        <w:spacing w:line="480" w:lineRule="atLeast"/>
        <w:ind w:left="-142" w:firstLine="725" w:firstLineChars="250"/>
        <w:jc w:val="left"/>
        <w:rPr>
          <w:rFonts w:ascii="仿宋" w:hAnsi="仿宋" w:eastAsia="仿宋" w:cs="宋体"/>
          <w:bCs/>
          <w:color w:val="333333"/>
          <w:kern w:val="0"/>
          <w:sz w:val="29"/>
        </w:rPr>
      </w:pPr>
      <w:r>
        <w:rPr>
          <w:rFonts w:hint="eastAsia" w:ascii="仿宋" w:hAnsi="仿宋" w:eastAsia="仿宋" w:cs="宋体"/>
          <w:bCs/>
          <w:color w:val="333333"/>
          <w:kern w:val="0"/>
          <w:sz w:val="29"/>
        </w:rPr>
        <w:t>①负责校区内网络设备的安装、调试、替换、保养，网络运行状况的监测和处置，及时向我校提供合理化建议。维护过程中出现的替换产品及耗材由校方承担。</w:t>
      </w:r>
    </w:p>
    <w:p>
      <w:pPr>
        <w:widowControl/>
        <w:shd w:val="clear" w:color="auto" w:fill="FFFFFF"/>
        <w:spacing w:line="480" w:lineRule="atLeast"/>
        <w:ind w:left="586"/>
        <w:jc w:val="left"/>
        <w:rPr>
          <w:rFonts w:ascii="仿宋" w:hAnsi="仿宋" w:eastAsia="仿宋" w:cs="宋体"/>
          <w:bCs/>
          <w:color w:val="333333"/>
          <w:kern w:val="0"/>
          <w:sz w:val="29"/>
        </w:rPr>
      </w:pPr>
      <w:r>
        <w:rPr>
          <w:rFonts w:hint="eastAsia" w:ascii="仿宋" w:hAnsi="仿宋" w:eastAsia="仿宋" w:cs="宋体"/>
          <w:bCs/>
          <w:color w:val="333333"/>
          <w:kern w:val="0"/>
          <w:sz w:val="29"/>
        </w:rPr>
        <w:t>②负责完成招标文件内所涉及的相关工作。</w:t>
      </w:r>
    </w:p>
    <w:p>
      <w:pPr>
        <w:widowControl/>
        <w:shd w:val="clear" w:color="auto" w:fill="FFFFFF"/>
        <w:spacing w:line="480" w:lineRule="atLeast"/>
        <w:ind w:firstLine="555"/>
        <w:jc w:val="left"/>
        <w:rPr>
          <w:rFonts w:ascii="仿宋" w:hAnsi="仿宋" w:eastAsia="仿宋" w:cs="宋体"/>
          <w:bCs/>
          <w:color w:val="333333"/>
          <w:kern w:val="0"/>
          <w:sz w:val="29"/>
        </w:rPr>
      </w:pPr>
      <w:r>
        <w:rPr>
          <w:rFonts w:hint="eastAsia" w:ascii="仿宋" w:hAnsi="仿宋" w:eastAsia="仿宋" w:cs="宋体"/>
          <w:bCs/>
          <w:color w:val="333333"/>
          <w:kern w:val="0"/>
          <w:sz w:val="29"/>
        </w:rPr>
        <w:t>3、运维服务内容</w:t>
      </w:r>
      <w:bookmarkStart w:id="1" w:name="_Toc514664895"/>
      <w:r>
        <w:rPr>
          <w:rFonts w:hint="eastAsia" w:ascii="仿宋" w:hAnsi="仿宋" w:eastAsia="仿宋" w:cs="宋体"/>
          <w:bCs/>
          <w:color w:val="333333"/>
          <w:kern w:val="0"/>
          <w:sz w:val="29"/>
        </w:rPr>
        <w:t>及要求</w:t>
      </w:r>
    </w:p>
    <w:bookmarkEnd w:id="1"/>
    <w:p>
      <w:pPr>
        <w:widowControl/>
        <w:shd w:val="clear" w:color="auto" w:fill="FFFFFF"/>
        <w:spacing w:line="480" w:lineRule="atLeast"/>
        <w:ind w:firstLine="555"/>
        <w:jc w:val="left"/>
        <w:rPr>
          <w:rFonts w:ascii="仿宋" w:hAnsi="仿宋" w:eastAsia="仿宋" w:cs="宋体"/>
          <w:bCs/>
          <w:color w:val="333333"/>
          <w:kern w:val="0"/>
          <w:sz w:val="29"/>
        </w:rPr>
      </w:pPr>
      <w:r>
        <w:rPr>
          <w:rFonts w:hint="eastAsia" w:ascii="仿宋" w:hAnsi="仿宋" w:eastAsia="仿宋" w:cs="宋体"/>
          <w:bCs/>
          <w:color w:val="333333"/>
          <w:kern w:val="0"/>
          <w:sz w:val="29"/>
        </w:rPr>
        <w:t>本项目主要服务地点为江苏省南通卫生高等职业技术学校，服务范围主要是网络维护、信息安全维护及其他交办的维护事项。</w:t>
      </w:r>
    </w:p>
    <w:p>
      <w:pPr>
        <w:widowControl/>
        <w:shd w:val="clear" w:color="auto" w:fill="FFFFFF"/>
        <w:spacing w:line="480" w:lineRule="atLeast"/>
        <w:ind w:firstLine="555"/>
        <w:jc w:val="left"/>
        <w:rPr>
          <w:rFonts w:ascii="仿宋" w:hAnsi="仿宋" w:eastAsia="仿宋" w:cs="宋体"/>
          <w:bCs/>
          <w:color w:val="333333"/>
          <w:kern w:val="0"/>
          <w:sz w:val="29"/>
        </w:rPr>
      </w:pPr>
    </w:p>
    <w:p>
      <w:pPr>
        <w:widowControl/>
        <w:shd w:val="clear" w:color="auto" w:fill="FFFFFF"/>
        <w:spacing w:line="480" w:lineRule="atLeast"/>
        <w:ind w:firstLine="555"/>
        <w:jc w:val="left"/>
        <w:rPr>
          <w:rFonts w:ascii="仿宋" w:hAnsi="仿宋" w:eastAsia="仿宋" w:cs="宋体"/>
          <w:bCs/>
          <w:color w:val="333333"/>
          <w:kern w:val="0"/>
          <w:sz w:val="29"/>
        </w:rPr>
      </w:pPr>
    </w:p>
    <w:tbl>
      <w:tblPr>
        <w:tblStyle w:val="8"/>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041"/>
        <w:gridCol w:w="4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序号</w:t>
            </w:r>
          </w:p>
        </w:tc>
        <w:tc>
          <w:tcPr>
            <w:tcW w:w="3041" w:type="dxa"/>
            <w:tcBorders>
              <w:top w:val="single" w:color="auto" w:sz="4" w:space="0"/>
              <w:left w:val="single" w:color="auto" w:sz="4" w:space="0"/>
              <w:bottom w:val="single" w:color="auto" w:sz="4" w:space="0"/>
              <w:right w:val="single" w:color="auto" w:sz="4" w:space="0"/>
            </w:tcBorders>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项目</w:t>
            </w:r>
          </w:p>
        </w:tc>
        <w:tc>
          <w:tcPr>
            <w:tcW w:w="4636" w:type="dxa"/>
            <w:tcBorders>
              <w:top w:val="single" w:color="auto" w:sz="4" w:space="0"/>
              <w:left w:val="single" w:color="auto" w:sz="4" w:space="0"/>
              <w:bottom w:val="single" w:color="auto" w:sz="4" w:space="0"/>
              <w:right w:val="single" w:color="auto" w:sz="4" w:space="0"/>
            </w:tcBorders>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1</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巡检服务</w:t>
            </w:r>
          </w:p>
        </w:tc>
        <w:tc>
          <w:tcPr>
            <w:tcW w:w="4636" w:type="dxa"/>
            <w:tcBorders>
              <w:top w:val="single" w:color="auto" w:sz="4" w:space="0"/>
              <w:left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供应商有义务对网络设备进行常规巡检、调整及网络故障的排除工作，实时监测各类网络设备的运行状态。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2</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记录更新服务</w:t>
            </w:r>
          </w:p>
        </w:tc>
        <w:tc>
          <w:tcPr>
            <w:tcW w:w="4636" w:type="dxa"/>
            <w:tcBorders>
              <w:left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负责学生公寓网络及相关设备的维护服务工作，制定维护服务计划、合理安排工作时间，做好设备、IP、物理地址的更新和登记工作。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3</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驻点服务</w:t>
            </w:r>
          </w:p>
        </w:tc>
        <w:tc>
          <w:tcPr>
            <w:tcW w:w="4636" w:type="dxa"/>
            <w:tcBorders>
              <w:left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派驻1-2名具有多年维护服务经验，并且具有一定资质的工程师到我院常驻维护，派驻人员必须服从我校的管理和工作安排，遵守我校相关的规章制度。</w:t>
            </w:r>
          </w:p>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提供快捷、安全、7*24小时技术服务，节假日（寒暑假除外）需安排驻场值班。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4</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应急支撑服务</w:t>
            </w:r>
          </w:p>
        </w:tc>
        <w:tc>
          <w:tcPr>
            <w:tcW w:w="4636" w:type="dxa"/>
            <w:tcBorders>
              <w:left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供应商负责成立有3-5人组成的应急支撑团队，负责应对由于不可预见因素造成的突发事件、大面积网络报修、病毒引起的区域网络阻塞等状况。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5</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网络维护服务</w:t>
            </w:r>
          </w:p>
        </w:tc>
        <w:tc>
          <w:tcPr>
            <w:tcW w:w="4636" w:type="dxa"/>
            <w:tcBorders>
              <w:left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网络设备的安装、调试、替换、保养，网络运行状况的监测和监控，及时向我校提供合理化建议。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6</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风险检查服务</w:t>
            </w:r>
          </w:p>
        </w:tc>
        <w:tc>
          <w:tcPr>
            <w:tcW w:w="4636" w:type="dxa"/>
            <w:tcBorders>
              <w:left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包括网络架构安全评估、系统漏洞和配置扫描检查、安全加固等。应依据相关规范对项目范围内所涉及的所有防火墙、入侵防护、Web安全防护、路由器、交换机、服务器等设备的安全配置的合理性进行检查。并根据合理的业务数据流和运维管理数据流提出安全设备部署位置建议，实施策略优化调整或提出优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7</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全网安全漏洞整改服务</w:t>
            </w:r>
          </w:p>
        </w:tc>
        <w:tc>
          <w:tcPr>
            <w:tcW w:w="4636" w:type="dxa"/>
            <w:tcBorders>
              <w:left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按要求完成漏洞的验证及整改工作，涉及系统和软件层面的漏洞提供修补建议及方法（包括弱口令扫描、系统漏洞、网络设备漏洞、数据库及应用服务漏洞、Web应用漏洞：Web服务器是否存在测试页面、后台登录是否有限制、Web页面是否存在SQL注入、跨站等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8</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安全配置检查服务</w:t>
            </w:r>
          </w:p>
        </w:tc>
        <w:tc>
          <w:tcPr>
            <w:tcW w:w="4636" w:type="dxa"/>
            <w:tcBorders>
              <w:left w:val="single" w:color="auto" w:sz="4" w:space="0"/>
              <w:right w:val="single" w:color="auto" w:sz="4" w:space="0"/>
            </w:tcBorders>
            <w:vAlign w:val="center"/>
          </w:tcPr>
          <w:p>
            <w:pPr>
              <w:widowControl/>
              <w:shd w:val="clear" w:color="auto" w:fill="FFFFFF"/>
              <w:spacing w:line="480" w:lineRule="atLeast"/>
              <w:jc w:val="left"/>
              <w:rPr>
                <w:rFonts w:ascii="仿宋" w:hAnsi="仿宋" w:eastAsia="仿宋" w:cs="宋体"/>
                <w:bCs/>
                <w:color w:val="333333"/>
                <w:kern w:val="0"/>
                <w:sz w:val="29"/>
              </w:rPr>
            </w:pPr>
            <w:r>
              <w:rPr>
                <w:rFonts w:hint="eastAsia" w:ascii="仿宋" w:hAnsi="仿宋" w:eastAsia="仿宋" w:cs="宋体"/>
                <w:bCs/>
                <w:color w:val="333333"/>
                <w:kern w:val="0"/>
                <w:sz w:val="29"/>
              </w:rPr>
              <w:t>根据专用安全配置规范，将针对以下业务数据网络系统提供安全配置核查服务：主机设备、网络设备、业务系统。</w:t>
            </w:r>
          </w:p>
        </w:tc>
      </w:tr>
    </w:tbl>
    <w:p>
      <w:pPr>
        <w:pStyle w:val="7"/>
        <w:ind w:firstLine="290"/>
        <w:rPr>
          <w:rFonts w:ascii="仿宋" w:hAnsi="仿宋" w:eastAsia="仿宋" w:cs="宋体"/>
          <w:bCs/>
          <w:color w:val="333333"/>
          <w:kern w:val="0"/>
          <w:sz w:val="29"/>
        </w:rPr>
      </w:pPr>
      <w:r>
        <w:rPr>
          <w:rFonts w:ascii="仿宋" w:hAnsi="仿宋" w:eastAsia="仿宋" w:cs="宋体"/>
          <w:bCs/>
          <w:color w:val="333333"/>
          <w:kern w:val="0"/>
          <w:sz w:val="29"/>
        </w:rPr>
        <w:t>注：投标时需要提供拟派驻人员与投标人直接签订的劳务合同，并承诺派驻该人员驻场，否则</w:t>
      </w:r>
      <w:r>
        <w:rPr>
          <w:rFonts w:hint="eastAsia" w:ascii="仿宋" w:hAnsi="仿宋" w:eastAsia="仿宋" w:cs="宋体"/>
          <w:bCs/>
          <w:color w:val="333333"/>
          <w:kern w:val="0"/>
          <w:sz w:val="29"/>
        </w:rPr>
        <w:t>将取消其中标资格</w:t>
      </w:r>
      <w:r>
        <w:rPr>
          <w:rFonts w:ascii="仿宋" w:hAnsi="仿宋" w:eastAsia="仿宋" w:cs="宋体"/>
          <w:bCs/>
          <w:color w:val="333333"/>
          <w:kern w:val="0"/>
          <w:sz w:val="29"/>
        </w:rPr>
        <w:t>，招标人将拒签合同，投标单位将承担一切后果与责任。</w:t>
      </w:r>
    </w:p>
    <w:p>
      <w:pPr>
        <w:pStyle w:val="7"/>
        <w:ind w:firstLine="290"/>
        <w:rPr>
          <w:rFonts w:ascii="仿宋" w:hAnsi="仿宋" w:eastAsia="仿宋" w:cs="宋体"/>
          <w:bCs/>
          <w:color w:val="333333"/>
          <w:kern w:val="0"/>
          <w:sz w:val="29"/>
        </w:rPr>
      </w:pPr>
      <w:r>
        <w:rPr>
          <w:rFonts w:hint="eastAsia" w:ascii="仿宋" w:hAnsi="仿宋" w:eastAsia="仿宋" w:cs="宋体"/>
          <w:bCs/>
          <w:color w:val="333333"/>
          <w:kern w:val="0"/>
          <w:sz w:val="29"/>
        </w:rPr>
        <w:t>（二）安全运维服务内容及要求</w:t>
      </w:r>
    </w:p>
    <w:p>
      <w:pPr>
        <w:pStyle w:val="16"/>
        <w:widowControl/>
        <w:numPr>
          <w:ilvl w:val="0"/>
          <w:numId w:val="1"/>
        </w:numPr>
        <w:shd w:val="clear" w:color="auto" w:fill="FFFFFF"/>
        <w:spacing w:line="480" w:lineRule="atLeast"/>
        <w:ind w:firstLineChars="0"/>
        <w:jc w:val="left"/>
        <w:rPr>
          <w:rFonts w:ascii="仿宋" w:hAnsi="仿宋" w:eastAsia="仿宋" w:cs="宋体"/>
          <w:bCs/>
          <w:color w:val="333333"/>
          <w:kern w:val="0"/>
          <w:sz w:val="29"/>
        </w:rPr>
      </w:pPr>
      <w:r>
        <w:rPr>
          <w:rFonts w:hint="eastAsia" w:ascii="仿宋" w:hAnsi="仿宋" w:eastAsia="仿宋" w:cs="宋体"/>
          <w:bCs/>
          <w:color w:val="333333"/>
          <w:kern w:val="0"/>
          <w:sz w:val="29"/>
        </w:rPr>
        <w:t>网络安全运维服务的项目及具体服务项</w:t>
      </w:r>
    </w:p>
    <w:tbl>
      <w:tblPr>
        <w:tblStyle w:val="8"/>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041"/>
        <w:gridCol w:w="4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8"/>
                <w:szCs w:val="28"/>
              </w:rPr>
            </w:pPr>
            <w:r>
              <w:rPr>
                <w:rFonts w:hint="eastAsia" w:ascii="仿宋" w:hAnsi="仿宋" w:eastAsia="仿宋"/>
                <w:sz w:val="28"/>
                <w:szCs w:val="28"/>
              </w:rPr>
              <w:t>序号</w:t>
            </w:r>
          </w:p>
        </w:tc>
        <w:tc>
          <w:tcPr>
            <w:tcW w:w="304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8"/>
                <w:szCs w:val="28"/>
              </w:rPr>
            </w:pPr>
            <w:r>
              <w:rPr>
                <w:rFonts w:hint="eastAsia" w:ascii="仿宋" w:hAnsi="仿宋" w:eastAsia="仿宋"/>
                <w:sz w:val="28"/>
                <w:szCs w:val="28"/>
              </w:rPr>
              <w:t>主项目</w:t>
            </w:r>
          </w:p>
        </w:tc>
        <w:tc>
          <w:tcPr>
            <w:tcW w:w="46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8"/>
                <w:szCs w:val="28"/>
              </w:rPr>
            </w:pPr>
            <w:r>
              <w:rPr>
                <w:rFonts w:hint="eastAsia" w:ascii="仿宋" w:hAnsi="仿宋" w:eastAsia="仿宋"/>
                <w:sz w:val="28"/>
                <w:szCs w:val="28"/>
              </w:rPr>
              <w:t>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1</w:t>
            </w:r>
          </w:p>
        </w:tc>
        <w:tc>
          <w:tcPr>
            <w:tcW w:w="3041"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基础安全服务</w:t>
            </w:r>
          </w:p>
        </w:tc>
        <w:tc>
          <w:tcPr>
            <w:tcW w:w="46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服务器安全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2</w:t>
            </w:r>
          </w:p>
        </w:tc>
        <w:tc>
          <w:tcPr>
            <w:tcW w:w="30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46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网络安全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3</w:t>
            </w:r>
          </w:p>
        </w:tc>
        <w:tc>
          <w:tcPr>
            <w:tcW w:w="3041" w:type="dxa"/>
            <w:vMerge w:val="restart"/>
            <w:tcBorders>
              <w:top w:val="single" w:color="auto" w:sz="4" w:space="0"/>
              <w:left w:val="single" w:color="auto" w:sz="4" w:space="0"/>
              <w:right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专业网络安全服务</w:t>
            </w:r>
          </w:p>
        </w:tc>
        <w:tc>
          <w:tcPr>
            <w:tcW w:w="463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安全扫描服务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4</w:t>
            </w:r>
          </w:p>
        </w:tc>
        <w:tc>
          <w:tcPr>
            <w:tcW w:w="3041" w:type="dxa"/>
            <w:vMerge w:val="continue"/>
            <w:tcBorders>
              <w:left w:val="single" w:color="auto" w:sz="4" w:space="0"/>
              <w:right w:val="single" w:color="auto" w:sz="4" w:space="0"/>
            </w:tcBorders>
            <w:vAlign w:val="center"/>
          </w:tcPr>
          <w:p>
            <w:pPr>
              <w:widowControl/>
              <w:jc w:val="left"/>
              <w:rPr>
                <w:rFonts w:ascii="仿宋" w:hAnsi="仿宋" w:eastAsia="仿宋"/>
                <w:sz w:val="28"/>
                <w:szCs w:val="28"/>
              </w:rPr>
            </w:pPr>
          </w:p>
        </w:tc>
        <w:tc>
          <w:tcPr>
            <w:tcW w:w="463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渗透性测试服务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5</w:t>
            </w:r>
          </w:p>
        </w:tc>
        <w:tc>
          <w:tcPr>
            <w:tcW w:w="3041" w:type="dxa"/>
            <w:vMerge w:val="continue"/>
            <w:tcBorders>
              <w:left w:val="single" w:color="auto" w:sz="4" w:space="0"/>
              <w:right w:val="single" w:color="auto" w:sz="4" w:space="0"/>
            </w:tcBorders>
            <w:vAlign w:val="center"/>
          </w:tcPr>
          <w:p>
            <w:pPr>
              <w:widowControl/>
              <w:jc w:val="left"/>
              <w:rPr>
                <w:rFonts w:ascii="仿宋" w:hAnsi="仿宋" w:eastAsia="仿宋"/>
                <w:sz w:val="28"/>
                <w:szCs w:val="28"/>
              </w:rPr>
            </w:pPr>
          </w:p>
        </w:tc>
        <w:tc>
          <w:tcPr>
            <w:tcW w:w="463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新应用上线安全检测服务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6</w:t>
            </w:r>
          </w:p>
        </w:tc>
        <w:tc>
          <w:tcPr>
            <w:tcW w:w="3041"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463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7×24小时网站监测服务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7</w:t>
            </w:r>
          </w:p>
        </w:tc>
        <w:tc>
          <w:tcPr>
            <w:tcW w:w="3041" w:type="dxa"/>
            <w:vMerge w:val="restart"/>
            <w:tcBorders>
              <w:top w:val="single" w:color="auto" w:sz="4" w:space="0"/>
              <w:left w:val="single" w:color="auto" w:sz="4" w:space="0"/>
              <w:right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咨询服务</w:t>
            </w:r>
          </w:p>
        </w:tc>
        <w:tc>
          <w:tcPr>
            <w:tcW w:w="46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日常安全咨询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8</w:t>
            </w:r>
          </w:p>
        </w:tc>
        <w:tc>
          <w:tcPr>
            <w:tcW w:w="3041" w:type="dxa"/>
            <w:vMerge w:val="continue"/>
            <w:tcBorders>
              <w:left w:val="single" w:color="auto" w:sz="4" w:space="0"/>
              <w:bottom w:val="single" w:color="auto" w:sz="4" w:space="0"/>
              <w:right w:val="single" w:color="auto" w:sz="4" w:space="0"/>
            </w:tcBorders>
            <w:vAlign w:val="center"/>
          </w:tcPr>
          <w:p>
            <w:pPr>
              <w:jc w:val="left"/>
              <w:rPr>
                <w:rFonts w:ascii="仿宋" w:hAnsi="仿宋" w:eastAsia="仿宋"/>
                <w:sz w:val="28"/>
                <w:szCs w:val="28"/>
              </w:rPr>
            </w:pPr>
          </w:p>
        </w:tc>
        <w:tc>
          <w:tcPr>
            <w:tcW w:w="46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安全规划和解决方案设计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9</w:t>
            </w:r>
          </w:p>
        </w:tc>
        <w:tc>
          <w:tcPr>
            <w:tcW w:w="3041" w:type="dxa"/>
            <w:vMerge w:val="restart"/>
            <w:tcBorders>
              <w:top w:val="single" w:color="auto" w:sz="4" w:space="0"/>
              <w:left w:val="single" w:color="auto" w:sz="4" w:space="0"/>
              <w:right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应急支持服务</w:t>
            </w:r>
          </w:p>
        </w:tc>
        <w:tc>
          <w:tcPr>
            <w:tcW w:w="46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10</w:t>
            </w:r>
          </w:p>
        </w:tc>
        <w:tc>
          <w:tcPr>
            <w:tcW w:w="3041" w:type="dxa"/>
            <w:vMerge w:val="continue"/>
            <w:tcBorders>
              <w:left w:val="single" w:color="auto" w:sz="4" w:space="0"/>
              <w:bottom w:val="single" w:color="auto" w:sz="4" w:space="0"/>
              <w:right w:val="single" w:color="auto" w:sz="4" w:space="0"/>
            </w:tcBorders>
            <w:vAlign w:val="center"/>
          </w:tcPr>
          <w:p>
            <w:pPr>
              <w:jc w:val="left"/>
              <w:rPr>
                <w:rFonts w:ascii="仿宋" w:hAnsi="仿宋" w:eastAsia="仿宋"/>
                <w:sz w:val="28"/>
                <w:szCs w:val="28"/>
              </w:rPr>
            </w:pPr>
          </w:p>
        </w:tc>
        <w:tc>
          <w:tcPr>
            <w:tcW w:w="46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11</w:t>
            </w:r>
          </w:p>
        </w:tc>
        <w:tc>
          <w:tcPr>
            <w:tcW w:w="3041" w:type="dxa"/>
            <w:tcBorders>
              <w:left w:val="single" w:color="auto" w:sz="4" w:space="0"/>
              <w:bottom w:val="single" w:color="auto" w:sz="4" w:space="0"/>
              <w:right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安全通告服务</w:t>
            </w:r>
          </w:p>
        </w:tc>
        <w:tc>
          <w:tcPr>
            <w:tcW w:w="46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安全通告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12</w:t>
            </w:r>
          </w:p>
        </w:tc>
        <w:tc>
          <w:tcPr>
            <w:tcW w:w="3041" w:type="dxa"/>
            <w:tcBorders>
              <w:left w:val="single" w:color="auto" w:sz="4" w:space="0"/>
              <w:bottom w:val="single" w:color="auto" w:sz="4" w:space="0"/>
              <w:right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安全培训服务</w:t>
            </w:r>
          </w:p>
        </w:tc>
        <w:tc>
          <w:tcPr>
            <w:tcW w:w="46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13</w:t>
            </w:r>
          </w:p>
        </w:tc>
        <w:tc>
          <w:tcPr>
            <w:tcW w:w="30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其他</w:t>
            </w:r>
          </w:p>
        </w:tc>
        <w:tc>
          <w:tcPr>
            <w:tcW w:w="46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ascii="仿宋" w:hAnsi="仿宋" w:eastAsia="仿宋"/>
                <w:sz w:val="28"/>
                <w:szCs w:val="28"/>
              </w:rPr>
              <w:t>所有信息系统的定级、备案工作。</w:t>
            </w:r>
          </w:p>
        </w:tc>
      </w:tr>
    </w:tbl>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1.基础安全服务</w:t>
      </w:r>
    </w:p>
    <w:p>
      <w:pPr>
        <w:spacing w:line="360" w:lineRule="auto"/>
        <w:ind w:firstLine="580" w:firstLineChars="200"/>
        <w:rPr>
          <w:rFonts w:ascii="仿宋" w:hAnsi="仿宋" w:eastAsia="仿宋" w:cs="仿宋_GB2312"/>
          <w:kern w:val="0"/>
          <w:sz w:val="29"/>
          <w:szCs w:val="29"/>
        </w:rPr>
      </w:pPr>
      <w:r>
        <w:rPr>
          <w:rFonts w:hint="eastAsia" w:ascii="仿宋" w:hAnsi="仿宋" w:eastAsia="仿宋" w:cs="仿宋_GB2312"/>
          <w:kern w:val="0"/>
          <w:sz w:val="29"/>
          <w:szCs w:val="29"/>
        </w:rPr>
        <w:t>（</w:t>
      </w:r>
      <w:r>
        <w:rPr>
          <w:rFonts w:ascii="仿宋" w:hAnsi="仿宋" w:eastAsia="仿宋" w:cs="仿宋_GB2312"/>
          <w:kern w:val="0"/>
          <w:sz w:val="29"/>
          <w:szCs w:val="29"/>
        </w:rPr>
        <w:t>1）服务器安全</w:t>
      </w:r>
    </w:p>
    <w:p>
      <w:pPr>
        <w:spacing w:line="360" w:lineRule="auto"/>
        <w:ind w:firstLine="580" w:firstLineChars="200"/>
        <w:rPr>
          <w:rFonts w:ascii="仿宋" w:hAnsi="仿宋" w:eastAsia="仿宋" w:cs="仿宋_GB2312"/>
          <w:kern w:val="0"/>
          <w:sz w:val="29"/>
          <w:szCs w:val="29"/>
        </w:rPr>
      </w:pPr>
      <w:r>
        <w:rPr>
          <w:rFonts w:hint="eastAsia" w:ascii="仿宋" w:hAnsi="仿宋" w:eastAsia="仿宋" w:cs="仿宋_GB2312"/>
          <w:kern w:val="0"/>
          <w:sz w:val="29"/>
          <w:szCs w:val="29"/>
        </w:rPr>
        <w:t>规划服务器安全策略，并进行部署，关闭服务器非常用端口，制定服务器安全需求分析，实现服务器安全事件的管理，防止服务器被攻击从而导致应用瘫痪（</w:t>
      </w:r>
      <w:r>
        <w:rPr>
          <w:rFonts w:ascii="仿宋" w:hAnsi="仿宋" w:eastAsia="仿宋" w:cs="仿宋_GB2312"/>
          <w:kern w:val="0"/>
          <w:sz w:val="29"/>
          <w:szCs w:val="29"/>
        </w:rPr>
        <w:t>2次/月）。</w:t>
      </w:r>
    </w:p>
    <w:p>
      <w:pPr>
        <w:spacing w:line="360" w:lineRule="auto"/>
        <w:ind w:firstLine="580" w:firstLineChars="200"/>
        <w:rPr>
          <w:rFonts w:ascii="仿宋" w:hAnsi="仿宋" w:eastAsia="仿宋" w:cs="仿宋_GB2312"/>
          <w:kern w:val="0"/>
          <w:sz w:val="29"/>
          <w:szCs w:val="29"/>
        </w:rPr>
      </w:pPr>
      <w:r>
        <w:rPr>
          <w:rFonts w:hint="eastAsia" w:ascii="仿宋" w:hAnsi="仿宋" w:eastAsia="仿宋" w:cs="仿宋_GB2312"/>
          <w:kern w:val="0"/>
          <w:sz w:val="29"/>
          <w:szCs w:val="29"/>
        </w:rPr>
        <w:t>对服务器按月度进行常规的巡检，并做好巡检纪录，巡检内容包括硬件运行状况、系统软件的运行情况，发现的问题及解决的方法（</w:t>
      </w:r>
      <w:r>
        <w:rPr>
          <w:rFonts w:ascii="仿宋" w:hAnsi="仿宋" w:eastAsia="仿宋" w:cs="仿宋_GB2312"/>
          <w:kern w:val="0"/>
          <w:sz w:val="29"/>
          <w:szCs w:val="29"/>
        </w:rPr>
        <w:t>1次/月）。</w:t>
      </w:r>
    </w:p>
    <w:p>
      <w:pPr>
        <w:spacing w:line="360" w:lineRule="auto"/>
        <w:ind w:firstLine="580" w:firstLineChars="200"/>
        <w:rPr>
          <w:rFonts w:ascii="仿宋" w:hAnsi="仿宋" w:eastAsia="仿宋" w:cs="仿宋_GB2312"/>
          <w:kern w:val="0"/>
          <w:sz w:val="29"/>
          <w:szCs w:val="29"/>
        </w:rPr>
      </w:pPr>
      <w:r>
        <w:rPr>
          <w:rFonts w:hint="eastAsia" w:ascii="仿宋" w:hAnsi="仿宋" w:eastAsia="仿宋" w:cs="仿宋_GB2312"/>
          <w:kern w:val="0"/>
          <w:sz w:val="29"/>
          <w:szCs w:val="29"/>
        </w:rPr>
        <w:t>（</w:t>
      </w:r>
      <w:r>
        <w:rPr>
          <w:rFonts w:ascii="仿宋" w:hAnsi="仿宋" w:eastAsia="仿宋" w:cs="仿宋_GB2312"/>
          <w:kern w:val="0"/>
          <w:sz w:val="29"/>
          <w:szCs w:val="29"/>
        </w:rPr>
        <w:t>2）网络安全</w:t>
      </w:r>
    </w:p>
    <w:p>
      <w:pPr>
        <w:spacing w:line="360" w:lineRule="auto"/>
        <w:ind w:firstLine="580" w:firstLineChars="200"/>
        <w:rPr>
          <w:rFonts w:ascii="仿宋" w:hAnsi="仿宋" w:eastAsia="仿宋" w:cs="仿宋_GB2312"/>
          <w:kern w:val="0"/>
          <w:sz w:val="29"/>
          <w:szCs w:val="29"/>
        </w:rPr>
      </w:pPr>
      <w:r>
        <w:rPr>
          <w:rFonts w:hint="eastAsia" w:ascii="仿宋" w:hAnsi="仿宋" w:eastAsia="仿宋" w:cs="仿宋_GB2312"/>
          <w:kern w:val="0"/>
          <w:sz w:val="29"/>
          <w:szCs w:val="29"/>
        </w:rPr>
        <w:t>安全设备的常规巡检：对于堡垒机、数据库审计、日志审计和</w:t>
      </w:r>
      <w:r>
        <w:rPr>
          <w:rFonts w:ascii="仿宋" w:hAnsi="仿宋" w:eastAsia="仿宋" w:cs="仿宋_GB2312"/>
          <w:kern w:val="0"/>
          <w:sz w:val="29"/>
          <w:szCs w:val="29"/>
        </w:rPr>
        <w:t>VPN等安全设备按月度进行常规的巡检，并做好巡检纪录，包括安全系统可达性、延时、性能观测等，例如CPU、内存使用率、攻击信息记录，递交安全分析报告</w:t>
      </w:r>
      <w:r>
        <w:rPr>
          <w:rFonts w:hint="eastAsia" w:ascii="仿宋" w:hAnsi="仿宋" w:eastAsia="仿宋" w:cs="仿宋_GB2312"/>
          <w:kern w:val="0"/>
          <w:sz w:val="29"/>
          <w:szCs w:val="29"/>
        </w:rPr>
        <w:t>（</w:t>
      </w:r>
      <w:r>
        <w:rPr>
          <w:rFonts w:ascii="仿宋" w:hAnsi="仿宋" w:eastAsia="仿宋" w:cs="仿宋_GB2312"/>
          <w:kern w:val="0"/>
          <w:sz w:val="29"/>
          <w:szCs w:val="29"/>
        </w:rPr>
        <w:t>1次/月）</w:t>
      </w:r>
      <w:r>
        <w:rPr>
          <w:rFonts w:hint="eastAsia" w:ascii="仿宋" w:hAnsi="仿宋" w:eastAsia="仿宋" w:cs="仿宋_GB2312"/>
          <w:kern w:val="0"/>
          <w:sz w:val="29"/>
          <w:szCs w:val="29"/>
        </w:rPr>
        <w:t>。</w:t>
      </w:r>
    </w:p>
    <w:p>
      <w:pPr>
        <w:spacing w:line="360" w:lineRule="auto"/>
        <w:ind w:firstLine="580" w:firstLineChars="200"/>
        <w:rPr>
          <w:rFonts w:ascii="仿宋" w:hAnsi="仿宋" w:eastAsia="仿宋" w:cs="仿宋_GB2312"/>
          <w:kern w:val="0"/>
          <w:sz w:val="29"/>
          <w:szCs w:val="29"/>
        </w:rPr>
      </w:pPr>
      <w:r>
        <w:rPr>
          <w:rFonts w:hint="eastAsia" w:ascii="仿宋" w:hAnsi="仿宋" w:eastAsia="仿宋" w:cs="仿宋_GB2312"/>
          <w:kern w:val="0"/>
          <w:sz w:val="29"/>
          <w:szCs w:val="29"/>
        </w:rPr>
        <w:t>网络安全设备配置管理：定期备份网络安全设备配置，防止由于异常情况导致网络中断且无法尽快恢复（</w:t>
      </w:r>
      <w:r>
        <w:rPr>
          <w:rFonts w:ascii="仿宋" w:hAnsi="仿宋" w:eastAsia="仿宋" w:cs="仿宋_GB2312"/>
          <w:kern w:val="0"/>
          <w:sz w:val="29"/>
          <w:szCs w:val="29"/>
        </w:rPr>
        <w:t>2次/月）。</w:t>
      </w:r>
    </w:p>
    <w:p>
      <w:pPr>
        <w:spacing w:line="360" w:lineRule="auto"/>
        <w:ind w:firstLine="580" w:firstLineChars="200"/>
        <w:rPr>
          <w:rFonts w:ascii="仿宋" w:hAnsi="仿宋" w:eastAsia="仿宋" w:cs="仿宋_GB2312"/>
          <w:kern w:val="0"/>
          <w:sz w:val="29"/>
          <w:szCs w:val="29"/>
        </w:rPr>
      </w:pPr>
      <w:r>
        <w:rPr>
          <w:rFonts w:hint="eastAsia" w:ascii="仿宋" w:hAnsi="仿宋" w:eastAsia="仿宋" w:cs="仿宋_GB2312"/>
          <w:kern w:val="0"/>
          <w:sz w:val="29"/>
          <w:szCs w:val="29"/>
        </w:rPr>
        <w:t>安全设备的策略制定与部署：根据业务系统需求，制订合理的安全策略，规划安全策略的部署方案，并予以实施，包括访问控制策略、基于源与目的的业务控制等（</w:t>
      </w:r>
      <w:r>
        <w:rPr>
          <w:rFonts w:ascii="仿宋" w:hAnsi="仿宋" w:eastAsia="仿宋" w:cs="仿宋_GB2312"/>
          <w:kern w:val="0"/>
          <w:sz w:val="29"/>
          <w:szCs w:val="29"/>
        </w:rPr>
        <w:t>2次/月）。</w:t>
      </w:r>
    </w:p>
    <w:p>
      <w:pPr>
        <w:spacing w:line="360" w:lineRule="auto"/>
        <w:ind w:firstLine="580" w:firstLineChars="200"/>
        <w:rPr>
          <w:rFonts w:ascii="仿宋" w:hAnsi="仿宋" w:eastAsia="仿宋" w:cs="仿宋_GB2312"/>
          <w:kern w:val="0"/>
          <w:sz w:val="29"/>
          <w:szCs w:val="29"/>
        </w:rPr>
      </w:pPr>
      <w:r>
        <w:rPr>
          <w:rFonts w:hint="eastAsia" w:ascii="仿宋" w:hAnsi="仿宋" w:eastAsia="仿宋" w:cs="仿宋_GB2312"/>
          <w:kern w:val="0"/>
          <w:sz w:val="29"/>
          <w:szCs w:val="29"/>
        </w:rPr>
        <w:t>安全故障排除：安全故障的排除，主要是针对因网络设备配置、运行等而导致的网络瘫痪、访问不可达现象而进行的故障排除处理，确保网络稳定运行。</w:t>
      </w:r>
    </w:p>
    <w:p>
      <w:pPr>
        <w:spacing w:line="360" w:lineRule="auto"/>
        <w:ind w:firstLine="580" w:firstLineChars="200"/>
        <w:rPr>
          <w:rFonts w:ascii="仿宋" w:hAnsi="仿宋" w:eastAsia="仿宋" w:cs="仿宋_GB2312"/>
          <w:kern w:val="0"/>
          <w:sz w:val="29"/>
          <w:szCs w:val="29"/>
        </w:rPr>
      </w:pPr>
      <w:r>
        <w:rPr>
          <w:rFonts w:hint="eastAsia" w:ascii="仿宋" w:hAnsi="仿宋" w:eastAsia="仿宋" w:cs="仿宋_GB2312"/>
          <w:kern w:val="0"/>
          <w:sz w:val="29"/>
          <w:szCs w:val="29"/>
        </w:rPr>
        <w:t>安全系统的日常维护与管理</w:t>
      </w:r>
      <w:r>
        <w:rPr>
          <w:rFonts w:ascii="仿宋" w:hAnsi="仿宋" w:eastAsia="仿宋" w:cs="仿宋_GB2312"/>
          <w:kern w:val="0"/>
          <w:sz w:val="29"/>
          <w:szCs w:val="29"/>
        </w:rPr>
        <w:t>:包括对安全设备在我局提供的规则库、病毒库的有效期内进行定期升级，针对性策略的更新与部署等（2次/月）。</w:t>
      </w:r>
    </w:p>
    <w:p>
      <w:pPr>
        <w:spacing w:line="360" w:lineRule="auto"/>
        <w:ind w:firstLine="580" w:firstLineChars="200"/>
        <w:rPr>
          <w:rFonts w:ascii="仿宋" w:hAnsi="仿宋" w:eastAsia="仿宋" w:cs="仿宋_GB2312"/>
          <w:kern w:val="0"/>
          <w:sz w:val="29"/>
          <w:szCs w:val="29"/>
        </w:rPr>
      </w:pPr>
      <w:r>
        <w:rPr>
          <w:rFonts w:hint="eastAsia" w:ascii="仿宋" w:hAnsi="仿宋" w:eastAsia="仿宋" w:cs="仿宋_GB2312"/>
          <w:kern w:val="0"/>
          <w:sz w:val="29"/>
          <w:szCs w:val="29"/>
        </w:rPr>
        <w:t>安全日志的汇总与分析：对网络中所有安全系统包括防病毒、客户端管理系统的日志汇总与分析，评估网络安全系统的运行状态（</w:t>
      </w:r>
      <w:r>
        <w:rPr>
          <w:rFonts w:ascii="仿宋" w:hAnsi="仿宋" w:eastAsia="仿宋" w:cs="仿宋_GB2312"/>
          <w:kern w:val="0"/>
          <w:sz w:val="29"/>
          <w:szCs w:val="29"/>
        </w:rPr>
        <w:t>1次/季度）。</w:t>
      </w:r>
    </w:p>
    <w:p>
      <w:pPr>
        <w:spacing w:line="360" w:lineRule="auto"/>
        <w:ind w:firstLine="580" w:firstLineChars="200"/>
        <w:rPr>
          <w:rFonts w:ascii="仿宋" w:hAnsi="仿宋" w:eastAsia="仿宋" w:cs="仿宋_GB2312"/>
          <w:kern w:val="0"/>
          <w:sz w:val="29"/>
          <w:szCs w:val="29"/>
        </w:rPr>
      </w:pPr>
      <w:r>
        <w:rPr>
          <w:rFonts w:hint="eastAsia" w:ascii="仿宋" w:hAnsi="仿宋" w:eastAsia="仿宋" w:cs="仿宋_GB2312"/>
          <w:kern w:val="0"/>
          <w:sz w:val="29"/>
          <w:szCs w:val="29"/>
        </w:rPr>
        <w:t>安全隐患分析与强化：根据业务需求，制订网络安全解决方案，强化网络安全管理机制，实现网络安全策略的有效部署，提高网络安全稳定性（</w:t>
      </w:r>
      <w:r>
        <w:rPr>
          <w:rFonts w:ascii="仿宋" w:hAnsi="仿宋" w:eastAsia="仿宋" w:cs="仿宋_GB2312"/>
          <w:kern w:val="0"/>
          <w:sz w:val="29"/>
          <w:szCs w:val="29"/>
        </w:rPr>
        <w:t>1次/季度）。基础安全服务的范围为：</w:t>
      </w: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96"/>
        <w:gridCol w:w="2692"/>
        <w:gridCol w:w="534"/>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1134" w:type="dxa"/>
            <w:noWrap/>
            <w:vAlign w:val="center"/>
          </w:tcPr>
          <w:p>
            <w:pPr>
              <w:widowControl/>
              <w:snapToGrid w:val="0"/>
              <w:spacing w:line="360" w:lineRule="auto"/>
              <w:jc w:val="center"/>
              <w:rPr>
                <w:rFonts w:ascii="仿宋" w:hAnsi="仿宋" w:eastAsia="仿宋" w:cs="仿宋"/>
                <w:b/>
                <w:bCs/>
                <w:kern w:val="0"/>
                <w:sz w:val="29"/>
                <w:szCs w:val="29"/>
              </w:rPr>
            </w:pPr>
            <w:r>
              <w:rPr>
                <w:rFonts w:hint="eastAsia" w:ascii="仿宋" w:hAnsi="仿宋" w:eastAsia="仿宋" w:cs="仿宋"/>
                <w:b/>
                <w:bCs/>
                <w:kern w:val="0"/>
                <w:sz w:val="29"/>
                <w:szCs w:val="29"/>
              </w:rPr>
              <w:t>序号</w:t>
            </w:r>
          </w:p>
        </w:tc>
        <w:tc>
          <w:tcPr>
            <w:tcW w:w="896" w:type="dxa"/>
            <w:noWrap/>
            <w:vAlign w:val="center"/>
          </w:tcPr>
          <w:p>
            <w:pPr>
              <w:widowControl/>
              <w:snapToGrid w:val="0"/>
              <w:spacing w:line="360" w:lineRule="auto"/>
              <w:jc w:val="center"/>
              <w:rPr>
                <w:rFonts w:ascii="仿宋" w:hAnsi="仿宋" w:eastAsia="仿宋" w:cs="仿宋"/>
                <w:b/>
                <w:bCs/>
                <w:kern w:val="0"/>
                <w:sz w:val="29"/>
                <w:szCs w:val="29"/>
              </w:rPr>
            </w:pPr>
            <w:r>
              <w:rPr>
                <w:rFonts w:hint="eastAsia" w:ascii="仿宋" w:hAnsi="仿宋" w:eastAsia="仿宋" w:cs="仿宋"/>
                <w:b/>
                <w:bCs/>
                <w:kern w:val="0"/>
                <w:sz w:val="29"/>
                <w:szCs w:val="29"/>
              </w:rPr>
              <w:t>系统</w:t>
            </w:r>
          </w:p>
        </w:tc>
        <w:tc>
          <w:tcPr>
            <w:tcW w:w="2692" w:type="dxa"/>
            <w:noWrap/>
            <w:vAlign w:val="center"/>
          </w:tcPr>
          <w:p>
            <w:pPr>
              <w:widowControl/>
              <w:snapToGrid w:val="0"/>
              <w:spacing w:line="360" w:lineRule="auto"/>
              <w:jc w:val="center"/>
              <w:rPr>
                <w:rFonts w:ascii="仿宋" w:hAnsi="仿宋" w:eastAsia="仿宋" w:cs="仿宋"/>
                <w:b/>
                <w:bCs/>
                <w:kern w:val="0"/>
                <w:sz w:val="29"/>
                <w:szCs w:val="29"/>
              </w:rPr>
            </w:pPr>
            <w:r>
              <w:rPr>
                <w:rFonts w:hint="eastAsia" w:ascii="仿宋" w:hAnsi="仿宋" w:eastAsia="仿宋" w:cs="仿宋"/>
                <w:b/>
                <w:bCs/>
                <w:kern w:val="0"/>
                <w:sz w:val="29"/>
                <w:szCs w:val="29"/>
              </w:rPr>
              <w:t>设备</w:t>
            </w:r>
          </w:p>
        </w:tc>
        <w:tc>
          <w:tcPr>
            <w:tcW w:w="534" w:type="dxa"/>
            <w:noWrap/>
            <w:vAlign w:val="center"/>
          </w:tcPr>
          <w:p>
            <w:pPr>
              <w:widowControl/>
              <w:snapToGrid w:val="0"/>
              <w:spacing w:line="360" w:lineRule="auto"/>
              <w:jc w:val="center"/>
              <w:rPr>
                <w:rFonts w:ascii="仿宋" w:hAnsi="仿宋" w:eastAsia="仿宋" w:cs="仿宋"/>
                <w:b/>
                <w:bCs/>
                <w:kern w:val="0"/>
                <w:sz w:val="29"/>
                <w:szCs w:val="29"/>
              </w:rPr>
            </w:pPr>
            <w:r>
              <w:rPr>
                <w:rFonts w:ascii="仿宋" w:hAnsi="仿宋" w:eastAsia="仿宋" w:cs="仿宋"/>
                <w:b/>
                <w:bCs/>
                <w:kern w:val="0"/>
                <w:sz w:val="29"/>
                <w:szCs w:val="29"/>
              </w:rPr>
              <w:t>IP</w:t>
            </w:r>
          </w:p>
        </w:tc>
        <w:tc>
          <w:tcPr>
            <w:tcW w:w="2743" w:type="dxa"/>
            <w:noWrap/>
            <w:vAlign w:val="center"/>
          </w:tcPr>
          <w:p>
            <w:pPr>
              <w:widowControl/>
              <w:snapToGrid w:val="0"/>
              <w:spacing w:line="360" w:lineRule="auto"/>
              <w:jc w:val="center"/>
              <w:rPr>
                <w:rFonts w:ascii="仿宋" w:hAnsi="仿宋" w:eastAsia="仿宋" w:cs="仿宋"/>
                <w:b/>
                <w:bCs/>
                <w:kern w:val="0"/>
                <w:sz w:val="29"/>
                <w:szCs w:val="29"/>
              </w:rPr>
            </w:pPr>
            <w:r>
              <w:rPr>
                <w:rFonts w:hint="eastAsia" w:ascii="仿宋" w:hAnsi="仿宋" w:eastAsia="仿宋" w:cs="仿宋"/>
                <w:b/>
                <w:bCs/>
                <w:kern w:val="0"/>
                <w:sz w:val="29"/>
                <w:szCs w:val="29"/>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134" w:type="dxa"/>
            <w:noWrap/>
            <w:vAlign w:val="center"/>
          </w:tcPr>
          <w:p>
            <w:pPr>
              <w:widowControl/>
              <w:snapToGrid w:val="0"/>
              <w:spacing w:line="360" w:lineRule="auto"/>
              <w:jc w:val="center"/>
              <w:rPr>
                <w:rFonts w:ascii="仿宋" w:hAnsi="仿宋" w:eastAsia="仿宋" w:cs="仿宋_GB2312"/>
                <w:kern w:val="0"/>
                <w:sz w:val="29"/>
                <w:szCs w:val="29"/>
              </w:rPr>
            </w:pPr>
          </w:p>
        </w:tc>
        <w:tc>
          <w:tcPr>
            <w:tcW w:w="896" w:type="dxa"/>
            <w:vAlign w:val="center"/>
          </w:tcPr>
          <w:p>
            <w:pPr>
              <w:widowControl/>
              <w:snapToGrid w:val="0"/>
              <w:spacing w:line="360" w:lineRule="auto"/>
              <w:jc w:val="left"/>
              <w:rPr>
                <w:rFonts w:ascii="仿宋" w:hAnsi="仿宋" w:eastAsia="仿宋" w:cs="仿宋_GB2312"/>
                <w:kern w:val="0"/>
                <w:sz w:val="29"/>
                <w:szCs w:val="29"/>
              </w:rPr>
            </w:pPr>
          </w:p>
        </w:tc>
        <w:tc>
          <w:tcPr>
            <w:tcW w:w="2692" w:type="dxa"/>
            <w:vAlign w:val="center"/>
          </w:tcPr>
          <w:p>
            <w:pPr>
              <w:widowControl/>
              <w:snapToGrid w:val="0"/>
              <w:spacing w:line="360" w:lineRule="auto"/>
              <w:jc w:val="left"/>
              <w:rPr>
                <w:rFonts w:ascii="仿宋" w:hAnsi="仿宋" w:eastAsia="仿宋" w:cs="仿宋_GB2312"/>
                <w:kern w:val="0"/>
                <w:sz w:val="29"/>
                <w:szCs w:val="29"/>
              </w:rPr>
            </w:pPr>
          </w:p>
        </w:tc>
        <w:tc>
          <w:tcPr>
            <w:tcW w:w="534" w:type="dxa"/>
            <w:noWrap/>
          </w:tcPr>
          <w:p>
            <w:pPr>
              <w:snapToGrid w:val="0"/>
              <w:spacing w:line="360" w:lineRule="auto"/>
              <w:jc w:val="center"/>
              <w:rPr>
                <w:rFonts w:ascii="仿宋" w:hAnsi="仿宋" w:eastAsia="仿宋" w:cs="仿宋_GB2312"/>
                <w:sz w:val="29"/>
                <w:szCs w:val="29"/>
              </w:rPr>
            </w:pPr>
          </w:p>
        </w:tc>
        <w:tc>
          <w:tcPr>
            <w:tcW w:w="2743" w:type="dxa"/>
            <w:vAlign w:val="center"/>
          </w:tcPr>
          <w:p>
            <w:pPr>
              <w:widowControl/>
              <w:snapToGrid w:val="0"/>
              <w:spacing w:line="360" w:lineRule="auto"/>
              <w:jc w:val="left"/>
              <w:rPr>
                <w:rFonts w:ascii="仿宋" w:hAnsi="仿宋" w:eastAsia="仿宋" w:cs="仿宋_GB2312"/>
                <w:kern w:val="0"/>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34" w:type="dxa"/>
            <w:noWrap/>
            <w:vAlign w:val="center"/>
          </w:tcPr>
          <w:p>
            <w:pPr>
              <w:widowControl/>
              <w:snapToGrid w:val="0"/>
              <w:spacing w:line="360" w:lineRule="auto"/>
              <w:jc w:val="center"/>
              <w:rPr>
                <w:rFonts w:ascii="仿宋" w:hAnsi="仿宋" w:eastAsia="仿宋" w:cs="仿宋_GB2312"/>
                <w:kern w:val="0"/>
                <w:sz w:val="29"/>
                <w:szCs w:val="29"/>
              </w:rPr>
            </w:pPr>
          </w:p>
        </w:tc>
        <w:tc>
          <w:tcPr>
            <w:tcW w:w="896" w:type="dxa"/>
            <w:vAlign w:val="center"/>
          </w:tcPr>
          <w:p>
            <w:pPr>
              <w:widowControl/>
              <w:snapToGrid w:val="0"/>
              <w:spacing w:line="360" w:lineRule="auto"/>
              <w:jc w:val="center"/>
              <w:rPr>
                <w:rFonts w:ascii="仿宋" w:hAnsi="仿宋" w:eastAsia="仿宋" w:cs="仿宋_GB2312"/>
                <w:kern w:val="0"/>
                <w:sz w:val="29"/>
                <w:szCs w:val="29"/>
              </w:rPr>
            </w:pPr>
          </w:p>
        </w:tc>
        <w:tc>
          <w:tcPr>
            <w:tcW w:w="2692" w:type="dxa"/>
            <w:vAlign w:val="center"/>
          </w:tcPr>
          <w:p>
            <w:pPr>
              <w:widowControl/>
              <w:snapToGrid w:val="0"/>
              <w:spacing w:line="360" w:lineRule="auto"/>
              <w:jc w:val="left"/>
              <w:rPr>
                <w:rFonts w:ascii="仿宋" w:hAnsi="仿宋" w:eastAsia="仿宋" w:cs="仿宋_GB2312"/>
                <w:kern w:val="0"/>
                <w:sz w:val="29"/>
                <w:szCs w:val="29"/>
              </w:rPr>
            </w:pPr>
          </w:p>
        </w:tc>
        <w:tc>
          <w:tcPr>
            <w:tcW w:w="534" w:type="dxa"/>
            <w:noWrap/>
          </w:tcPr>
          <w:p>
            <w:pPr>
              <w:snapToGrid w:val="0"/>
              <w:spacing w:line="360" w:lineRule="auto"/>
              <w:jc w:val="center"/>
              <w:rPr>
                <w:rFonts w:ascii="仿宋" w:hAnsi="仿宋" w:eastAsia="仿宋" w:cs="仿宋_GB2312"/>
                <w:sz w:val="29"/>
                <w:szCs w:val="29"/>
              </w:rPr>
            </w:pPr>
          </w:p>
        </w:tc>
        <w:tc>
          <w:tcPr>
            <w:tcW w:w="2743" w:type="dxa"/>
            <w:noWrap/>
            <w:vAlign w:val="center"/>
          </w:tcPr>
          <w:p>
            <w:pPr>
              <w:widowControl/>
              <w:snapToGrid w:val="0"/>
              <w:spacing w:line="360" w:lineRule="auto"/>
              <w:jc w:val="left"/>
              <w:rPr>
                <w:rFonts w:ascii="仿宋" w:hAnsi="仿宋" w:eastAsia="仿宋" w:cs="仿宋_GB2312"/>
                <w:kern w:val="0"/>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34" w:type="dxa"/>
            <w:noWrap/>
            <w:vAlign w:val="center"/>
          </w:tcPr>
          <w:p>
            <w:pPr>
              <w:widowControl/>
              <w:snapToGrid w:val="0"/>
              <w:spacing w:line="360" w:lineRule="auto"/>
              <w:jc w:val="center"/>
              <w:rPr>
                <w:rFonts w:ascii="仿宋" w:hAnsi="仿宋" w:eastAsia="仿宋" w:cs="仿宋_GB2312"/>
                <w:kern w:val="0"/>
                <w:sz w:val="29"/>
                <w:szCs w:val="29"/>
              </w:rPr>
            </w:pPr>
          </w:p>
        </w:tc>
        <w:tc>
          <w:tcPr>
            <w:tcW w:w="896" w:type="dxa"/>
            <w:vAlign w:val="center"/>
          </w:tcPr>
          <w:p>
            <w:pPr>
              <w:widowControl/>
              <w:snapToGrid w:val="0"/>
              <w:spacing w:line="360" w:lineRule="auto"/>
              <w:jc w:val="center"/>
              <w:rPr>
                <w:rFonts w:ascii="仿宋" w:hAnsi="仿宋" w:eastAsia="仿宋" w:cs="仿宋_GB2312"/>
                <w:kern w:val="0"/>
                <w:sz w:val="29"/>
                <w:szCs w:val="29"/>
              </w:rPr>
            </w:pPr>
          </w:p>
        </w:tc>
        <w:tc>
          <w:tcPr>
            <w:tcW w:w="2692" w:type="dxa"/>
            <w:vAlign w:val="center"/>
          </w:tcPr>
          <w:p>
            <w:pPr>
              <w:widowControl/>
              <w:snapToGrid w:val="0"/>
              <w:spacing w:line="360" w:lineRule="auto"/>
              <w:jc w:val="left"/>
              <w:rPr>
                <w:rFonts w:ascii="仿宋" w:hAnsi="仿宋" w:eastAsia="仿宋" w:cs="仿宋_GB2312"/>
                <w:kern w:val="0"/>
                <w:sz w:val="29"/>
                <w:szCs w:val="29"/>
              </w:rPr>
            </w:pPr>
          </w:p>
        </w:tc>
        <w:tc>
          <w:tcPr>
            <w:tcW w:w="534" w:type="dxa"/>
            <w:noWrap/>
          </w:tcPr>
          <w:p>
            <w:pPr>
              <w:snapToGrid w:val="0"/>
              <w:spacing w:line="360" w:lineRule="auto"/>
              <w:jc w:val="center"/>
              <w:rPr>
                <w:rFonts w:ascii="仿宋" w:hAnsi="仿宋" w:eastAsia="仿宋" w:cs="仿宋_GB2312"/>
                <w:sz w:val="29"/>
                <w:szCs w:val="29"/>
              </w:rPr>
            </w:pPr>
          </w:p>
        </w:tc>
        <w:tc>
          <w:tcPr>
            <w:tcW w:w="2743" w:type="dxa"/>
            <w:noWrap/>
            <w:vAlign w:val="center"/>
          </w:tcPr>
          <w:p>
            <w:pPr>
              <w:widowControl/>
              <w:snapToGrid w:val="0"/>
              <w:spacing w:line="360" w:lineRule="auto"/>
              <w:jc w:val="left"/>
              <w:rPr>
                <w:rFonts w:ascii="仿宋" w:hAnsi="仿宋" w:eastAsia="仿宋" w:cs="仿宋_GB2312"/>
                <w:kern w:val="0"/>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34" w:type="dxa"/>
            <w:noWrap/>
            <w:vAlign w:val="center"/>
          </w:tcPr>
          <w:p>
            <w:pPr>
              <w:widowControl/>
              <w:snapToGrid w:val="0"/>
              <w:spacing w:line="360" w:lineRule="auto"/>
              <w:jc w:val="center"/>
              <w:rPr>
                <w:rFonts w:ascii="仿宋" w:hAnsi="仿宋" w:eastAsia="仿宋" w:cs="仿宋_GB2312"/>
                <w:kern w:val="0"/>
                <w:sz w:val="29"/>
                <w:szCs w:val="29"/>
              </w:rPr>
            </w:pPr>
          </w:p>
        </w:tc>
        <w:tc>
          <w:tcPr>
            <w:tcW w:w="896" w:type="dxa"/>
            <w:vAlign w:val="center"/>
          </w:tcPr>
          <w:p>
            <w:pPr>
              <w:widowControl/>
              <w:snapToGrid w:val="0"/>
              <w:spacing w:line="360" w:lineRule="auto"/>
              <w:jc w:val="center"/>
              <w:rPr>
                <w:rFonts w:ascii="仿宋" w:hAnsi="仿宋" w:eastAsia="仿宋" w:cs="仿宋_GB2312"/>
                <w:kern w:val="0"/>
                <w:sz w:val="29"/>
                <w:szCs w:val="29"/>
              </w:rPr>
            </w:pPr>
          </w:p>
        </w:tc>
        <w:tc>
          <w:tcPr>
            <w:tcW w:w="2692" w:type="dxa"/>
            <w:vAlign w:val="center"/>
          </w:tcPr>
          <w:p>
            <w:pPr>
              <w:widowControl/>
              <w:snapToGrid w:val="0"/>
              <w:spacing w:line="360" w:lineRule="auto"/>
              <w:jc w:val="left"/>
              <w:rPr>
                <w:rFonts w:ascii="仿宋" w:hAnsi="仿宋" w:eastAsia="仿宋" w:cs="仿宋_GB2312"/>
                <w:kern w:val="0"/>
                <w:sz w:val="29"/>
                <w:szCs w:val="29"/>
              </w:rPr>
            </w:pPr>
          </w:p>
        </w:tc>
        <w:tc>
          <w:tcPr>
            <w:tcW w:w="534" w:type="dxa"/>
            <w:noWrap/>
          </w:tcPr>
          <w:p>
            <w:pPr>
              <w:snapToGrid w:val="0"/>
              <w:spacing w:line="360" w:lineRule="auto"/>
              <w:jc w:val="center"/>
              <w:rPr>
                <w:rFonts w:ascii="仿宋" w:hAnsi="仿宋" w:eastAsia="仿宋" w:cs="仿宋_GB2312"/>
                <w:sz w:val="29"/>
                <w:szCs w:val="29"/>
              </w:rPr>
            </w:pPr>
          </w:p>
        </w:tc>
        <w:tc>
          <w:tcPr>
            <w:tcW w:w="2743" w:type="dxa"/>
            <w:noWrap/>
            <w:vAlign w:val="center"/>
          </w:tcPr>
          <w:p>
            <w:pPr>
              <w:widowControl/>
              <w:snapToGrid w:val="0"/>
              <w:spacing w:line="360" w:lineRule="auto"/>
              <w:jc w:val="left"/>
              <w:rPr>
                <w:rFonts w:ascii="仿宋" w:hAnsi="仿宋" w:eastAsia="仿宋" w:cs="仿宋_GB2312"/>
                <w:kern w:val="0"/>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34" w:type="dxa"/>
            <w:noWrap/>
            <w:vAlign w:val="center"/>
          </w:tcPr>
          <w:p>
            <w:pPr>
              <w:widowControl/>
              <w:snapToGrid w:val="0"/>
              <w:spacing w:line="360" w:lineRule="auto"/>
              <w:jc w:val="center"/>
              <w:rPr>
                <w:rFonts w:ascii="仿宋" w:hAnsi="仿宋" w:eastAsia="仿宋" w:cs="仿宋_GB2312"/>
                <w:kern w:val="0"/>
                <w:sz w:val="29"/>
                <w:szCs w:val="29"/>
              </w:rPr>
            </w:pPr>
          </w:p>
        </w:tc>
        <w:tc>
          <w:tcPr>
            <w:tcW w:w="896" w:type="dxa"/>
            <w:vAlign w:val="center"/>
          </w:tcPr>
          <w:p>
            <w:pPr>
              <w:widowControl/>
              <w:snapToGrid w:val="0"/>
              <w:spacing w:line="360" w:lineRule="auto"/>
              <w:jc w:val="center"/>
              <w:rPr>
                <w:rFonts w:ascii="仿宋" w:hAnsi="仿宋" w:eastAsia="仿宋" w:cs="仿宋_GB2312"/>
                <w:kern w:val="0"/>
                <w:sz w:val="29"/>
                <w:szCs w:val="29"/>
              </w:rPr>
            </w:pPr>
          </w:p>
        </w:tc>
        <w:tc>
          <w:tcPr>
            <w:tcW w:w="2692" w:type="dxa"/>
            <w:vAlign w:val="center"/>
          </w:tcPr>
          <w:p>
            <w:pPr>
              <w:widowControl/>
              <w:snapToGrid w:val="0"/>
              <w:spacing w:line="360" w:lineRule="auto"/>
              <w:jc w:val="left"/>
              <w:rPr>
                <w:rFonts w:ascii="仿宋" w:hAnsi="仿宋" w:eastAsia="仿宋" w:cs="仿宋_GB2312"/>
                <w:kern w:val="0"/>
                <w:sz w:val="29"/>
                <w:szCs w:val="29"/>
              </w:rPr>
            </w:pPr>
          </w:p>
        </w:tc>
        <w:tc>
          <w:tcPr>
            <w:tcW w:w="534" w:type="dxa"/>
            <w:noWrap/>
          </w:tcPr>
          <w:p>
            <w:pPr>
              <w:snapToGrid w:val="0"/>
              <w:spacing w:line="360" w:lineRule="auto"/>
              <w:jc w:val="center"/>
              <w:rPr>
                <w:rFonts w:ascii="仿宋" w:hAnsi="仿宋" w:eastAsia="仿宋" w:cs="仿宋_GB2312"/>
                <w:sz w:val="29"/>
                <w:szCs w:val="29"/>
              </w:rPr>
            </w:pPr>
          </w:p>
        </w:tc>
        <w:tc>
          <w:tcPr>
            <w:tcW w:w="2743" w:type="dxa"/>
            <w:noWrap/>
            <w:vAlign w:val="center"/>
          </w:tcPr>
          <w:p>
            <w:pPr>
              <w:widowControl/>
              <w:snapToGrid w:val="0"/>
              <w:spacing w:line="360" w:lineRule="auto"/>
              <w:jc w:val="left"/>
              <w:rPr>
                <w:rFonts w:ascii="仿宋" w:hAnsi="仿宋" w:eastAsia="仿宋" w:cs="仿宋_GB2312"/>
                <w:kern w:val="0"/>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34" w:type="dxa"/>
            <w:noWrap/>
            <w:vAlign w:val="center"/>
          </w:tcPr>
          <w:p>
            <w:pPr>
              <w:widowControl/>
              <w:snapToGrid w:val="0"/>
              <w:spacing w:line="360" w:lineRule="auto"/>
              <w:jc w:val="center"/>
              <w:rPr>
                <w:rFonts w:ascii="仿宋" w:hAnsi="仿宋" w:eastAsia="仿宋" w:cs="仿宋_GB2312"/>
                <w:kern w:val="0"/>
                <w:sz w:val="29"/>
                <w:szCs w:val="29"/>
              </w:rPr>
            </w:pPr>
          </w:p>
        </w:tc>
        <w:tc>
          <w:tcPr>
            <w:tcW w:w="896" w:type="dxa"/>
            <w:vAlign w:val="center"/>
          </w:tcPr>
          <w:p>
            <w:pPr>
              <w:widowControl/>
              <w:snapToGrid w:val="0"/>
              <w:spacing w:line="360" w:lineRule="auto"/>
              <w:jc w:val="center"/>
              <w:rPr>
                <w:rFonts w:ascii="仿宋" w:hAnsi="仿宋" w:eastAsia="仿宋" w:cs="仿宋_GB2312"/>
                <w:kern w:val="0"/>
                <w:sz w:val="29"/>
                <w:szCs w:val="29"/>
              </w:rPr>
            </w:pPr>
          </w:p>
        </w:tc>
        <w:tc>
          <w:tcPr>
            <w:tcW w:w="2692" w:type="dxa"/>
            <w:vAlign w:val="center"/>
          </w:tcPr>
          <w:p>
            <w:pPr>
              <w:widowControl/>
              <w:snapToGrid w:val="0"/>
              <w:spacing w:line="360" w:lineRule="auto"/>
              <w:jc w:val="left"/>
              <w:rPr>
                <w:rFonts w:ascii="仿宋" w:hAnsi="仿宋" w:eastAsia="仿宋" w:cs="仿宋_GB2312"/>
                <w:kern w:val="0"/>
                <w:sz w:val="29"/>
                <w:szCs w:val="29"/>
              </w:rPr>
            </w:pPr>
          </w:p>
        </w:tc>
        <w:tc>
          <w:tcPr>
            <w:tcW w:w="534" w:type="dxa"/>
            <w:noWrap/>
          </w:tcPr>
          <w:p>
            <w:pPr>
              <w:snapToGrid w:val="0"/>
              <w:spacing w:line="360" w:lineRule="auto"/>
              <w:jc w:val="center"/>
              <w:rPr>
                <w:rFonts w:ascii="仿宋" w:hAnsi="仿宋" w:eastAsia="仿宋" w:cs="仿宋_GB2312"/>
                <w:sz w:val="29"/>
                <w:szCs w:val="29"/>
              </w:rPr>
            </w:pPr>
          </w:p>
        </w:tc>
        <w:tc>
          <w:tcPr>
            <w:tcW w:w="2743" w:type="dxa"/>
            <w:noWrap/>
            <w:vAlign w:val="center"/>
          </w:tcPr>
          <w:p>
            <w:pPr>
              <w:widowControl/>
              <w:snapToGrid w:val="0"/>
              <w:spacing w:line="360" w:lineRule="auto"/>
              <w:jc w:val="left"/>
              <w:rPr>
                <w:rFonts w:ascii="仿宋" w:hAnsi="仿宋" w:eastAsia="仿宋" w:cs="仿宋_GB2312"/>
                <w:kern w:val="0"/>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34" w:type="dxa"/>
            <w:noWrap/>
            <w:vAlign w:val="center"/>
          </w:tcPr>
          <w:p>
            <w:pPr>
              <w:widowControl/>
              <w:snapToGrid w:val="0"/>
              <w:spacing w:line="360" w:lineRule="auto"/>
              <w:jc w:val="center"/>
              <w:rPr>
                <w:rFonts w:ascii="仿宋" w:hAnsi="仿宋" w:eastAsia="仿宋" w:cs="仿宋_GB2312"/>
                <w:kern w:val="0"/>
                <w:sz w:val="29"/>
                <w:szCs w:val="29"/>
              </w:rPr>
            </w:pPr>
          </w:p>
        </w:tc>
        <w:tc>
          <w:tcPr>
            <w:tcW w:w="896" w:type="dxa"/>
            <w:vAlign w:val="center"/>
          </w:tcPr>
          <w:p>
            <w:pPr>
              <w:widowControl/>
              <w:snapToGrid w:val="0"/>
              <w:spacing w:line="360" w:lineRule="auto"/>
              <w:jc w:val="center"/>
              <w:rPr>
                <w:rFonts w:ascii="仿宋" w:hAnsi="仿宋" w:eastAsia="仿宋" w:cs="仿宋_GB2312"/>
                <w:kern w:val="0"/>
                <w:sz w:val="29"/>
                <w:szCs w:val="29"/>
              </w:rPr>
            </w:pPr>
          </w:p>
        </w:tc>
        <w:tc>
          <w:tcPr>
            <w:tcW w:w="2692" w:type="dxa"/>
            <w:vAlign w:val="center"/>
          </w:tcPr>
          <w:p>
            <w:pPr>
              <w:widowControl/>
              <w:snapToGrid w:val="0"/>
              <w:spacing w:line="360" w:lineRule="auto"/>
              <w:jc w:val="left"/>
              <w:rPr>
                <w:rFonts w:ascii="仿宋" w:hAnsi="仿宋" w:eastAsia="仿宋" w:cs="仿宋_GB2312"/>
                <w:kern w:val="0"/>
                <w:sz w:val="29"/>
                <w:szCs w:val="29"/>
              </w:rPr>
            </w:pPr>
          </w:p>
        </w:tc>
        <w:tc>
          <w:tcPr>
            <w:tcW w:w="534" w:type="dxa"/>
            <w:noWrap/>
          </w:tcPr>
          <w:p>
            <w:pPr>
              <w:snapToGrid w:val="0"/>
              <w:spacing w:line="360" w:lineRule="auto"/>
              <w:jc w:val="center"/>
              <w:rPr>
                <w:rFonts w:ascii="仿宋" w:hAnsi="仿宋" w:eastAsia="仿宋" w:cs="仿宋_GB2312"/>
                <w:sz w:val="29"/>
                <w:szCs w:val="29"/>
              </w:rPr>
            </w:pPr>
          </w:p>
        </w:tc>
        <w:tc>
          <w:tcPr>
            <w:tcW w:w="2743" w:type="dxa"/>
            <w:noWrap/>
            <w:vAlign w:val="center"/>
          </w:tcPr>
          <w:p>
            <w:pPr>
              <w:widowControl/>
              <w:snapToGrid w:val="0"/>
              <w:spacing w:line="360" w:lineRule="auto"/>
              <w:jc w:val="left"/>
              <w:rPr>
                <w:rFonts w:ascii="仿宋" w:hAnsi="仿宋" w:eastAsia="仿宋" w:cs="仿宋_GB2312"/>
                <w:kern w:val="0"/>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34" w:type="dxa"/>
            <w:noWrap/>
            <w:vAlign w:val="center"/>
          </w:tcPr>
          <w:p>
            <w:pPr>
              <w:widowControl/>
              <w:snapToGrid w:val="0"/>
              <w:spacing w:line="360" w:lineRule="auto"/>
              <w:jc w:val="center"/>
              <w:rPr>
                <w:rFonts w:ascii="仿宋" w:hAnsi="仿宋" w:eastAsia="仿宋" w:cs="仿宋_GB2312"/>
                <w:kern w:val="0"/>
                <w:sz w:val="29"/>
                <w:szCs w:val="29"/>
              </w:rPr>
            </w:pPr>
          </w:p>
        </w:tc>
        <w:tc>
          <w:tcPr>
            <w:tcW w:w="896" w:type="dxa"/>
            <w:vAlign w:val="center"/>
          </w:tcPr>
          <w:p>
            <w:pPr>
              <w:widowControl/>
              <w:snapToGrid w:val="0"/>
              <w:spacing w:line="360" w:lineRule="auto"/>
              <w:jc w:val="center"/>
              <w:rPr>
                <w:rFonts w:ascii="仿宋" w:hAnsi="仿宋" w:eastAsia="仿宋" w:cs="仿宋_GB2312"/>
                <w:kern w:val="0"/>
                <w:sz w:val="29"/>
                <w:szCs w:val="29"/>
              </w:rPr>
            </w:pPr>
          </w:p>
        </w:tc>
        <w:tc>
          <w:tcPr>
            <w:tcW w:w="2692" w:type="dxa"/>
            <w:vAlign w:val="center"/>
          </w:tcPr>
          <w:p>
            <w:pPr>
              <w:widowControl/>
              <w:snapToGrid w:val="0"/>
              <w:spacing w:line="360" w:lineRule="auto"/>
              <w:jc w:val="left"/>
              <w:rPr>
                <w:rFonts w:ascii="仿宋" w:hAnsi="仿宋" w:eastAsia="仿宋" w:cs="仿宋_GB2312"/>
                <w:kern w:val="0"/>
                <w:sz w:val="29"/>
                <w:szCs w:val="29"/>
              </w:rPr>
            </w:pPr>
          </w:p>
        </w:tc>
        <w:tc>
          <w:tcPr>
            <w:tcW w:w="534" w:type="dxa"/>
            <w:noWrap/>
          </w:tcPr>
          <w:p>
            <w:pPr>
              <w:snapToGrid w:val="0"/>
              <w:spacing w:line="360" w:lineRule="auto"/>
              <w:jc w:val="center"/>
              <w:rPr>
                <w:rFonts w:ascii="仿宋" w:hAnsi="仿宋" w:eastAsia="仿宋" w:cs="仿宋_GB2312"/>
                <w:sz w:val="29"/>
                <w:szCs w:val="29"/>
              </w:rPr>
            </w:pPr>
          </w:p>
        </w:tc>
        <w:tc>
          <w:tcPr>
            <w:tcW w:w="2743" w:type="dxa"/>
            <w:noWrap/>
            <w:vAlign w:val="center"/>
          </w:tcPr>
          <w:p>
            <w:pPr>
              <w:widowControl/>
              <w:snapToGrid w:val="0"/>
              <w:spacing w:line="360" w:lineRule="auto"/>
              <w:jc w:val="left"/>
              <w:rPr>
                <w:rFonts w:ascii="仿宋" w:hAnsi="仿宋" w:eastAsia="仿宋" w:cs="仿宋_GB2312"/>
                <w:kern w:val="0"/>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34" w:type="dxa"/>
            <w:noWrap/>
            <w:vAlign w:val="center"/>
          </w:tcPr>
          <w:p>
            <w:pPr>
              <w:widowControl/>
              <w:snapToGrid w:val="0"/>
              <w:spacing w:line="360" w:lineRule="auto"/>
              <w:jc w:val="center"/>
              <w:rPr>
                <w:rFonts w:ascii="仿宋" w:hAnsi="仿宋" w:eastAsia="仿宋" w:cs="仿宋_GB2312"/>
                <w:kern w:val="0"/>
                <w:sz w:val="29"/>
                <w:szCs w:val="29"/>
              </w:rPr>
            </w:pPr>
          </w:p>
        </w:tc>
        <w:tc>
          <w:tcPr>
            <w:tcW w:w="896" w:type="dxa"/>
            <w:vAlign w:val="center"/>
          </w:tcPr>
          <w:p>
            <w:pPr>
              <w:widowControl/>
              <w:snapToGrid w:val="0"/>
              <w:spacing w:line="360" w:lineRule="auto"/>
              <w:jc w:val="center"/>
              <w:rPr>
                <w:rFonts w:ascii="仿宋" w:hAnsi="仿宋" w:eastAsia="仿宋" w:cs="仿宋_GB2312"/>
                <w:kern w:val="0"/>
                <w:sz w:val="29"/>
                <w:szCs w:val="29"/>
              </w:rPr>
            </w:pPr>
          </w:p>
        </w:tc>
        <w:tc>
          <w:tcPr>
            <w:tcW w:w="2692" w:type="dxa"/>
            <w:vAlign w:val="center"/>
          </w:tcPr>
          <w:p>
            <w:pPr>
              <w:widowControl/>
              <w:snapToGrid w:val="0"/>
              <w:spacing w:line="360" w:lineRule="auto"/>
              <w:jc w:val="left"/>
              <w:rPr>
                <w:rFonts w:ascii="仿宋" w:hAnsi="仿宋" w:eastAsia="仿宋" w:cs="仿宋_GB2312"/>
                <w:kern w:val="0"/>
                <w:sz w:val="29"/>
                <w:szCs w:val="29"/>
              </w:rPr>
            </w:pPr>
          </w:p>
        </w:tc>
        <w:tc>
          <w:tcPr>
            <w:tcW w:w="534" w:type="dxa"/>
            <w:noWrap/>
          </w:tcPr>
          <w:p>
            <w:pPr>
              <w:snapToGrid w:val="0"/>
              <w:spacing w:line="360" w:lineRule="auto"/>
              <w:jc w:val="center"/>
              <w:rPr>
                <w:rFonts w:ascii="仿宋" w:hAnsi="仿宋" w:eastAsia="仿宋" w:cs="仿宋_GB2312"/>
                <w:sz w:val="29"/>
                <w:szCs w:val="29"/>
              </w:rPr>
            </w:pPr>
          </w:p>
        </w:tc>
        <w:tc>
          <w:tcPr>
            <w:tcW w:w="2743" w:type="dxa"/>
            <w:noWrap/>
            <w:vAlign w:val="center"/>
          </w:tcPr>
          <w:p>
            <w:pPr>
              <w:widowControl/>
              <w:snapToGrid w:val="0"/>
              <w:spacing w:line="360" w:lineRule="auto"/>
              <w:jc w:val="left"/>
              <w:rPr>
                <w:rFonts w:ascii="仿宋" w:hAnsi="仿宋" w:eastAsia="仿宋" w:cs="仿宋_GB2312"/>
                <w:kern w:val="0"/>
                <w:sz w:val="29"/>
                <w:szCs w:val="29"/>
              </w:rPr>
            </w:pPr>
          </w:p>
        </w:tc>
      </w:tr>
    </w:tbl>
    <w:p>
      <w:pPr>
        <w:spacing w:line="360" w:lineRule="auto"/>
        <w:ind w:firstLine="582" w:firstLineChars="200"/>
        <w:rPr>
          <w:rFonts w:ascii="仿宋" w:hAnsi="仿宋" w:eastAsia="仿宋"/>
          <w:b/>
          <w:kern w:val="0"/>
          <w:sz w:val="29"/>
          <w:szCs w:val="29"/>
        </w:rPr>
      </w:pPr>
      <w:r>
        <w:rPr>
          <w:rFonts w:hint="eastAsia" w:ascii="仿宋" w:hAnsi="仿宋" w:eastAsia="仿宋" w:cs="宋体"/>
          <w:b/>
          <w:bCs/>
          <w:color w:val="000000"/>
          <w:kern w:val="0"/>
          <w:sz w:val="29"/>
          <w:szCs w:val="29"/>
        </w:rPr>
        <w:t>在服务期内新增设备和虚拟主机一并纳入服务范围。</w:t>
      </w:r>
      <w:r>
        <w:rPr>
          <w:rFonts w:hint="eastAsia" w:ascii="仿宋" w:hAnsi="仿宋" w:eastAsia="仿宋"/>
          <w:b/>
          <w:kern w:val="0"/>
          <w:sz w:val="29"/>
          <w:szCs w:val="29"/>
        </w:rPr>
        <w:t>基础安全服务需定人定时定点开展服务。</w:t>
      </w:r>
    </w:p>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2.专业的网络安全服务</w:t>
      </w:r>
    </w:p>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（1）漏洞检测和处置服务</w:t>
      </w:r>
    </w:p>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对网络内主机（操作系统、中间件、数据库、应用软件）、安全设备等进行全网扫描，及时发现最新漏洞，并提交安全扫描报告（1次/月）。</w:t>
      </w:r>
    </w:p>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根据安全扫描报告，对安全隐患根据实际情况提供安全加固和系统优化。对需要其他第三方支持的（如需应用开发方修复的、原厂响应的），提供完善建议（1次/月）。</w:t>
      </w:r>
    </w:p>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（2）渗透性测试服务</w:t>
      </w:r>
    </w:p>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根据需求，在不影响系统正常运行的前提下对重要信息系统进行多维度的信息系统测试服务，发现存在的渗透可能的相关脆弱性指标。及时对脆弱性指标提出整改措施（1次/年）。</w:t>
      </w:r>
    </w:p>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（3）新应用上线安全服务</w:t>
      </w:r>
    </w:p>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若服务年度内，我单位有新应用上线的，在正式上线之前，对新应用进行扫描，并进行完整的风险评估，根据风险评估报告结果，协助用户方做好相应的整改工作。并协助做好重要信息系统的等级备案工作。</w:t>
      </w:r>
    </w:p>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（4）7×24小时网站监测服务</w:t>
      </w:r>
    </w:p>
    <w:p>
      <w:pPr>
        <w:widowControl/>
        <w:snapToGrid w:val="0"/>
        <w:spacing w:after="165" w:line="360" w:lineRule="auto"/>
        <w:ind w:firstLine="580" w:firstLineChars="200"/>
        <w:rPr>
          <w:rFonts w:ascii="仿宋" w:hAnsi="仿宋" w:eastAsia="仿宋"/>
          <w:kern w:val="0"/>
          <w:sz w:val="29"/>
          <w:szCs w:val="29"/>
        </w:rPr>
      </w:pPr>
      <w:r>
        <w:rPr>
          <w:rFonts w:hint="eastAsia" w:ascii="仿宋" w:hAnsi="仿宋" w:eastAsia="仿宋"/>
          <w:kern w:val="0"/>
          <w:sz w:val="29"/>
          <w:szCs w:val="29"/>
        </w:rPr>
        <w:t>提供远程网页挂马监测服务、远程网页篡改监测服务、远程网页敏感内容监测服务、远程网站平稳度监测服务、远程网站域名监测服务、远程钓鱼网站监测服务定期出具周期性的监测报告，让我校能实时掌握网站的风险状况及安全趋势，实时监测和周期度量网站的风险隐患。</w:t>
      </w:r>
    </w:p>
    <w:p>
      <w:pPr>
        <w:widowControl/>
        <w:snapToGrid w:val="0"/>
        <w:spacing w:after="165" w:line="360" w:lineRule="auto"/>
        <w:ind w:firstLine="580" w:firstLineChars="200"/>
        <w:rPr>
          <w:rFonts w:ascii="仿宋" w:hAnsi="仿宋" w:eastAsia="仿宋"/>
          <w:kern w:val="0"/>
          <w:sz w:val="29"/>
          <w:szCs w:val="29"/>
        </w:rPr>
      </w:pPr>
      <w:r>
        <w:rPr>
          <w:rFonts w:hint="eastAsia" w:ascii="仿宋" w:hAnsi="仿宋" w:eastAsia="仿宋"/>
          <w:kern w:val="0"/>
          <w:sz w:val="29"/>
          <w:szCs w:val="29"/>
        </w:rPr>
        <w:t>提供远程网页挂马监测服务，智能挂马检测技术，高效、准确识别网页挂马，第一时间通知我方清除，</w:t>
      </w:r>
    </w:p>
    <w:p>
      <w:pPr>
        <w:widowControl/>
        <w:snapToGrid w:val="0"/>
        <w:spacing w:after="165" w:line="360" w:lineRule="auto"/>
        <w:ind w:firstLine="580" w:firstLineChars="200"/>
        <w:rPr>
          <w:rFonts w:ascii="仿宋" w:hAnsi="仿宋" w:eastAsia="仿宋"/>
          <w:kern w:val="0"/>
          <w:sz w:val="29"/>
          <w:szCs w:val="29"/>
        </w:rPr>
      </w:pPr>
      <w:r>
        <w:rPr>
          <w:rFonts w:hint="eastAsia" w:ascii="仿宋" w:hAnsi="仿宋" w:eastAsia="仿宋"/>
          <w:kern w:val="0"/>
          <w:sz w:val="29"/>
          <w:szCs w:val="29"/>
        </w:rPr>
        <w:t>提供远程网页篡改监测服务，发现被篡改情况，第一时间及时修复。</w:t>
      </w:r>
    </w:p>
    <w:p>
      <w:pPr>
        <w:widowControl/>
        <w:snapToGrid w:val="0"/>
        <w:spacing w:after="165" w:line="360" w:lineRule="auto"/>
        <w:ind w:firstLine="580" w:firstLineChars="200"/>
        <w:rPr>
          <w:rFonts w:ascii="仿宋" w:hAnsi="仿宋" w:eastAsia="仿宋"/>
          <w:kern w:val="0"/>
          <w:sz w:val="29"/>
          <w:szCs w:val="29"/>
        </w:rPr>
      </w:pPr>
      <w:r>
        <w:rPr>
          <w:rFonts w:hint="eastAsia" w:ascii="仿宋" w:hAnsi="仿宋" w:eastAsia="仿宋"/>
          <w:kern w:val="0"/>
          <w:sz w:val="29"/>
          <w:szCs w:val="29"/>
        </w:rPr>
        <w:t>提供远程网页敏感内容监测服务，实时监测我校网站页面，发现存在敏感关键词，第一时间通知我校及时删除。</w:t>
      </w:r>
    </w:p>
    <w:p>
      <w:pPr>
        <w:widowControl/>
        <w:snapToGrid w:val="0"/>
        <w:spacing w:after="165" w:line="360" w:lineRule="auto"/>
        <w:ind w:firstLine="580" w:firstLineChars="200"/>
        <w:rPr>
          <w:rFonts w:ascii="仿宋" w:hAnsi="仿宋" w:eastAsia="仿宋"/>
          <w:kern w:val="0"/>
          <w:sz w:val="29"/>
          <w:szCs w:val="29"/>
        </w:rPr>
      </w:pPr>
      <w:r>
        <w:rPr>
          <w:rFonts w:hint="eastAsia" w:ascii="仿宋" w:hAnsi="仿宋" w:eastAsia="仿宋"/>
          <w:kern w:val="0"/>
          <w:sz w:val="29"/>
          <w:szCs w:val="29"/>
        </w:rPr>
        <w:t>提供远程网站平稳度监测服务，第三方服务机构实时监测我校站点的响应速度、首页加载时间等反映网站运营状况的内容，发现网站无法访问，第一时间通知我校恢复，减少业务中断给我校造成的经济损失。</w:t>
      </w:r>
    </w:p>
    <w:p>
      <w:pPr>
        <w:widowControl/>
        <w:snapToGrid w:val="0"/>
        <w:spacing w:after="165" w:line="360" w:lineRule="auto"/>
        <w:ind w:firstLine="580" w:firstLineChars="200"/>
        <w:rPr>
          <w:rFonts w:ascii="仿宋" w:hAnsi="仿宋" w:eastAsia="仿宋"/>
          <w:kern w:val="0"/>
          <w:sz w:val="29"/>
          <w:szCs w:val="29"/>
        </w:rPr>
      </w:pPr>
      <w:r>
        <w:rPr>
          <w:rFonts w:hint="eastAsia" w:ascii="仿宋" w:hAnsi="仿宋" w:eastAsia="仿宋"/>
          <w:kern w:val="0"/>
          <w:sz w:val="29"/>
          <w:szCs w:val="29"/>
        </w:rPr>
        <w:t>提供远程网站域名监测服务，第三方服务机构实时监测我校的DNS授权服务器及ISP的DNS缓存服务器和对我校网站域名的解析情况，如果无法解析或解析不正确，第一时间通知我校处理，减少域名不可用导致的业务损失。</w:t>
      </w:r>
    </w:p>
    <w:p>
      <w:pPr>
        <w:widowControl/>
        <w:snapToGrid w:val="0"/>
        <w:spacing w:after="165" w:line="360" w:lineRule="auto"/>
        <w:ind w:firstLine="580" w:firstLineChars="200"/>
        <w:rPr>
          <w:rFonts w:ascii="仿宋" w:hAnsi="仿宋" w:eastAsia="仿宋"/>
          <w:kern w:val="0"/>
          <w:sz w:val="29"/>
          <w:szCs w:val="29"/>
        </w:rPr>
      </w:pPr>
      <w:r>
        <w:rPr>
          <w:rFonts w:hint="eastAsia" w:ascii="仿宋" w:hAnsi="仿宋" w:eastAsia="仿宋"/>
          <w:kern w:val="0"/>
          <w:sz w:val="29"/>
          <w:szCs w:val="29"/>
        </w:rPr>
        <w:t>远程钓鱼网站监测服务，第三方服务机构实时监测互联网上存在的仿冒或钓鱼网站，一旦发现针对我校的仿冒或钓鱼网站，第一时间通知我校，协助拦截和关停，保护我校的经济利益和品牌信誉。</w:t>
      </w:r>
    </w:p>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3.咨询服务</w:t>
      </w:r>
    </w:p>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1）日常安全咨询：当软、硬件系统出现异常，怀疑为安全事件时，提供分析建议；当发生病毒爆发事件时，提供技术解决方式建议；当发生重大安全事件时，提供技术解决方式及系统加固建议，提供适当应急协调服务。</w:t>
      </w:r>
    </w:p>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2）安全规划和解决方案设计：提供信息系统安全建设的规划和方案设计服务，包含从项目立项、前期调研、可行性研究、方案设计、设备选型参考，招标书的制作以及项目管理辅助，项目验收辅助的整体的咨询服务解决方案。</w:t>
      </w:r>
    </w:p>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4.应急支持</w:t>
      </w:r>
    </w:p>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1）应急响应：在服务过程中，如客户遇到安全事故，须启动紧急技术支持服务，提供应急技术支撑团队提供紧急支持服务，制定响应措施，半小时内响应，24小时内解决，一般问题2小时解决问题。提供7*24热线支持，现场/远程技术支持最大限度地减少用户风险，快速排除故障。</w:t>
      </w:r>
    </w:p>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（2）应急演练：服务年度内协助我单位进行一次应急演练，并协助完成应急演练方案的修订。</w:t>
      </w:r>
    </w:p>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5.安全通告</w:t>
      </w:r>
    </w:p>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安全通告服务以邮件、电话、走访等方式，将安全技术和安全信息及时传递给客户。有重大安全隐患出现时，需及时通告，并针对重大安全隐患提出应对策略，协助做好应对工作。</w:t>
      </w:r>
    </w:p>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6.安全培训</w:t>
      </w:r>
    </w:p>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提供安全意识和技能培训服务，包含：网络架构知识培训、安全意识培训、信息和信息安全、风险管理和风险评估，不超过合同总额百分之五的技术培训，培训内容由甲方指定，以及网络及安全产品培训等项目。</w:t>
      </w:r>
    </w:p>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7.其他</w:t>
      </w:r>
    </w:p>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（1）配合完成上级管理单位要求的网络安全检查工作。</w:t>
      </w:r>
    </w:p>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（2）针对重大事件（会议、活动等），按用户要求提供系统保障。</w:t>
      </w:r>
    </w:p>
    <w:p>
      <w:pPr>
        <w:spacing w:line="360" w:lineRule="auto"/>
        <w:ind w:firstLine="580" w:firstLineChars="200"/>
        <w:rPr>
          <w:rFonts w:ascii="仿宋" w:hAnsi="仿宋" w:eastAsia="仿宋"/>
          <w:kern w:val="0"/>
          <w:sz w:val="29"/>
          <w:szCs w:val="29"/>
        </w:rPr>
      </w:pPr>
      <w:r>
        <w:rPr>
          <w:rFonts w:hint="eastAsia" w:ascii="仿宋" w:hAnsi="仿宋" w:eastAsia="仿宋"/>
          <w:kern w:val="0"/>
          <w:sz w:val="29"/>
          <w:szCs w:val="29"/>
        </w:rPr>
        <w:t>（3）配合完成</w:t>
      </w:r>
      <w:r>
        <w:rPr>
          <w:rFonts w:ascii="仿宋" w:hAnsi="仿宋" w:eastAsia="仿宋"/>
          <w:kern w:val="0"/>
          <w:sz w:val="29"/>
          <w:szCs w:val="29"/>
        </w:rPr>
        <w:t>所有信息系统的定级、备案工作。</w:t>
      </w:r>
    </w:p>
    <w:p>
      <w:pPr>
        <w:widowControl/>
        <w:shd w:val="clear" w:color="auto" w:fill="FFFFFF"/>
        <w:spacing w:line="480" w:lineRule="atLeast"/>
        <w:ind w:firstLine="437" w:firstLineChars="150"/>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四、项目价格与报价</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1、本项目供应商报价时需含人工费、设备费、税金等全部费用，包括设备调试费用、人员培训费及提供服务所需设备、配件等设备辅材等一切费用。本项目为固定总价，</w:t>
      </w:r>
      <w:r>
        <w:rPr>
          <w:rFonts w:hint="eastAsia" w:ascii="仿宋" w:hAnsi="仿宋" w:eastAsia="仿宋" w:cs="宋体"/>
          <w:color w:val="333333"/>
          <w:kern w:val="0"/>
          <w:sz w:val="29"/>
          <w:szCs w:val="29"/>
        </w:rPr>
        <w:t>请投标人认真按照要求报价。因报价和质量原因引起的损失，由投标人自行承担。</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2、本项目最高限价19.5万元。</w:t>
      </w:r>
    </w:p>
    <w:p>
      <w:pPr>
        <w:widowControl/>
        <w:shd w:val="clear" w:color="auto" w:fill="FFFFFF"/>
        <w:spacing w:line="480" w:lineRule="atLeast"/>
        <w:ind w:firstLine="555"/>
        <w:jc w:val="left"/>
        <w:rPr>
          <w:rFonts w:ascii="微软雅黑" w:hAnsi="微软雅黑" w:eastAsia="微软雅黑" w:cs="宋体"/>
          <w:b/>
          <w:color w:val="333333"/>
          <w:kern w:val="0"/>
          <w:sz w:val="24"/>
          <w:szCs w:val="24"/>
        </w:rPr>
      </w:pPr>
      <w:r>
        <w:rPr>
          <w:rFonts w:hint="eastAsia" w:ascii="仿宋" w:hAnsi="仿宋" w:eastAsia="仿宋" w:cs="宋体"/>
          <w:b/>
          <w:color w:val="333333"/>
          <w:kern w:val="0"/>
          <w:sz w:val="29"/>
          <w:szCs w:val="29"/>
        </w:rPr>
        <w:t>五、其他</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Cs/>
          <w:color w:val="333333"/>
          <w:kern w:val="0"/>
          <w:sz w:val="29"/>
        </w:rPr>
        <w:t>1、签定合同</w:t>
      </w:r>
      <w:r>
        <w:rPr>
          <w:rFonts w:hint="eastAsia" w:ascii="仿宋" w:hAnsi="仿宋" w:eastAsia="仿宋" w:cs="宋体"/>
          <w:b/>
          <w:bCs/>
          <w:color w:val="333333"/>
          <w:kern w:val="0"/>
          <w:sz w:val="29"/>
        </w:rPr>
        <w:t>：</w:t>
      </w:r>
      <w:r>
        <w:rPr>
          <w:rFonts w:hint="eastAsia" w:ascii="仿宋" w:hAnsi="仿宋" w:eastAsia="仿宋" w:cs="宋体"/>
          <w:color w:val="333333"/>
          <w:kern w:val="0"/>
          <w:sz w:val="29"/>
          <w:szCs w:val="29"/>
        </w:rPr>
        <w:t>自采购中心中标（成交）通知书发出之日起15个工作日内按时签约。本次项目招标价格为一年服务费。</w:t>
      </w:r>
    </w:p>
    <w:p>
      <w:pPr>
        <w:widowControl/>
        <w:shd w:val="clear" w:color="auto" w:fill="FFFFFF"/>
        <w:spacing w:line="480" w:lineRule="atLeast"/>
        <w:ind w:firstLine="555"/>
        <w:rPr>
          <w:rFonts w:ascii="仿宋" w:hAnsi="仿宋" w:eastAsia="仿宋" w:cs="宋体"/>
          <w:color w:val="333333"/>
          <w:kern w:val="0"/>
          <w:sz w:val="29"/>
          <w:szCs w:val="29"/>
        </w:rPr>
      </w:pPr>
      <w:r>
        <w:rPr>
          <w:rFonts w:hint="eastAsia" w:ascii="仿宋" w:hAnsi="仿宋" w:eastAsia="仿宋" w:cs="宋体"/>
          <w:color w:val="333333"/>
          <w:kern w:val="0"/>
          <w:sz w:val="29"/>
          <w:szCs w:val="29"/>
        </w:rPr>
        <w:t>2、付款：合同签订之日起半年后支付合同总额的50%，合同期满后支付剩余的50%。</w:t>
      </w:r>
    </w:p>
    <w:p>
      <w:pPr>
        <w:widowControl/>
        <w:shd w:val="clear" w:color="auto" w:fill="FFFFFF"/>
        <w:spacing w:line="300" w:lineRule="atLeast"/>
        <w:ind w:firstLine="580" w:firstLineChars="200"/>
        <w:rPr>
          <w:rFonts w:ascii="仿宋" w:hAnsi="仿宋" w:eastAsia="仿宋" w:cs="宋体"/>
          <w:bCs/>
          <w:color w:val="333333"/>
          <w:kern w:val="0"/>
          <w:sz w:val="29"/>
        </w:rPr>
      </w:pPr>
      <w:r>
        <w:rPr>
          <w:rFonts w:hint="eastAsia" w:ascii="仿宋" w:hAnsi="仿宋" w:eastAsia="仿宋" w:cs="宋体"/>
          <w:bCs/>
          <w:color w:val="333333"/>
          <w:kern w:val="0"/>
          <w:sz w:val="29"/>
        </w:rPr>
        <w:t>3、交货期（服务时间）：1年，自签订合同之日起开始。</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Cs/>
          <w:color w:val="333333"/>
          <w:kern w:val="0"/>
          <w:sz w:val="29"/>
        </w:rPr>
        <w:t>4、交货（服务）地点：</w:t>
      </w:r>
      <w:r>
        <w:rPr>
          <w:rFonts w:hint="eastAsia" w:ascii="仿宋" w:hAnsi="仿宋" w:eastAsia="仿宋" w:cs="宋体"/>
          <w:color w:val="333333"/>
          <w:kern w:val="0"/>
          <w:sz w:val="29"/>
          <w:szCs w:val="29"/>
        </w:rPr>
        <w:t>江苏省南通卫生高等职业技术学校。</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Cs/>
          <w:color w:val="333333"/>
          <w:kern w:val="0"/>
          <w:sz w:val="29"/>
        </w:rPr>
        <w:t>5、质保期限：</w:t>
      </w:r>
      <w:r>
        <w:rPr>
          <w:rFonts w:hint="eastAsia" w:ascii="仿宋" w:hAnsi="仿宋" w:eastAsia="仿宋" w:cs="宋体"/>
          <w:color w:val="333333"/>
          <w:kern w:val="0"/>
          <w:sz w:val="29"/>
          <w:szCs w:val="29"/>
        </w:rPr>
        <w:t>按合同要求执行。</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Cs/>
          <w:color w:val="333333"/>
          <w:kern w:val="0"/>
          <w:sz w:val="29"/>
        </w:rPr>
        <w:t>6、验收或考核的方案：</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（1）由招标人组织对中标人进行服务质量考核。有服务缺陷的，视情节轻重，每次扣服务费1%至10%。</w:t>
      </w:r>
    </w:p>
    <w:p>
      <w:pPr>
        <w:widowControl/>
        <w:shd w:val="clear" w:color="auto" w:fill="FFFFFF"/>
        <w:spacing w:line="480" w:lineRule="atLeast"/>
        <w:ind w:firstLine="580" w:firstLineChars="200"/>
        <w:jc w:val="left"/>
        <w:rPr>
          <w:rFonts w:ascii="仿宋" w:hAnsi="仿宋" w:eastAsia="仿宋" w:cs="宋体"/>
          <w:bCs/>
          <w:color w:val="333333"/>
          <w:kern w:val="0"/>
          <w:sz w:val="29"/>
        </w:rPr>
      </w:pPr>
      <w:r>
        <w:rPr>
          <w:rFonts w:hint="eastAsia" w:ascii="仿宋" w:hAnsi="仿宋" w:eastAsia="仿宋" w:cs="宋体"/>
          <w:bCs/>
          <w:color w:val="333333"/>
          <w:kern w:val="0"/>
          <w:sz w:val="29"/>
        </w:rPr>
        <w:t>（2）人员考核；故障报修，按服务单每单考评，出现一次差评，扣罚400元；日常维护，每周考评，出现一次差评，扣罚2000元。</w:t>
      </w:r>
      <w:r>
        <w:rPr>
          <w:rFonts w:hint="eastAsia" w:ascii="仿宋" w:hAnsi="仿宋" w:eastAsia="仿宋" w:cs="宋体"/>
          <w:color w:val="333333"/>
          <w:kern w:val="0"/>
          <w:sz w:val="29"/>
          <w:szCs w:val="29"/>
        </w:rPr>
        <w:t>人员考核扣罚费用直接从合同总额中扣除。</w:t>
      </w:r>
    </w:p>
    <w:p>
      <w:pPr>
        <w:widowControl/>
        <w:shd w:val="clear" w:color="auto" w:fill="FFFFFF"/>
        <w:spacing w:line="480" w:lineRule="atLeast"/>
        <w:ind w:firstLine="555"/>
        <w:jc w:val="left"/>
        <w:rPr>
          <w:rFonts w:ascii="仿宋" w:hAnsi="仿宋" w:eastAsia="仿宋" w:cs="宋体"/>
          <w:bCs/>
          <w:color w:val="333333"/>
          <w:kern w:val="0"/>
          <w:sz w:val="29"/>
        </w:rPr>
      </w:pPr>
      <w:r>
        <w:rPr>
          <w:rFonts w:hint="eastAsia" w:ascii="仿宋" w:hAnsi="仿宋" w:eastAsia="仿宋" w:cs="宋体"/>
          <w:bCs/>
          <w:color w:val="333333"/>
          <w:kern w:val="0"/>
          <w:sz w:val="29"/>
        </w:rPr>
        <w:t>7、售后服务及其他（含调试、培训、维护等）按合同约定。</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Cs/>
          <w:color w:val="333333"/>
          <w:kern w:val="0"/>
          <w:sz w:val="29"/>
        </w:rPr>
        <w:t>8、本项目招标文件资料费300元/份，递交投标文件时收取。</w:t>
      </w:r>
    </w:p>
    <w:p>
      <w:pPr>
        <w:widowControl/>
        <w:shd w:val="clear" w:color="auto" w:fill="FFFFFF"/>
        <w:spacing w:line="480" w:lineRule="atLeast"/>
        <w:ind w:firstLine="555"/>
        <w:jc w:val="left"/>
        <w:rPr>
          <w:rFonts w:ascii="仿宋" w:hAnsi="仿宋" w:eastAsia="仿宋" w:cs="宋体"/>
          <w:b/>
          <w:bCs/>
          <w:color w:val="333333"/>
          <w:kern w:val="0"/>
          <w:sz w:val="29"/>
        </w:rPr>
      </w:pPr>
      <w:r>
        <w:rPr>
          <w:rFonts w:hint="eastAsia" w:ascii="仿宋" w:hAnsi="仿宋" w:eastAsia="仿宋" w:cs="宋体"/>
          <w:b/>
          <w:bCs/>
          <w:color w:val="333333"/>
          <w:kern w:val="0"/>
          <w:sz w:val="29"/>
        </w:rPr>
        <w:t>六、投标须知</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一）供应商如有疑问，应在发布招标公告和招标文件后3日内以书面形式提出询问或疑问，未在规定的3日内提出询问或疑问的，视同供应商理解并接受本招标文件所有内容。供应商不得在招标结束后针对招标文件所有内容提出质疑事项。非书面形式的不作为日后质疑提出的依据。</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（二）招标文件的澄清、修改、答疑</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1．招标人有权对发出的招标文件进行必要的澄清或修改。</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2．招标人可视情取消、延长相关时间，不负责解释。</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3．招标人对招标文件的澄清、修改将构成招标文件的一部分，对供应商具有约束力。</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4．供应商由于对招标文件的任何推论和误解以及招标人对有关问题的口头解释所造成的后果，均由供应商自负。</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5．招标人视情组织答疑会。</w:t>
      </w:r>
    </w:p>
    <w:p>
      <w:pPr>
        <w:widowControl/>
        <w:shd w:val="clear" w:color="auto" w:fill="FFFFFF"/>
        <w:spacing w:line="480" w:lineRule="atLeast"/>
        <w:ind w:firstLine="435" w:firstLineChars="150"/>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（三）投标人自行承担投标发生的所有费用，招标人不收取任何费用。</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（四）投标保证金</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1、投标人缴纳投标保证金2000元，中标后即转为履约保证金。</w:t>
      </w:r>
      <w:r>
        <w:rPr>
          <w:rFonts w:hint="eastAsia" w:ascii="仿宋" w:hAnsi="仿宋" w:eastAsia="仿宋" w:cs="宋体"/>
          <w:color w:val="000000"/>
          <w:kern w:val="0"/>
          <w:sz w:val="29"/>
          <w:szCs w:val="29"/>
        </w:rPr>
        <w:t>投标保证金在投标时由投标人以现金形式提交保证金，保证金在投标时提交由招标人查验。</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2、投标人在递交投标材料时，未提交保证金查验的，视为放弃本次投标资格。</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3、缴纳保证金的投标人无故未参加投标的，招标人有权没收其保证金作为违约金。</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4、未中标的投标人保证金在开标结束后现场原额退还；中标人保证金在合同签订后转为合同履约保证金，项目验收合格交付后原额退还，合同另有规定的除外。</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5、中标人无正当理由拒绝签订合同的，招标人有权取消其中标资格，并有权扣除其投标保证金作为违约金。</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（五）投标文件编制</w:t>
      </w:r>
      <w:r>
        <w:rPr>
          <w:rFonts w:ascii="Arial" w:hAnsi="Arial" w:eastAsia="微软雅黑" w:cs="Arial"/>
          <w:b/>
          <w:bCs/>
          <w:color w:val="333333"/>
          <w:kern w:val="0"/>
          <w:sz w:val="29"/>
        </w:rPr>
        <w:t>  </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1、编制须知</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（1）投标人应仔细阅读招标文件的所有内容，按招标文件的下列要求编制投标文件。</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（2）招标人不接受电话、传真等形式的投标。</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2、编制要求</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投标文件装订牢固、装订成册。不允许使用活页夹、拉杆夹、文件夹、塑料方便式书脊（插入式或穿孔式）装订。投标文件不得行间插字、涂改、增删，如修补错漏处，须经投标文件签署人签字并加盖供应商公章。</w:t>
      </w:r>
    </w:p>
    <w:p>
      <w:pPr>
        <w:widowControl/>
        <w:shd w:val="clear" w:color="auto" w:fill="FFFFFF"/>
        <w:spacing w:line="480" w:lineRule="atLeast"/>
        <w:ind w:firstLine="555"/>
        <w:jc w:val="left"/>
        <w:rPr>
          <w:rFonts w:ascii="仿宋" w:hAnsi="仿宋" w:eastAsia="仿宋" w:cs="宋体"/>
          <w:b/>
          <w:bCs/>
          <w:color w:val="333333"/>
          <w:kern w:val="0"/>
          <w:sz w:val="32"/>
        </w:rPr>
      </w:pPr>
      <w:r>
        <w:rPr>
          <w:rFonts w:hint="eastAsia" w:ascii="仿宋" w:hAnsi="仿宋" w:eastAsia="仿宋" w:cs="宋体"/>
          <w:color w:val="333333"/>
          <w:kern w:val="0"/>
          <w:sz w:val="29"/>
          <w:szCs w:val="29"/>
        </w:rPr>
        <w:t>投标文件分为正本一份，副本一份，并注明“正本”和“副本”字样。正本与副本如有差异，以正本为准。正本和副本分别密封并在封签处加盖单位公章，并在封面上注明投标项目，投标人、联系电话等信息。</w:t>
      </w:r>
      <w:r>
        <w:rPr>
          <w:rFonts w:hint="eastAsia" w:ascii="仿宋" w:hAnsi="仿宋" w:eastAsia="仿宋" w:cs="宋体"/>
          <w:b/>
          <w:bCs/>
          <w:color w:val="333333"/>
          <w:kern w:val="0"/>
          <w:sz w:val="32"/>
        </w:rPr>
        <w:t>投标报价单须另用小信封密封，放入投标文件正本内，并在封面著名投标人，联系人，联系电话等信息。</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32"/>
        </w:rPr>
        <w:t>投标文件正本和副本包含以下第一、第二部分内容。</w:t>
      </w:r>
    </w:p>
    <w:p>
      <w:pPr>
        <w:widowControl/>
        <w:shd w:val="clear" w:color="auto" w:fill="FFFFFF"/>
        <w:spacing w:line="480" w:lineRule="atLeast"/>
        <w:ind w:firstLine="555"/>
        <w:jc w:val="left"/>
        <w:rPr>
          <w:rFonts w:ascii="微软雅黑" w:hAnsi="微软雅黑" w:eastAsia="微软雅黑" w:cs="宋体"/>
          <w:b/>
          <w:color w:val="333333"/>
          <w:kern w:val="0"/>
          <w:sz w:val="24"/>
          <w:szCs w:val="24"/>
        </w:rPr>
      </w:pPr>
      <w:r>
        <w:rPr>
          <w:rFonts w:hint="eastAsia" w:ascii="仿宋" w:hAnsi="仿宋" w:eastAsia="仿宋" w:cs="宋体"/>
          <w:b/>
          <w:color w:val="333333"/>
          <w:kern w:val="0"/>
          <w:sz w:val="29"/>
          <w:szCs w:val="29"/>
        </w:rPr>
        <w:t>第一部分，资格审查部分，</w:t>
      </w:r>
      <w:r>
        <w:rPr>
          <w:rFonts w:hint="eastAsia" w:ascii="仿宋" w:hAnsi="仿宋" w:eastAsia="仿宋" w:cs="宋体"/>
          <w:color w:val="333333"/>
          <w:kern w:val="0"/>
          <w:sz w:val="29"/>
          <w:szCs w:val="29"/>
        </w:rPr>
        <w:t>应包括下列内容，不得有缺项和漏项，否则作为废标认定。 所有材料复印件必须加盖单公章。</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（1）投标文件目录。</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（2）投标人营业执照（复印件加盖公章）。</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（3）法定代表人授权委托书及法定代表人和受委托人身份证复印件（法定代表人亲自参加招投标的除外）。</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（4）供应商近三年没有重大违法记录的书面声明（加盖供应商公章）；</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（5）供应商投标承诺书（格式见附件4，原件加盖供应商公章）；</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（6）驻场人员清单：提供运维人员名单（</w:t>
      </w:r>
      <w:r>
        <w:rPr>
          <w:rFonts w:hint="eastAsia" w:ascii="仿宋" w:hAnsi="仿宋" w:eastAsia="仿宋" w:cs="宋体"/>
          <w:b/>
          <w:color w:val="333333"/>
          <w:kern w:val="0"/>
          <w:sz w:val="29"/>
          <w:szCs w:val="29"/>
        </w:rPr>
        <w:t>中标后不得变更</w:t>
      </w:r>
      <w:r>
        <w:rPr>
          <w:rFonts w:hint="eastAsia" w:ascii="仿宋" w:hAnsi="仿宋" w:eastAsia="仿宋" w:cs="宋体"/>
          <w:color w:val="333333"/>
          <w:kern w:val="0"/>
          <w:sz w:val="29"/>
          <w:szCs w:val="29"/>
        </w:rPr>
        <w:t>）；提供运维人员近六个月的社保缴纳证明材料，加盖供应商公章；</w:t>
      </w:r>
    </w:p>
    <w:p>
      <w:pPr>
        <w:widowControl/>
        <w:shd w:val="clear" w:color="auto" w:fill="FFFFFF"/>
        <w:spacing w:line="480" w:lineRule="atLeast"/>
        <w:ind w:firstLine="580" w:firstLineChars="200"/>
        <w:jc w:val="left"/>
        <w:rPr>
          <w:rFonts w:ascii="仿宋" w:hAnsi="仿宋" w:eastAsia="仿宋" w:cs="宋体"/>
          <w:b/>
          <w:color w:val="333333"/>
          <w:kern w:val="0"/>
          <w:sz w:val="29"/>
          <w:szCs w:val="29"/>
        </w:rPr>
      </w:pPr>
      <w:r>
        <w:rPr>
          <w:rFonts w:hint="eastAsia" w:ascii="仿宋" w:hAnsi="仿宋" w:eastAsia="仿宋" w:cs="宋体"/>
          <w:color w:val="333333"/>
          <w:kern w:val="0"/>
          <w:sz w:val="29"/>
          <w:szCs w:val="29"/>
        </w:rPr>
        <w:t>（7）技术部分正负偏离表（见附件3，加盖供应商公章）。填制正负偏离表，完全响应的，请以空白表列示。不完全响应的，必须在偏离表中列示；列示不全的，视同故意隐瞒。</w:t>
      </w:r>
      <w:r>
        <w:rPr>
          <w:rFonts w:ascii="仿宋" w:hAnsi="仿宋" w:eastAsia="仿宋" w:cs="宋体"/>
          <w:color w:val="333333"/>
          <w:kern w:val="0"/>
          <w:sz w:val="29"/>
          <w:szCs w:val="29"/>
        </w:rPr>
        <w:br w:type="textWrapping"/>
      </w:r>
      <w:r>
        <w:rPr>
          <w:rFonts w:hint="eastAsia" w:ascii="仿宋" w:hAnsi="仿宋" w:eastAsia="仿宋" w:cs="宋体"/>
          <w:color w:val="333333"/>
          <w:kern w:val="0"/>
          <w:sz w:val="29"/>
          <w:szCs w:val="29"/>
        </w:rPr>
        <w:t xml:space="preserve">   </w:t>
      </w:r>
      <w:r>
        <w:rPr>
          <w:rFonts w:hint="eastAsia" w:ascii="仿宋" w:hAnsi="仿宋" w:eastAsia="仿宋" w:cs="宋体"/>
          <w:b/>
          <w:color w:val="333333"/>
          <w:kern w:val="0"/>
          <w:sz w:val="29"/>
          <w:szCs w:val="29"/>
        </w:rPr>
        <w:t xml:space="preserve"> 第二部分 技术审查部分</w:t>
      </w:r>
    </w:p>
    <w:p>
      <w:pPr>
        <w:widowControl/>
        <w:shd w:val="clear" w:color="auto" w:fill="FFFFFF"/>
        <w:spacing w:line="520" w:lineRule="exact"/>
        <w:ind w:firstLine="555"/>
        <w:jc w:val="left"/>
        <w:rPr>
          <w:rFonts w:ascii="仿宋" w:hAnsi="仿宋" w:eastAsia="仿宋" w:cs="宋体"/>
          <w:color w:val="333333"/>
          <w:kern w:val="0"/>
          <w:sz w:val="29"/>
          <w:szCs w:val="29"/>
        </w:rPr>
      </w:pPr>
      <w:r>
        <w:rPr>
          <w:rFonts w:hint="eastAsia" w:ascii="仿宋" w:hAnsi="仿宋" w:eastAsia="仿宋" w:cs="宋体"/>
          <w:b/>
          <w:color w:val="333333"/>
          <w:kern w:val="0"/>
          <w:sz w:val="29"/>
          <w:szCs w:val="29"/>
        </w:rPr>
        <w:t>根据第三大条项目需求和第八大条评分标准编制。（</w:t>
      </w:r>
      <w:r>
        <w:rPr>
          <w:rFonts w:hint="eastAsia" w:ascii="仿宋" w:hAnsi="仿宋" w:eastAsia="仿宋" w:cs="宋体"/>
          <w:color w:val="333333"/>
          <w:kern w:val="0"/>
          <w:sz w:val="29"/>
          <w:szCs w:val="29"/>
        </w:rPr>
        <w:t>提供企业情况、荣誉业绩、服务内容、响应内容、人员、设备性能参数、交货地点、安装调试、售后服务等内容。</w:t>
      </w:r>
      <w:r>
        <w:rPr>
          <w:rFonts w:hint="eastAsia" w:ascii="仿宋" w:hAnsi="仿宋" w:eastAsia="仿宋" w:cs="宋体"/>
          <w:b/>
          <w:color w:val="333333"/>
          <w:kern w:val="0"/>
          <w:sz w:val="29"/>
          <w:szCs w:val="29"/>
        </w:rPr>
        <w:t>）</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color w:val="333333"/>
          <w:kern w:val="0"/>
          <w:sz w:val="29"/>
          <w:szCs w:val="29"/>
        </w:rPr>
        <w:t>第三部分 投标报价单。</w:t>
      </w:r>
      <w:r>
        <w:rPr>
          <w:rFonts w:hint="eastAsia" w:ascii="仿宋" w:hAnsi="仿宋" w:eastAsia="仿宋" w:cs="宋体"/>
          <w:bCs/>
          <w:color w:val="333333"/>
          <w:kern w:val="0"/>
          <w:sz w:val="32"/>
        </w:rPr>
        <w:t>投标报价单须另用小信封密封，放入投标文件正本内，并在封面著名投标人，联系人，联系电话等信息。</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（四）投标</w:t>
      </w:r>
    </w:p>
    <w:p>
      <w:pPr>
        <w:widowControl/>
        <w:shd w:val="clear" w:color="auto" w:fill="FFFFFF"/>
        <w:spacing w:line="480" w:lineRule="atLeast"/>
        <w:ind w:firstLine="555"/>
        <w:jc w:val="left"/>
        <w:rPr>
          <w:rFonts w:ascii="仿宋" w:hAnsi="仿宋" w:eastAsia="仿宋" w:cs="宋体"/>
          <w:color w:val="333333"/>
          <w:kern w:val="0"/>
          <w:sz w:val="32"/>
          <w:szCs w:val="32"/>
        </w:rPr>
      </w:pPr>
      <w:r>
        <w:rPr>
          <w:rFonts w:hint="eastAsia" w:ascii="仿宋" w:hAnsi="仿宋" w:eastAsia="仿宋" w:cs="宋体"/>
          <w:color w:val="333333"/>
          <w:kern w:val="0"/>
          <w:sz w:val="29"/>
          <w:szCs w:val="29"/>
        </w:rPr>
        <w:t>（一）</w:t>
      </w:r>
      <w:r>
        <w:rPr>
          <w:rFonts w:hint="eastAsia" w:ascii="仿宋" w:hAnsi="仿宋" w:eastAsia="仿宋" w:cs="宋体"/>
          <w:color w:val="333333"/>
          <w:kern w:val="0"/>
          <w:sz w:val="32"/>
          <w:szCs w:val="32"/>
        </w:rPr>
        <w:t>投标截止时间：2020年</w:t>
      </w:r>
      <w:r>
        <w:rPr>
          <w:rFonts w:hint="eastAsia" w:ascii="仿宋" w:hAnsi="仿宋" w:eastAsia="仿宋" w:cs="仿宋"/>
          <w:color w:val="333333"/>
          <w:kern w:val="0"/>
          <w:sz w:val="32"/>
          <w:szCs w:val="32"/>
        </w:rPr>
        <w:t>11</w:t>
      </w:r>
      <w:r>
        <w:rPr>
          <w:rFonts w:hint="eastAsia" w:ascii="仿宋" w:hAnsi="仿宋" w:eastAsia="仿宋" w:cs="宋体"/>
          <w:color w:val="333333"/>
          <w:kern w:val="0"/>
          <w:sz w:val="32"/>
          <w:szCs w:val="32"/>
        </w:rPr>
        <w:t>月25日上午9:30时。</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（二）递交投标文件地点：新校区行政楼1408号室（振兴东路288号）</w:t>
      </w:r>
    </w:p>
    <w:p>
      <w:pPr>
        <w:widowControl/>
        <w:shd w:val="clear" w:color="auto" w:fill="FFFFFF"/>
        <w:spacing w:line="480" w:lineRule="atLeast"/>
        <w:ind w:left="567" w:firstLine="420"/>
        <w:rPr>
          <w:rFonts w:ascii="仿宋" w:hAnsi="仿宋" w:eastAsia="仿宋" w:cs="宋体"/>
          <w:color w:val="333333"/>
          <w:kern w:val="0"/>
          <w:sz w:val="29"/>
          <w:szCs w:val="29"/>
        </w:rPr>
      </w:pPr>
      <w:r>
        <w:rPr>
          <w:rFonts w:hint="eastAsia" w:ascii="仿宋" w:hAnsi="仿宋" w:eastAsia="仿宋" w:cs="宋体"/>
          <w:color w:val="333333"/>
          <w:kern w:val="0"/>
          <w:sz w:val="29"/>
          <w:szCs w:val="29"/>
        </w:rPr>
        <w:t>（三）投标联系人及电话：朱老师13912273137。</w:t>
      </w:r>
    </w:p>
    <w:p>
      <w:pPr>
        <w:widowControl/>
        <w:shd w:val="clear" w:color="auto" w:fill="FFFFFF"/>
        <w:spacing w:line="480" w:lineRule="atLeast"/>
        <w:ind w:left="567" w:firstLine="420"/>
        <w:rPr>
          <w:rFonts w:ascii="仿宋" w:hAnsi="仿宋" w:eastAsia="仿宋" w:cs="宋体"/>
          <w:color w:val="333333"/>
          <w:kern w:val="0"/>
          <w:sz w:val="29"/>
          <w:szCs w:val="29"/>
        </w:rPr>
      </w:pPr>
      <w:r>
        <w:rPr>
          <w:rFonts w:hint="eastAsia" w:ascii="仿宋" w:hAnsi="仿宋" w:eastAsia="仿宋" w:cs="宋体"/>
          <w:color w:val="333333"/>
          <w:kern w:val="0"/>
          <w:sz w:val="29"/>
          <w:szCs w:val="29"/>
        </w:rPr>
        <w:t xml:space="preserve">      项目联系人及电话;申老师  13921603300</w:t>
      </w:r>
    </w:p>
    <w:p>
      <w:pPr>
        <w:widowControl/>
        <w:shd w:val="clear" w:color="auto" w:fill="FFFFFF"/>
        <w:spacing w:line="480" w:lineRule="atLeast"/>
        <w:ind w:left="567" w:firstLine="420"/>
        <w:rPr>
          <w:rFonts w:ascii="微软雅黑" w:hAnsi="微软雅黑" w:eastAsia="微软雅黑" w:cs="宋体"/>
          <w:color w:val="333333"/>
          <w:kern w:val="0"/>
          <w:sz w:val="24"/>
          <w:szCs w:val="24"/>
        </w:rPr>
      </w:pPr>
      <w:r>
        <w:rPr>
          <w:rFonts w:hint="eastAsia" w:ascii="仿宋" w:hAnsi="仿宋" w:eastAsia="仿宋" w:cs="宋体"/>
          <w:b/>
          <w:bCs/>
          <w:color w:val="000000"/>
          <w:kern w:val="0"/>
          <w:sz w:val="29"/>
        </w:rPr>
        <w:t>以上时间和地点如有变动，招标人有权进行变更并通告，请投标人关注报名现场变更信息。</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七、开标</w:t>
      </w:r>
    </w:p>
    <w:p>
      <w:pPr>
        <w:widowControl/>
        <w:shd w:val="clear" w:color="auto" w:fill="FFFFFF"/>
        <w:spacing w:line="480" w:lineRule="atLeast"/>
        <w:ind w:firstLine="555"/>
        <w:rPr>
          <w:rFonts w:ascii="仿宋" w:hAnsi="仿宋" w:eastAsia="仿宋" w:cs="宋体"/>
          <w:color w:val="333333"/>
          <w:kern w:val="0"/>
          <w:sz w:val="32"/>
          <w:szCs w:val="32"/>
        </w:rPr>
      </w:pPr>
      <w:r>
        <w:rPr>
          <w:rFonts w:hint="eastAsia" w:ascii="仿宋" w:hAnsi="仿宋" w:eastAsia="仿宋" w:cs="宋体"/>
          <w:color w:val="000000"/>
          <w:kern w:val="0"/>
          <w:sz w:val="29"/>
          <w:szCs w:val="29"/>
        </w:rPr>
        <w:t>（一）</w:t>
      </w:r>
      <w:r>
        <w:rPr>
          <w:rFonts w:hint="eastAsia" w:ascii="仿宋" w:hAnsi="仿宋" w:eastAsia="仿宋" w:cs="宋体"/>
          <w:color w:val="333333"/>
          <w:kern w:val="0"/>
          <w:sz w:val="32"/>
          <w:szCs w:val="32"/>
        </w:rPr>
        <w:t>开标时间：2020年</w:t>
      </w:r>
      <w:r>
        <w:rPr>
          <w:rFonts w:hint="eastAsia" w:ascii="仿宋" w:hAnsi="仿宋" w:eastAsia="仿宋" w:cs="仿宋"/>
          <w:color w:val="333333"/>
          <w:kern w:val="0"/>
          <w:sz w:val="32"/>
          <w:szCs w:val="32"/>
        </w:rPr>
        <w:t>11</w:t>
      </w:r>
      <w:r>
        <w:rPr>
          <w:rFonts w:hint="eastAsia" w:ascii="仿宋" w:hAnsi="仿宋" w:eastAsia="仿宋" w:cs="宋体"/>
          <w:color w:val="333333"/>
          <w:kern w:val="0"/>
          <w:sz w:val="32"/>
          <w:szCs w:val="32"/>
        </w:rPr>
        <w:t>月25日上午9:30时。</w:t>
      </w:r>
    </w:p>
    <w:p>
      <w:pPr>
        <w:widowControl/>
        <w:shd w:val="clear" w:color="auto" w:fill="FFFFFF"/>
        <w:spacing w:line="480" w:lineRule="atLeast"/>
        <w:ind w:firstLine="1305" w:firstLineChars="450"/>
        <w:rPr>
          <w:rFonts w:ascii="仿宋" w:hAnsi="仿宋" w:eastAsia="仿宋" w:cs="宋体"/>
          <w:color w:val="333333"/>
          <w:kern w:val="0"/>
          <w:sz w:val="29"/>
          <w:szCs w:val="29"/>
        </w:rPr>
      </w:pPr>
      <w:r>
        <w:rPr>
          <w:rFonts w:hint="eastAsia" w:ascii="仿宋" w:hAnsi="仿宋" w:eastAsia="仿宋" w:cs="宋体"/>
          <w:color w:val="333333"/>
          <w:kern w:val="0"/>
          <w:sz w:val="29"/>
          <w:szCs w:val="29"/>
        </w:rPr>
        <w:t>开标地点：新校区行政楼1408号室（振兴东路288号）</w:t>
      </w:r>
    </w:p>
    <w:p>
      <w:pPr>
        <w:widowControl/>
        <w:shd w:val="clear" w:color="auto" w:fill="FFFFFF"/>
        <w:spacing w:line="480" w:lineRule="atLeast"/>
        <w:ind w:left="567" w:firstLine="420"/>
        <w:rPr>
          <w:rFonts w:ascii="微软雅黑" w:hAnsi="微软雅黑" w:eastAsia="微软雅黑" w:cs="宋体"/>
          <w:color w:val="333333"/>
          <w:kern w:val="0"/>
          <w:sz w:val="24"/>
          <w:szCs w:val="24"/>
        </w:rPr>
      </w:pPr>
      <w:r>
        <w:rPr>
          <w:rFonts w:hint="eastAsia" w:ascii="仿宋" w:hAnsi="仿宋" w:eastAsia="仿宋" w:cs="宋体"/>
          <w:b/>
          <w:bCs/>
          <w:color w:val="000000"/>
          <w:kern w:val="0"/>
          <w:sz w:val="29"/>
        </w:rPr>
        <w:t>以上时间和地点如有变动，招标人有权进行变更并通告，请投标人关注报名现场变更信息。</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（二）由招标人组织开标，投标人的法定代表人或授权人持有效身份证参加开标会。</w:t>
      </w:r>
    </w:p>
    <w:p>
      <w:pPr>
        <w:widowControl/>
        <w:shd w:val="clear" w:color="auto" w:fill="FFFFFF"/>
        <w:spacing w:line="480" w:lineRule="atLeast"/>
        <w:ind w:firstLine="555"/>
        <w:rPr>
          <w:rFonts w:ascii="仿宋" w:hAnsi="仿宋" w:eastAsia="仿宋" w:cs="宋体"/>
          <w:color w:val="000000"/>
          <w:kern w:val="0"/>
          <w:sz w:val="29"/>
          <w:szCs w:val="29"/>
        </w:rPr>
      </w:pPr>
      <w:r>
        <w:rPr>
          <w:rFonts w:hint="eastAsia" w:ascii="仿宋" w:hAnsi="仿宋" w:eastAsia="仿宋" w:cs="宋体"/>
          <w:color w:val="000000"/>
          <w:kern w:val="0"/>
          <w:sz w:val="29"/>
          <w:szCs w:val="29"/>
        </w:rPr>
        <w:t>（三）如评委会认为有必要，供应商按评委会的要求作陈述、演示、答疑及澄清其投标内容。时间由评委会掌握。重要澄清答复应是书面的，但不得对投标内容进行实质性修改。</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（四）无效投标的认定</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（1）投标文件未按照招标文件规定装订、密封、签署、盖章的。</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（2）不具备招标文件中规定的投标人资质要求的。</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（3）不符合法律、法规和招标文件中规定的其他实质性要求的。</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（六）关于流标的认定</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（1）符合专业条件的投标人或者对招标文件作出实质响应的投标人不足三家的。</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（2）出现影响采购公正的违法违规行为的。</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（3）投标人的报价均超过了采购预算，招标人不能支付的。</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（4）因重大原因，采购活动取消的。</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b/>
          <w:bCs/>
          <w:color w:val="000000"/>
          <w:kern w:val="0"/>
          <w:sz w:val="29"/>
        </w:rPr>
        <w:t>评标小组保留可以认定为无效投标或者流标的其他情况。</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八、中标</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（一）中标通知</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1、采用综合评分法，先进行资格审查，再进行技术评审，最后开价格标。按照供应商资质、技术能力、服务能力和报价均能满足采购招标需求要求且综合评分最高的为中标第一候选人，如得分有相同的，则技术标得分高的单位排名在前，如技术标得分也相同，则通过抽签方式确定排序。若中标单位放弃资格，由中标第二候选人单位中标，以此类推.</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2、评分标准</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商务技术部分评审结束后，再开启最后报价计算分值。总分值为100分，加分和减分因素除外，其中商务技术分70分，价格分30分。</w:t>
      </w:r>
    </w:p>
    <w:p>
      <w:pPr>
        <w:widowControl/>
        <w:shd w:val="clear" w:color="auto" w:fill="FFFFFF"/>
        <w:spacing w:line="480" w:lineRule="atLeast"/>
        <w:ind w:firstLine="555"/>
        <w:jc w:val="left"/>
        <w:rPr>
          <w:rFonts w:ascii="仿宋" w:hAnsi="仿宋" w:eastAsia="仿宋" w:cs="宋体"/>
          <w:color w:val="333333"/>
          <w:kern w:val="0"/>
          <w:sz w:val="29"/>
          <w:szCs w:val="29"/>
          <w:lang w:val="zh-CN"/>
        </w:rPr>
      </w:pPr>
      <w:r>
        <w:rPr>
          <w:rFonts w:hint="eastAsia" w:ascii="仿宋" w:hAnsi="仿宋" w:eastAsia="仿宋" w:cs="宋体"/>
          <w:b/>
          <w:bCs/>
          <w:color w:val="333333"/>
          <w:kern w:val="0"/>
          <w:sz w:val="29"/>
          <w:szCs w:val="29"/>
          <w:lang w:val="zh-CN"/>
        </w:rPr>
        <w:t>商务技术分</w:t>
      </w:r>
      <w:r>
        <w:rPr>
          <w:rFonts w:hint="eastAsia" w:ascii="仿宋" w:hAnsi="仿宋" w:eastAsia="仿宋" w:cs="宋体"/>
          <w:color w:val="333333"/>
          <w:kern w:val="0"/>
          <w:sz w:val="29"/>
          <w:szCs w:val="29"/>
          <w:lang w:val="zh-CN"/>
        </w:rPr>
        <w:t>：</w:t>
      </w:r>
      <w:r>
        <w:rPr>
          <w:rFonts w:hint="eastAsia" w:ascii="仿宋" w:hAnsi="仿宋" w:eastAsia="仿宋" w:cs="宋体"/>
          <w:color w:val="333333"/>
          <w:kern w:val="0"/>
          <w:sz w:val="29"/>
          <w:szCs w:val="29"/>
        </w:rPr>
        <w:t>70</w:t>
      </w:r>
      <w:r>
        <w:rPr>
          <w:rFonts w:hint="eastAsia" w:ascii="仿宋" w:hAnsi="仿宋" w:eastAsia="仿宋" w:cs="宋体"/>
          <w:color w:val="333333"/>
          <w:kern w:val="0"/>
          <w:sz w:val="29"/>
          <w:szCs w:val="29"/>
          <w:lang w:val="zh-CN"/>
        </w:rPr>
        <w:t>分（</w:t>
      </w:r>
      <w:r>
        <w:rPr>
          <w:rFonts w:hint="eastAsia" w:ascii="仿宋" w:hAnsi="仿宋" w:eastAsia="仿宋" w:cs="宋体"/>
          <w:color w:val="333333"/>
          <w:kern w:val="0"/>
          <w:sz w:val="29"/>
          <w:szCs w:val="29"/>
        </w:rPr>
        <w:t>供应商得分为磋商小组成员的算术平均分</w:t>
      </w:r>
      <w:r>
        <w:rPr>
          <w:rFonts w:hint="eastAsia" w:ascii="仿宋" w:hAnsi="仿宋" w:eastAsia="仿宋" w:cs="宋体"/>
          <w:color w:val="333333"/>
          <w:kern w:val="0"/>
          <w:sz w:val="29"/>
          <w:szCs w:val="29"/>
          <w:lang w:val="zh-CN"/>
        </w:rPr>
        <w:t>）</w:t>
      </w:r>
    </w:p>
    <w:tbl>
      <w:tblPr>
        <w:tblStyle w:val="8"/>
        <w:tblW w:w="9120" w:type="dxa"/>
        <w:tblInd w:w="91" w:type="dxa"/>
        <w:tblLayout w:type="fixed"/>
        <w:tblCellMar>
          <w:top w:w="0" w:type="dxa"/>
          <w:left w:w="108" w:type="dxa"/>
          <w:bottom w:w="0" w:type="dxa"/>
          <w:right w:w="108" w:type="dxa"/>
        </w:tblCellMar>
      </w:tblPr>
      <w:tblGrid>
        <w:gridCol w:w="584"/>
        <w:gridCol w:w="2221"/>
        <w:gridCol w:w="640"/>
        <w:gridCol w:w="5675"/>
      </w:tblGrid>
      <w:tr>
        <w:tblPrEx>
          <w:tblCellMar>
            <w:top w:w="0" w:type="dxa"/>
            <w:left w:w="108" w:type="dxa"/>
            <w:bottom w:w="0" w:type="dxa"/>
            <w:right w:w="108" w:type="dxa"/>
          </w:tblCellMar>
        </w:tblPrEx>
        <w:trPr>
          <w:trHeight w:val="397" w:hRule="atLeast"/>
        </w:trPr>
        <w:tc>
          <w:tcPr>
            <w:tcW w:w="5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222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评分点名称</w:t>
            </w:r>
          </w:p>
        </w:tc>
        <w:tc>
          <w:tcPr>
            <w:tcW w:w="6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分值</w:t>
            </w:r>
          </w:p>
        </w:tc>
        <w:tc>
          <w:tcPr>
            <w:tcW w:w="56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评审标准</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b/>
                <w:bCs/>
                <w:color w:val="000000"/>
                <w:kern w:val="0"/>
                <w:sz w:val="24"/>
                <w:szCs w:val="24"/>
              </w:rPr>
            </w:pPr>
            <w:r>
              <w:rPr>
                <w:rFonts w:ascii="仿宋" w:hAnsi="仿宋" w:eastAsia="仿宋" w:cs="宋体"/>
                <w:b/>
                <w:bCs/>
                <w:color w:val="000000"/>
                <w:kern w:val="0"/>
                <w:sz w:val="24"/>
                <w:szCs w:val="24"/>
              </w:rPr>
              <w:t>1</w:t>
            </w:r>
          </w:p>
        </w:tc>
        <w:tc>
          <w:tcPr>
            <w:tcW w:w="2221" w:type="dxa"/>
            <w:tcBorders>
              <w:top w:val="nil"/>
              <w:left w:val="nil"/>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公司资质</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r>
              <w:rPr>
                <w:rFonts w:ascii="仿宋" w:hAnsi="仿宋" w:eastAsia="仿宋" w:cs="宋体"/>
                <w:b/>
                <w:bCs/>
                <w:color w:val="000000"/>
                <w:kern w:val="0"/>
                <w:sz w:val="24"/>
                <w:szCs w:val="24"/>
              </w:rPr>
              <w:t>8</w:t>
            </w:r>
          </w:p>
        </w:tc>
        <w:tc>
          <w:tcPr>
            <w:tcW w:w="5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需提供证明材料复印件并加盖供应商公章。</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1.1</w:t>
            </w:r>
          </w:p>
        </w:tc>
        <w:tc>
          <w:tcPr>
            <w:tcW w:w="2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具有中国网络安全审查技术与认证中心（</w:t>
            </w:r>
            <w:r>
              <w:rPr>
                <w:rFonts w:ascii="仿宋" w:hAnsi="仿宋" w:eastAsia="仿宋" w:cs="宋体"/>
                <w:color w:val="000000"/>
                <w:kern w:val="0"/>
                <w:sz w:val="24"/>
                <w:szCs w:val="24"/>
              </w:rPr>
              <w:t>CCRC）颁发的信息安全风险评估服务资质</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p>
        </w:tc>
        <w:tc>
          <w:tcPr>
            <w:tcW w:w="5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具备中国网络安全审查技术与认证中心（</w:t>
            </w:r>
            <w:r>
              <w:rPr>
                <w:rFonts w:ascii="仿宋" w:hAnsi="仿宋" w:eastAsia="仿宋" w:cs="宋体"/>
                <w:color w:val="000000"/>
                <w:kern w:val="0"/>
                <w:sz w:val="24"/>
                <w:szCs w:val="24"/>
              </w:rPr>
              <w:t>CCRC）颁发的信息安全风险评估服务资质得2分，没有不得分。</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1.2</w:t>
            </w:r>
          </w:p>
        </w:tc>
        <w:tc>
          <w:tcPr>
            <w:tcW w:w="2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具有中国网络安全审查技术与认证中心（</w:t>
            </w:r>
            <w:r>
              <w:rPr>
                <w:rFonts w:ascii="仿宋" w:hAnsi="仿宋" w:eastAsia="仿宋" w:cs="宋体"/>
                <w:color w:val="000000"/>
                <w:kern w:val="0"/>
                <w:sz w:val="24"/>
                <w:szCs w:val="24"/>
              </w:rPr>
              <w:t>CCRC）颁发的信息系统</w:t>
            </w:r>
            <w:r>
              <w:rPr>
                <w:rFonts w:hint="eastAsia" w:ascii="仿宋" w:hAnsi="仿宋" w:eastAsia="仿宋" w:cs="宋体"/>
                <w:color w:val="000000"/>
                <w:kern w:val="0"/>
                <w:sz w:val="24"/>
                <w:szCs w:val="24"/>
              </w:rPr>
              <w:t>安全运维服务资质</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p>
        </w:tc>
        <w:tc>
          <w:tcPr>
            <w:tcW w:w="5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具备中国网络安全审查技术与认证中心（</w:t>
            </w:r>
            <w:r>
              <w:rPr>
                <w:rFonts w:ascii="仿宋" w:hAnsi="仿宋" w:eastAsia="仿宋" w:cs="宋体"/>
                <w:color w:val="000000"/>
                <w:kern w:val="0"/>
                <w:sz w:val="24"/>
                <w:szCs w:val="24"/>
              </w:rPr>
              <w:t>CCRC）颁发的信息系统</w:t>
            </w:r>
            <w:r>
              <w:rPr>
                <w:rFonts w:hint="eastAsia" w:ascii="仿宋" w:hAnsi="仿宋" w:eastAsia="仿宋" w:cs="宋体"/>
                <w:color w:val="000000"/>
                <w:kern w:val="0"/>
                <w:sz w:val="24"/>
                <w:szCs w:val="24"/>
              </w:rPr>
              <w:t>安全运维服务资质得</w:t>
            </w:r>
            <w:r>
              <w:rPr>
                <w:rFonts w:ascii="仿宋" w:hAnsi="仿宋" w:eastAsia="仿宋" w:cs="宋体"/>
                <w:color w:val="000000"/>
                <w:kern w:val="0"/>
                <w:sz w:val="24"/>
                <w:szCs w:val="24"/>
              </w:rPr>
              <w:t>2分，没有不得分。</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1.3</w:t>
            </w:r>
          </w:p>
        </w:tc>
        <w:tc>
          <w:tcPr>
            <w:tcW w:w="2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具有信息安全管理体系认证证书</w:t>
            </w:r>
            <w:r>
              <w:rPr>
                <w:rFonts w:ascii="仿宋" w:hAnsi="仿宋" w:eastAsia="仿宋" w:cs="宋体"/>
                <w:color w:val="000000"/>
                <w:kern w:val="0"/>
                <w:sz w:val="24"/>
                <w:szCs w:val="24"/>
              </w:rPr>
              <w:t>(ISO27001)</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p>
        </w:tc>
        <w:tc>
          <w:tcPr>
            <w:tcW w:w="5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具备信息安全管理体系认证证书</w:t>
            </w:r>
            <w:r>
              <w:rPr>
                <w:rFonts w:ascii="仿宋" w:hAnsi="仿宋" w:eastAsia="仿宋" w:cs="宋体"/>
                <w:color w:val="000000"/>
                <w:kern w:val="0"/>
                <w:sz w:val="24"/>
                <w:szCs w:val="24"/>
              </w:rPr>
              <w:t>(ISO27001)得2分，没有不得分。</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1.4</w:t>
            </w:r>
          </w:p>
        </w:tc>
        <w:tc>
          <w:tcPr>
            <w:tcW w:w="2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具有质量管理体系认证证书（</w:t>
            </w:r>
            <w:r>
              <w:rPr>
                <w:rFonts w:ascii="仿宋" w:hAnsi="仿宋" w:eastAsia="仿宋" w:cs="宋体"/>
                <w:color w:val="000000"/>
                <w:kern w:val="0"/>
                <w:sz w:val="24"/>
                <w:szCs w:val="24"/>
              </w:rPr>
              <w:t>ISO9001）</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p>
        </w:tc>
        <w:tc>
          <w:tcPr>
            <w:tcW w:w="5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具备质量管理体系认证证书（</w:t>
            </w:r>
            <w:r>
              <w:rPr>
                <w:rFonts w:ascii="仿宋" w:hAnsi="仿宋" w:eastAsia="仿宋" w:cs="宋体"/>
                <w:color w:val="000000"/>
                <w:kern w:val="0"/>
                <w:sz w:val="24"/>
                <w:szCs w:val="24"/>
              </w:rPr>
              <w:t>ISO9001）得2分，没有不得分。</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b/>
                <w:bCs/>
                <w:color w:val="000000"/>
                <w:kern w:val="0"/>
                <w:sz w:val="24"/>
                <w:szCs w:val="24"/>
              </w:rPr>
            </w:pPr>
            <w:r>
              <w:rPr>
                <w:rFonts w:ascii="仿宋" w:hAnsi="仿宋" w:eastAsia="仿宋" w:cs="宋体"/>
                <w:b/>
                <w:bCs/>
                <w:color w:val="000000"/>
                <w:kern w:val="0"/>
                <w:sz w:val="24"/>
                <w:szCs w:val="24"/>
              </w:rPr>
              <w:t>2</w:t>
            </w:r>
          </w:p>
        </w:tc>
        <w:tc>
          <w:tcPr>
            <w:tcW w:w="2221" w:type="dxa"/>
            <w:tcBorders>
              <w:top w:val="nil"/>
              <w:left w:val="nil"/>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技术实力（一）</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r>
              <w:rPr>
                <w:rFonts w:ascii="仿宋" w:hAnsi="仿宋" w:eastAsia="仿宋" w:cs="宋体"/>
                <w:b/>
                <w:bCs/>
                <w:color w:val="000000"/>
                <w:kern w:val="0"/>
                <w:sz w:val="24"/>
                <w:szCs w:val="24"/>
              </w:rPr>
              <w:t>12</w:t>
            </w:r>
          </w:p>
        </w:tc>
        <w:tc>
          <w:tcPr>
            <w:tcW w:w="5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需提供证明供应商的技术实力材料并加盖供应商公章</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2.1</w:t>
            </w:r>
          </w:p>
        </w:tc>
        <w:tc>
          <w:tcPr>
            <w:tcW w:w="2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投标企业连续三年在</w:t>
            </w:r>
            <w:r>
              <w:rPr>
                <w:rFonts w:ascii="仿宋" w:hAnsi="仿宋" w:eastAsia="仿宋" w:cs="宋体"/>
                <w:color w:val="000000"/>
                <w:kern w:val="0"/>
                <w:sz w:val="24"/>
                <w:szCs w:val="24"/>
              </w:rPr>
              <w:t>CNAS能力验证结果</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5</w:t>
            </w:r>
          </w:p>
        </w:tc>
        <w:tc>
          <w:tcPr>
            <w:tcW w:w="5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连续三年在</w:t>
            </w:r>
            <w:r>
              <w:rPr>
                <w:rFonts w:ascii="仿宋" w:hAnsi="仿宋" w:eastAsia="仿宋" w:cs="宋体"/>
                <w:color w:val="000000"/>
                <w:kern w:val="0"/>
                <w:sz w:val="24"/>
                <w:szCs w:val="24"/>
              </w:rPr>
              <w:t>CNAS能力验证结果均为“满意”的得5分，其余不得分。</w:t>
            </w:r>
            <w:r>
              <w:rPr>
                <w:rFonts w:hint="eastAsia" w:ascii="仿宋" w:hAnsi="仿宋" w:eastAsia="仿宋" w:cs="宋体"/>
                <w:b/>
                <w:bCs/>
                <w:color w:val="000000"/>
                <w:kern w:val="0"/>
                <w:sz w:val="24"/>
                <w:szCs w:val="24"/>
              </w:rPr>
              <w:t>证明材料：提供中国合格评定国家认可委员会出具的能力验证计划结果证书复印件并加盖投标企业公章。</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2.2</w:t>
            </w:r>
          </w:p>
        </w:tc>
        <w:tc>
          <w:tcPr>
            <w:tcW w:w="2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投标企业出具任意一年</w:t>
            </w:r>
            <w:r>
              <w:rPr>
                <w:rFonts w:ascii="仿宋" w:hAnsi="仿宋" w:eastAsia="仿宋" w:cs="宋体"/>
                <w:color w:val="000000"/>
                <w:kern w:val="0"/>
                <w:sz w:val="24"/>
                <w:szCs w:val="24"/>
              </w:rPr>
              <w:t>CNAS能力验证计划结果通知单</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7</w:t>
            </w:r>
          </w:p>
        </w:tc>
        <w:tc>
          <w:tcPr>
            <w:tcW w:w="5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总得分最高得</w:t>
            </w:r>
            <w:r>
              <w:rPr>
                <w:rFonts w:ascii="仿宋" w:hAnsi="仿宋" w:eastAsia="仿宋" w:cs="宋体"/>
                <w:color w:val="000000"/>
                <w:kern w:val="0"/>
                <w:sz w:val="24"/>
                <w:szCs w:val="24"/>
              </w:rPr>
              <w:t>7分，其余不得分。</w:t>
            </w:r>
            <w:r>
              <w:rPr>
                <w:rFonts w:hint="eastAsia" w:ascii="仿宋" w:hAnsi="仿宋" w:eastAsia="仿宋" w:cs="宋体"/>
                <w:b/>
                <w:bCs/>
                <w:color w:val="000000"/>
                <w:kern w:val="0"/>
                <w:sz w:val="24"/>
                <w:szCs w:val="24"/>
              </w:rPr>
              <w:t>证明材料：提供中国合格评定国家认可委员会出具的能力验证计划结果通知单复印件并加盖投标企业公章。</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b/>
                <w:color w:val="000000"/>
                <w:kern w:val="0"/>
                <w:sz w:val="24"/>
                <w:szCs w:val="24"/>
              </w:rPr>
              <w:t>3</w:t>
            </w:r>
          </w:p>
        </w:tc>
        <w:tc>
          <w:tcPr>
            <w:tcW w:w="2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b/>
                <w:color w:val="000000"/>
                <w:kern w:val="0"/>
                <w:sz w:val="24"/>
                <w:szCs w:val="24"/>
              </w:rPr>
              <w:t>技术实力（二）</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10</w:t>
            </w:r>
          </w:p>
        </w:tc>
        <w:tc>
          <w:tcPr>
            <w:tcW w:w="5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承担本次项目的项目负责人（唯一）具备</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3.1</w:t>
            </w:r>
          </w:p>
        </w:tc>
        <w:tc>
          <w:tcPr>
            <w:tcW w:w="2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高级测评师证书</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p>
        </w:tc>
        <w:tc>
          <w:tcPr>
            <w:tcW w:w="5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具备高级测评师证书得</w:t>
            </w:r>
            <w:r>
              <w:rPr>
                <w:rFonts w:ascii="仿宋" w:hAnsi="仿宋" w:eastAsia="仿宋" w:cs="宋体"/>
                <w:color w:val="000000"/>
                <w:kern w:val="0"/>
                <w:sz w:val="24"/>
                <w:szCs w:val="24"/>
              </w:rPr>
              <w:t>2分，没有不得分。</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3.2</w:t>
            </w:r>
          </w:p>
        </w:tc>
        <w:tc>
          <w:tcPr>
            <w:tcW w:w="2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重要信息系统安全等级保护培训证书</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p>
        </w:tc>
        <w:tc>
          <w:tcPr>
            <w:tcW w:w="5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具备重要信息系统安全等级保护培训证书（</w:t>
            </w:r>
            <w:r>
              <w:rPr>
                <w:rFonts w:ascii="仿宋" w:hAnsi="仿宋" w:eastAsia="仿宋" w:cs="宋体"/>
                <w:color w:val="000000"/>
                <w:kern w:val="0"/>
                <w:sz w:val="24"/>
                <w:szCs w:val="24"/>
              </w:rPr>
              <w:t>CIIP-T）得2分，没有不得分。</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3.3</w:t>
            </w:r>
          </w:p>
        </w:tc>
        <w:tc>
          <w:tcPr>
            <w:tcW w:w="2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信息安全保障人员认证证书（</w:t>
            </w:r>
            <w:r>
              <w:rPr>
                <w:rFonts w:ascii="仿宋" w:hAnsi="仿宋" w:eastAsia="仿宋" w:cs="宋体"/>
                <w:color w:val="000000"/>
                <w:kern w:val="0"/>
                <w:sz w:val="24"/>
                <w:szCs w:val="24"/>
              </w:rPr>
              <w:t>CISAW）</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p>
        </w:tc>
        <w:tc>
          <w:tcPr>
            <w:tcW w:w="5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具备信息安全保障人员认证证书（</w:t>
            </w:r>
            <w:r>
              <w:rPr>
                <w:rFonts w:ascii="仿宋" w:hAnsi="仿宋" w:eastAsia="仿宋" w:cs="宋体"/>
                <w:color w:val="000000"/>
                <w:kern w:val="0"/>
                <w:sz w:val="24"/>
                <w:szCs w:val="24"/>
              </w:rPr>
              <w:t>CISAW）得2分，没有不得分。</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3.4</w:t>
            </w:r>
          </w:p>
        </w:tc>
        <w:tc>
          <w:tcPr>
            <w:tcW w:w="2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注册信息安全工程师证书（</w:t>
            </w:r>
            <w:r>
              <w:rPr>
                <w:rFonts w:ascii="仿宋" w:hAnsi="仿宋" w:eastAsia="仿宋" w:cs="宋体"/>
                <w:color w:val="000000"/>
                <w:kern w:val="0"/>
                <w:sz w:val="24"/>
                <w:szCs w:val="24"/>
              </w:rPr>
              <w:t>CISP）</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p>
        </w:tc>
        <w:tc>
          <w:tcPr>
            <w:tcW w:w="5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具备注册信息安全工程师证书（</w:t>
            </w:r>
            <w:r>
              <w:rPr>
                <w:rFonts w:ascii="仿宋" w:hAnsi="仿宋" w:eastAsia="仿宋" w:cs="宋体"/>
                <w:color w:val="000000"/>
                <w:kern w:val="0"/>
                <w:sz w:val="24"/>
                <w:szCs w:val="24"/>
              </w:rPr>
              <w:t>CISP）得2分，没有不得分。</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3.5</w:t>
            </w:r>
          </w:p>
        </w:tc>
        <w:tc>
          <w:tcPr>
            <w:tcW w:w="2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仿宋" w:hAnsi="仿宋" w:eastAsia="仿宋" w:cs="宋体"/>
                <w:color w:val="000000"/>
                <w:kern w:val="0"/>
                <w:sz w:val="24"/>
                <w:szCs w:val="24"/>
              </w:rPr>
              <w:t>(ISC)</w:t>
            </w:r>
            <w:r>
              <w:rPr>
                <w:rFonts w:hint="eastAsia" w:ascii="宋体" w:hAnsi="宋体" w:eastAsia="宋体" w:cs="宋体"/>
                <w:color w:val="000000"/>
                <w:kern w:val="0"/>
                <w:sz w:val="24"/>
                <w:szCs w:val="24"/>
              </w:rPr>
              <w:t>²</w:t>
            </w:r>
            <w:r>
              <w:rPr>
                <w:rFonts w:hint="eastAsia" w:ascii="仿宋" w:hAnsi="仿宋" w:eastAsia="仿宋" w:cs="仿宋"/>
                <w:color w:val="000000"/>
                <w:kern w:val="0"/>
                <w:sz w:val="24"/>
                <w:szCs w:val="24"/>
              </w:rPr>
              <w:t>注册信息系统安全专家证书（</w:t>
            </w:r>
            <w:r>
              <w:rPr>
                <w:rFonts w:ascii="仿宋" w:hAnsi="仿宋" w:eastAsia="仿宋" w:cs="宋体"/>
                <w:color w:val="000000"/>
                <w:kern w:val="0"/>
                <w:sz w:val="24"/>
                <w:szCs w:val="24"/>
              </w:rPr>
              <w:t>CISSP）</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p>
        </w:tc>
        <w:tc>
          <w:tcPr>
            <w:tcW w:w="5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具备</w:t>
            </w:r>
            <w:r>
              <w:rPr>
                <w:rFonts w:ascii="仿宋" w:hAnsi="仿宋" w:eastAsia="仿宋" w:cs="宋体"/>
                <w:color w:val="000000"/>
                <w:kern w:val="0"/>
                <w:sz w:val="24"/>
                <w:szCs w:val="24"/>
              </w:rPr>
              <w:t>(ISC)</w:t>
            </w:r>
            <w:r>
              <w:rPr>
                <w:rFonts w:hint="eastAsia" w:ascii="宋体" w:hAnsi="宋体" w:eastAsia="宋体" w:cs="宋体"/>
                <w:color w:val="000000"/>
                <w:kern w:val="0"/>
                <w:sz w:val="24"/>
                <w:szCs w:val="24"/>
              </w:rPr>
              <w:t>²</w:t>
            </w:r>
            <w:r>
              <w:rPr>
                <w:rFonts w:hint="eastAsia" w:ascii="仿宋" w:hAnsi="仿宋" w:eastAsia="仿宋" w:cs="仿宋"/>
                <w:color w:val="000000"/>
                <w:kern w:val="0"/>
                <w:sz w:val="24"/>
                <w:szCs w:val="24"/>
              </w:rPr>
              <w:t>注册信息系统安全专家证书（</w:t>
            </w:r>
            <w:r>
              <w:rPr>
                <w:rFonts w:ascii="仿宋" w:hAnsi="仿宋" w:eastAsia="仿宋" w:cs="宋体"/>
                <w:color w:val="000000"/>
                <w:kern w:val="0"/>
                <w:sz w:val="24"/>
                <w:szCs w:val="24"/>
              </w:rPr>
              <w:t>CISSP）得2分，没有不得分。</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b/>
                <w:color w:val="000000"/>
                <w:kern w:val="0"/>
                <w:sz w:val="24"/>
                <w:szCs w:val="24"/>
              </w:rPr>
            </w:pPr>
            <w:r>
              <w:rPr>
                <w:rFonts w:ascii="仿宋" w:hAnsi="仿宋" w:eastAsia="仿宋" w:cs="宋体"/>
                <w:b/>
                <w:color w:val="000000"/>
                <w:kern w:val="0"/>
                <w:sz w:val="24"/>
                <w:szCs w:val="24"/>
              </w:rPr>
              <w:t>4</w:t>
            </w:r>
          </w:p>
        </w:tc>
        <w:tc>
          <w:tcPr>
            <w:tcW w:w="2221" w:type="dxa"/>
            <w:tcBorders>
              <w:top w:val="nil"/>
              <w:left w:val="nil"/>
              <w:bottom w:val="single" w:color="auto" w:sz="4" w:space="0"/>
              <w:right w:val="single" w:color="auto" w:sz="4" w:space="0"/>
            </w:tcBorders>
            <w:vAlign w:val="center"/>
          </w:tcPr>
          <w:p>
            <w:pPr>
              <w:widowControl/>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技术实力（三）</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4"/>
                <w:szCs w:val="24"/>
              </w:rPr>
            </w:pPr>
            <w:r>
              <w:rPr>
                <w:rFonts w:ascii="仿宋" w:hAnsi="仿宋" w:eastAsia="仿宋" w:cs="宋体"/>
                <w:b/>
                <w:color w:val="000000"/>
                <w:kern w:val="0"/>
                <w:sz w:val="24"/>
                <w:szCs w:val="24"/>
              </w:rPr>
              <w:t>16</w:t>
            </w:r>
          </w:p>
        </w:tc>
        <w:tc>
          <w:tcPr>
            <w:tcW w:w="5675" w:type="dxa"/>
            <w:tcBorders>
              <w:top w:val="nil"/>
              <w:left w:val="nil"/>
              <w:bottom w:val="single" w:color="auto" w:sz="4" w:space="0"/>
              <w:right w:val="single" w:color="auto" w:sz="4" w:space="0"/>
            </w:tcBorders>
            <w:vAlign w:val="center"/>
          </w:tcPr>
          <w:p>
            <w:pPr>
              <w:widowControl/>
              <w:tabs>
                <w:tab w:val="center" w:pos="4153"/>
                <w:tab w:val="right" w:pos="8306"/>
              </w:tabs>
              <w:snapToGri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承担本次项目的项目团队人员（除项目组负责人）具备</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4.1</w:t>
            </w:r>
          </w:p>
        </w:tc>
        <w:tc>
          <w:tcPr>
            <w:tcW w:w="2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高级测评师</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p>
        </w:tc>
        <w:tc>
          <w:tcPr>
            <w:tcW w:w="5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每有一人得</w:t>
            </w:r>
            <w:r>
              <w:rPr>
                <w:rFonts w:ascii="仿宋" w:hAnsi="仿宋" w:eastAsia="仿宋" w:cs="宋体"/>
                <w:color w:val="000000"/>
                <w:kern w:val="0"/>
                <w:sz w:val="24"/>
                <w:szCs w:val="24"/>
              </w:rPr>
              <w:t>1分，最高得</w:t>
            </w:r>
            <w:r>
              <w:rPr>
                <w:rFonts w:hint="eastAsia" w:ascii="仿宋" w:hAnsi="仿宋" w:eastAsia="仿宋" w:cs="宋体"/>
                <w:color w:val="000000"/>
                <w:kern w:val="0"/>
                <w:sz w:val="24"/>
                <w:szCs w:val="24"/>
              </w:rPr>
              <w:t>2</w:t>
            </w:r>
            <w:r>
              <w:rPr>
                <w:rFonts w:ascii="仿宋" w:hAnsi="仿宋" w:eastAsia="仿宋" w:cs="宋体"/>
                <w:color w:val="000000"/>
                <w:kern w:val="0"/>
                <w:sz w:val="24"/>
                <w:szCs w:val="24"/>
              </w:rPr>
              <w:t>分。证明材料：提供项目组成员高级</w:t>
            </w:r>
            <w:r>
              <w:rPr>
                <w:rFonts w:hint="eastAsia" w:ascii="仿宋" w:hAnsi="仿宋" w:eastAsia="仿宋" w:cs="宋体"/>
                <w:color w:val="000000"/>
                <w:kern w:val="0"/>
                <w:sz w:val="24"/>
                <w:szCs w:val="24"/>
              </w:rPr>
              <w:t>测评师证书复印件加盖公章并提供近三个月社保记录复印件加盖投标企业公章。</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4.2</w:t>
            </w:r>
          </w:p>
        </w:tc>
        <w:tc>
          <w:tcPr>
            <w:tcW w:w="2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信息安全保障人员</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6</w:t>
            </w:r>
          </w:p>
        </w:tc>
        <w:tc>
          <w:tcPr>
            <w:tcW w:w="5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每有一人得</w:t>
            </w:r>
            <w:r>
              <w:rPr>
                <w:rFonts w:ascii="仿宋" w:hAnsi="仿宋" w:eastAsia="仿宋" w:cs="宋体"/>
                <w:color w:val="000000"/>
                <w:kern w:val="0"/>
                <w:sz w:val="24"/>
                <w:szCs w:val="24"/>
              </w:rPr>
              <w:t>2分，最高得6分。证明材料：提供项目组成员信息安全保障人员认证证书（CISAW）复印件加盖公章并提供近三个月社保记录复印件加盖投标企业公章。</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4.3</w:t>
            </w:r>
          </w:p>
        </w:tc>
        <w:tc>
          <w:tcPr>
            <w:tcW w:w="2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重要信息系统安全等级保护培训人员</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4</w:t>
            </w:r>
          </w:p>
        </w:tc>
        <w:tc>
          <w:tcPr>
            <w:tcW w:w="5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每有一人得</w:t>
            </w:r>
            <w:r>
              <w:rPr>
                <w:rFonts w:ascii="仿宋" w:hAnsi="仿宋" w:eastAsia="仿宋" w:cs="宋体"/>
                <w:color w:val="000000"/>
                <w:kern w:val="0"/>
                <w:sz w:val="24"/>
                <w:szCs w:val="24"/>
              </w:rPr>
              <w:t>2分，最高得4分。证明材料：提供项目组成员重要信息系统安全等级保护培训证书（CIIP-T）证书复印件加盖公章并提供近三个月社保记录复印件加盖投标企业公章。</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4.4</w:t>
            </w:r>
          </w:p>
        </w:tc>
        <w:tc>
          <w:tcPr>
            <w:tcW w:w="2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仿宋" w:hAnsi="仿宋" w:eastAsia="仿宋" w:cs="宋体"/>
                <w:color w:val="000000"/>
                <w:kern w:val="0"/>
                <w:sz w:val="24"/>
                <w:szCs w:val="24"/>
              </w:rPr>
              <w:t>ISG技能鉴定合格</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p>
        </w:tc>
        <w:tc>
          <w:tcPr>
            <w:tcW w:w="5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具备得</w:t>
            </w:r>
            <w:r>
              <w:rPr>
                <w:rFonts w:ascii="仿宋" w:hAnsi="仿宋" w:eastAsia="仿宋" w:cs="宋体"/>
                <w:color w:val="000000"/>
                <w:kern w:val="0"/>
                <w:sz w:val="24"/>
                <w:szCs w:val="24"/>
              </w:rPr>
              <w:t>2分，没有不得分。证明材料：提供项目组成员ISG技能鉴定证书（合格）证书复印件加盖公章并提供近三个月社保记录复印件加盖投标企业公章。</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4.5</w:t>
            </w:r>
          </w:p>
        </w:tc>
        <w:tc>
          <w:tcPr>
            <w:tcW w:w="2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中华人民共和国人力资源和社会保障部、工业和信息化部批准颁发的“信息安全工程师”</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p>
        </w:tc>
        <w:tc>
          <w:tcPr>
            <w:tcW w:w="5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具备得</w:t>
            </w:r>
            <w:r>
              <w:rPr>
                <w:rFonts w:ascii="仿宋" w:hAnsi="仿宋" w:eastAsia="仿宋" w:cs="宋体"/>
                <w:color w:val="000000"/>
                <w:kern w:val="0"/>
                <w:sz w:val="24"/>
                <w:szCs w:val="24"/>
              </w:rPr>
              <w:t>2分，没有不得分。证明材料：提供项目组成员中华人民共和国人力资源和社会保障部、工业和信息化部批准颁发的“信息安全工程师”证书复印件加盖公章并提供近三个月社保记录复印件加盖投标企业公章。</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b/>
                <w:color w:val="000000"/>
                <w:kern w:val="0"/>
                <w:sz w:val="24"/>
                <w:szCs w:val="24"/>
              </w:rPr>
            </w:pPr>
            <w:r>
              <w:rPr>
                <w:rFonts w:ascii="仿宋" w:hAnsi="仿宋" w:eastAsia="仿宋" w:cs="宋体"/>
                <w:b/>
                <w:color w:val="000000"/>
                <w:kern w:val="0"/>
                <w:sz w:val="24"/>
                <w:szCs w:val="24"/>
              </w:rPr>
              <w:t>5</w:t>
            </w:r>
          </w:p>
        </w:tc>
        <w:tc>
          <w:tcPr>
            <w:tcW w:w="2221" w:type="dxa"/>
            <w:tcBorders>
              <w:top w:val="nil"/>
              <w:left w:val="nil"/>
              <w:bottom w:val="single" w:color="auto" w:sz="4" w:space="0"/>
              <w:right w:val="single" w:color="auto" w:sz="4" w:space="0"/>
            </w:tcBorders>
            <w:vAlign w:val="center"/>
          </w:tcPr>
          <w:p>
            <w:pPr>
              <w:widowControl/>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成功案例</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4"/>
                <w:szCs w:val="24"/>
              </w:rPr>
            </w:pPr>
            <w:r>
              <w:rPr>
                <w:rFonts w:ascii="仿宋" w:hAnsi="仿宋" w:eastAsia="仿宋" w:cs="宋体"/>
                <w:b/>
                <w:color w:val="000000"/>
                <w:kern w:val="0"/>
                <w:sz w:val="24"/>
                <w:szCs w:val="24"/>
              </w:rPr>
              <w:t>4</w:t>
            </w:r>
          </w:p>
        </w:tc>
        <w:tc>
          <w:tcPr>
            <w:tcW w:w="5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提供</w:t>
            </w:r>
            <w:r>
              <w:rPr>
                <w:rFonts w:ascii="仿宋" w:hAnsi="仿宋" w:eastAsia="仿宋" w:cs="宋体"/>
                <w:color w:val="000000"/>
                <w:kern w:val="0"/>
                <w:sz w:val="24"/>
                <w:szCs w:val="24"/>
              </w:rPr>
              <w:t>安全</w:t>
            </w:r>
            <w:r>
              <w:rPr>
                <w:rFonts w:hint="eastAsia" w:ascii="仿宋" w:hAnsi="仿宋" w:eastAsia="仿宋" w:cs="宋体"/>
                <w:color w:val="000000"/>
                <w:kern w:val="0"/>
                <w:sz w:val="24"/>
                <w:szCs w:val="24"/>
              </w:rPr>
              <w:t>服务相关案例：</w:t>
            </w:r>
            <w:r>
              <w:rPr>
                <w:rFonts w:ascii="仿宋" w:hAnsi="仿宋" w:eastAsia="仿宋" w:cs="宋体"/>
                <w:color w:val="000000"/>
                <w:kern w:val="0"/>
                <w:sz w:val="24"/>
                <w:szCs w:val="24"/>
              </w:rPr>
              <w:t>2018以来安全服务合同</w:t>
            </w:r>
            <w:r>
              <w:rPr>
                <w:rFonts w:hint="eastAsia" w:ascii="仿宋" w:hAnsi="仿宋" w:eastAsia="仿宋" w:cs="宋体"/>
                <w:color w:val="000000"/>
                <w:kern w:val="0"/>
                <w:sz w:val="24"/>
                <w:szCs w:val="24"/>
              </w:rPr>
              <w:t>，每个合同得</w:t>
            </w:r>
            <w:r>
              <w:rPr>
                <w:rFonts w:ascii="仿宋" w:hAnsi="仿宋" w:eastAsia="仿宋" w:cs="宋体"/>
                <w:color w:val="000000"/>
                <w:kern w:val="0"/>
                <w:sz w:val="24"/>
                <w:szCs w:val="24"/>
              </w:rPr>
              <w:t>1分，最高得4</w:t>
            </w:r>
            <w:r>
              <w:rPr>
                <w:rFonts w:hint="eastAsia" w:ascii="仿宋" w:hAnsi="仿宋" w:eastAsia="仿宋" w:cs="宋体"/>
                <w:color w:val="000000"/>
                <w:kern w:val="0"/>
                <w:sz w:val="24"/>
                <w:szCs w:val="24"/>
              </w:rPr>
              <w:t>分。</w:t>
            </w:r>
            <w:r>
              <w:rPr>
                <w:rFonts w:hint="eastAsia" w:ascii="仿宋" w:hAnsi="仿宋" w:eastAsia="仿宋" w:cs="宋体"/>
                <w:b/>
                <w:bCs/>
                <w:color w:val="000000"/>
                <w:kern w:val="0"/>
                <w:sz w:val="24"/>
                <w:szCs w:val="24"/>
              </w:rPr>
              <w:t>证明材料：提供合同复印件并加盖供应商公章。</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b/>
                <w:color w:val="000000"/>
                <w:kern w:val="0"/>
                <w:sz w:val="24"/>
                <w:szCs w:val="24"/>
              </w:rPr>
            </w:pPr>
            <w:r>
              <w:rPr>
                <w:rFonts w:ascii="仿宋" w:hAnsi="仿宋" w:eastAsia="仿宋" w:cs="宋体"/>
                <w:b/>
                <w:color w:val="000000"/>
                <w:kern w:val="0"/>
                <w:sz w:val="24"/>
                <w:szCs w:val="24"/>
              </w:rPr>
              <w:t>6</w:t>
            </w:r>
          </w:p>
        </w:tc>
        <w:tc>
          <w:tcPr>
            <w:tcW w:w="2221" w:type="dxa"/>
            <w:tcBorders>
              <w:top w:val="nil"/>
              <w:left w:val="nil"/>
              <w:bottom w:val="single" w:color="auto" w:sz="4" w:space="0"/>
              <w:right w:val="single" w:color="auto" w:sz="4" w:space="0"/>
            </w:tcBorders>
            <w:vAlign w:val="center"/>
          </w:tcPr>
          <w:p>
            <w:pPr>
              <w:widowControl/>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服务能力</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4"/>
                <w:szCs w:val="24"/>
              </w:rPr>
            </w:pPr>
            <w:r>
              <w:rPr>
                <w:rFonts w:ascii="仿宋" w:hAnsi="仿宋" w:eastAsia="仿宋" w:cs="宋体"/>
                <w:b/>
                <w:color w:val="000000"/>
                <w:kern w:val="0"/>
                <w:sz w:val="24"/>
                <w:szCs w:val="24"/>
              </w:rPr>
              <w:t>20</w:t>
            </w:r>
          </w:p>
        </w:tc>
        <w:tc>
          <w:tcPr>
            <w:tcW w:w="5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需提供供应商的服务能力证明并加盖公章</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6.1</w:t>
            </w:r>
          </w:p>
        </w:tc>
        <w:tc>
          <w:tcPr>
            <w:tcW w:w="2221" w:type="dxa"/>
            <w:tcBorders>
              <w:top w:val="nil"/>
              <w:left w:val="nil"/>
              <w:bottom w:val="single" w:color="auto" w:sz="4" w:space="0"/>
              <w:right w:val="single" w:color="auto" w:sz="4" w:space="0"/>
            </w:tcBorders>
            <w:vAlign w:val="center"/>
          </w:tcPr>
          <w:p>
            <w:pPr>
              <w:widowControl/>
              <w:tabs>
                <w:tab w:val="center" w:pos="4153"/>
                <w:tab w:val="right" w:pos="8306"/>
              </w:tabs>
              <w:snapToGri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要求提供的</w:t>
            </w:r>
            <w:r>
              <w:rPr>
                <w:rFonts w:ascii="仿宋" w:hAnsi="仿宋" w:eastAsia="仿宋" w:cs="宋体"/>
                <w:color w:val="000000"/>
                <w:kern w:val="0"/>
                <w:sz w:val="24"/>
                <w:szCs w:val="24"/>
              </w:rPr>
              <w:t>驻点运维服务方案、网络安全运维服务方案</w:t>
            </w:r>
            <w:r>
              <w:rPr>
                <w:rFonts w:hint="eastAsia" w:ascii="仿宋" w:hAnsi="仿宋" w:eastAsia="仿宋" w:cs="宋体"/>
                <w:color w:val="000000"/>
                <w:kern w:val="0"/>
                <w:sz w:val="24"/>
                <w:szCs w:val="24"/>
              </w:rPr>
              <w:t>科学合理，清晰完善</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14</w:t>
            </w:r>
          </w:p>
        </w:tc>
        <w:tc>
          <w:tcPr>
            <w:tcW w:w="5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方案优秀的得</w:t>
            </w:r>
            <w:r>
              <w:rPr>
                <w:rFonts w:ascii="仿宋" w:hAnsi="仿宋" w:eastAsia="仿宋" w:cs="宋体"/>
                <w:color w:val="000000"/>
                <w:kern w:val="0"/>
                <w:sz w:val="24"/>
                <w:szCs w:val="24"/>
              </w:rPr>
              <w:t>14-10分，方案良好的得9-5分，方案一般的得4-0分。</w:t>
            </w:r>
          </w:p>
        </w:tc>
      </w:tr>
      <w:tr>
        <w:tblPrEx>
          <w:tblCellMar>
            <w:top w:w="0" w:type="dxa"/>
            <w:left w:w="108" w:type="dxa"/>
            <w:bottom w:w="0" w:type="dxa"/>
            <w:right w:w="108" w:type="dxa"/>
          </w:tblCellMar>
        </w:tblPrEx>
        <w:trPr>
          <w:trHeight w:val="397" w:hRule="atLeast"/>
        </w:trPr>
        <w:tc>
          <w:tcPr>
            <w:tcW w:w="584" w:type="dxa"/>
            <w:tcBorders>
              <w:top w:val="nil"/>
              <w:left w:val="single" w:color="auto" w:sz="4" w:space="0"/>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6.2</w:t>
            </w:r>
          </w:p>
        </w:tc>
        <w:tc>
          <w:tcPr>
            <w:tcW w:w="2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安全事件应急响应服务能力</w:t>
            </w:r>
          </w:p>
        </w:tc>
        <w:tc>
          <w:tcPr>
            <w:tcW w:w="64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6</w:t>
            </w:r>
          </w:p>
        </w:tc>
        <w:tc>
          <w:tcPr>
            <w:tcW w:w="56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安全事件应急响应服务时间，</w:t>
            </w:r>
            <w:r>
              <w:rPr>
                <w:rFonts w:ascii="仿宋" w:hAnsi="仿宋" w:eastAsia="仿宋" w:cs="宋体"/>
                <w:color w:val="000000"/>
                <w:kern w:val="0"/>
                <w:sz w:val="24"/>
                <w:szCs w:val="24"/>
              </w:rPr>
              <w:t>0.5小时内响应，1</w:t>
            </w:r>
            <w:r>
              <w:rPr>
                <w:rFonts w:hint="eastAsia" w:ascii="仿宋" w:hAnsi="仿宋" w:eastAsia="仿宋" w:cs="宋体"/>
                <w:color w:val="000000"/>
                <w:kern w:val="0"/>
                <w:sz w:val="24"/>
                <w:szCs w:val="24"/>
              </w:rPr>
              <w:t>小时到场响应且响应时间最快的得</w:t>
            </w:r>
            <w:r>
              <w:rPr>
                <w:rFonts w:ascii="仿宋" w:hAnsi="仿宋" w:eastAsia="仿宋" w:cs="宋体"/>
                <w:color w:val="000000"/>
                <w:kern w:val="0"/>
                <w:sz w:val="24"/>
                <w:szCs w:val="24"/>
              </w:rPr>
              <w:t>6分，2小时到场响应得2分，</w:t>
            </w:r>
            <w:r>
              <w:rPr>
                <w:rFonts w:hint="eastAsia" w:ascii="仿宋" w:hAnsi="仿宋" w:eastAsia="仿宋" w:cs="宋体"/>
                <w:color w:val="000000"/>
                <w:kern w:val="0"/>
                <w:sz w:val="24"/>
                <w:szCs w:val="24"/>
              </w:rPr>
              <w:t>其次</w:t>
            </w:r>
            <w:r>
              <w:rPr>
                <w:rFonts w:ascii="仿宋" w:hAnsi="仿宋" w:eastAsia="仿宋" w:cs="宋体"/>
                <w:color w:val="000000"/>
                <w:kern w:val="0"/>
                <w:sz w:val="24"/>
                <w:szCs w:val="24"/>
              </w:rPr>
              <w:t>不</w:t>
            </w:r>
            <w:r>
              <w:rPr>
                <w:rFonts w:hint="eastAsia" w:ascii="仿宋" w:hAnsi="仿宋" w:eastAsia="仿宋" w:cs="宋体"/>
                <w:color w:val="000000"/>
                <w:kern w:val="0"/>
                <w:sz w:val="24"/>
                <w:szCs w:val="24"/>
              </w:rPr>
              <w:t>得分。</w:t>
            </w:r>
            <w:r>
              <w:rPr>
                <w:rFonts w:hint="eastAsia" w:ascii="仿宋" w:hAnsi="仿宋" w:eastAsia="仿宋" w:cs="宋体"/>
                <w:b/>
                <w:bCs/>
                <w:color w:val="000000"/>
                <w:kern w:val="0"/>
                <w:sz w:val="24"/>
                <w:szCs w:val="24"/>
              </w:rPr>
              <w:t>证明材料：安全事件应急响应服务时间以百度地图（</w:t>
            </w:r>
            <w:r>
              <w:rPr>
                <w:rFonts w:ascii="仿宋" w:hAnsi="仿宋" w:eastAsia="仿宋" w:cs="宋体"/>
                <w:b/>
                <w:bCs/>
                <w:color w:val="000000"/>
                <w:kern w:val="0"/>
                <w:sz w:val="24"/>
                <w:szCs w:val="24"/>
              </w:rPr>
              <w:t>map.baidu.com）截图为准。</w:t>
            </w:r>
          </w:p>
        </w:tc>
      </w:tr>
    </w:tbl>
    <w:p>
      <w:pPr>
        <w:widowControl/>
        <w:shd w:val="clear" w:color="auto" w:fill="FFFFFF"/>
        <w:tabs>
          <w:tab w:val="left" w:pos="720"/>
        </w:tabs>
        <w:spacing w:line="480" w:lineRule="atLeast"/>
        <w:rPr>
          <w:rFonts w:ascii="仿宋" w:hAnsi="仿宋" w:eastAsia="仿宋" w:cs="宋体"/>
          <w:color w:val="333333"/>
          <w:kern w:val="0"/>
          <w:sz w:val="29"/>
          <w:szCs w:val="29"/>
        </w:rPr>
      </w:pPr>
    </w:p>
    <w:p>
      <w:pPr>
        <w:autoSpaceDE w:val="0"/>
        <w:autoSpaceDN w:val="0"/>
        <w:adjustRightInd w:val="0"/>
        <w:snapToGrid w:val="0"/>
        <w:spacing w:line="500" w:lineRule="exact"/>
        <w:ind w:firstLine="562" w:firstLineChars="200"/>
        <w:rPr>
          <w:rFonts w:ascii="宋体" w:hAnsi="宋体" w:cs="宋体"/>
          <w:b/>
          <w:sz w:val="28"/>
          <w:szCs w:val="28"/>
        </w:rPr>
      </w:pPr>
      <w:r>
        <w:rPr>
          <w:rFonts w:hint="eastAsia" w:ascii="宋体" w:hAnsi="宋体" w:cs="宋体"/>
          <w:b/>
          <w:sz w:val="28"/>
          <w:szCs w:val="28"/>
        </w:rPr>
        <w:t>价格分：30分</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综合评分法中的价格分统一采用低价优先法计算，即满足磋商文件要求且最后报价最低的供应商的价格为磋商基准价，其价格分为满分。其他供应商的价格分统一按照下列公式计算：</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磋商报价得分=（磋商基准价/最后磋商报价）×价格权值×100</w:t>
      </w:r>
    </w:p>
    <w:p>
      <w:pPr>
        <w:widowControl/>
        <w:shd w:val="clear" w:color="auto" w:fill="FFFFFF"/>
        <w:spacing w:line="480" w:lineRule="atLeast"/>
        <w:ind w:firstLine="555"/>
        <w:jc w:val="left"/>
        <w:rPr>
          <w:rFonts w:ascii="宋体" w:hAnsi="宋体" w:cs="宋体"/>
          <w:b/>
          <w:bCs/>
          <w:sz w:val="28"/>
          <w:szCs w:val="28"/>
        </w:rPr>
      </w:pPr>
      <w:r>
        <w:rPr>
          <w:rFonts w:hint="eastAsia" w:ascii="仿宋" w:hAnsi="仿宋" w:eastAsia="仿宋" w:cs="宋体"/>
          <w:b/>
          <w:bCs/>
          <w:color w:val="333333"/>
          <w:kern w:val="0"/>
          <w:sz w:val="29"/>
          <w:szCs w:val="29"/>
        </w:rPr>
        <w:t>磋商小组认为供应商的报价明显高于或低于其他通过符合性审查供应商的报价，有可能影响服务质量或者不能诚信履约的，应当要求其在评标现场合理的时间内提供书面说明，必要时提交相关证明材料；供应商不能证明其报价合理性的，评标委员会应当将其作为无效磋商处理。</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2、中标结果在江苏省南通卫生高职校网站上公示或电话告知。</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3、评标结束确定中标并公示结束后，招标人将通知中标人签订合同。</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4、投标文件将入档封存，恕不退还。</w:t>
      </w:r>
      <w:r>
        <w:rPr>
          <w:rFonts w:hint="eastAsia" w:ascii="仿宋" w:hAnsi="仿宋" w:eastAsia="仿宋" w:cs="宋体"/>
          <w:color w:val="000000"/>
          <w:kern w:val="0"/>
          <w:sz w:val="29"/>
          <w:szCs w:val="29"/>
        </w:rPr>
        <w:t>未中标投标人及时办理退保证金手续。</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5、如中标候选人自行放弃中标的，或在公示期间被举报有违规行为经查证属实的，则取消中标候选人资格，并没收其投标保证金。</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（二）合同签订</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1.中标人从收到中标通知的十五日内与招标人签订合同，合同主要条款见招标书项目要求主要内容。</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2.招标文件、中标人的投标文件等均为签订合同的依据。</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3.其它相关事宜另行约定。</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九、投标文件有效期</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中标人的投标文件具有与合同相同的有效期。其它投标人的投标文件在招标人与中标的投标人签订合同后，自然失效。</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宋体" w:hAnsi="宋体" w:eastAsia="宋体" w:cs="宋体"/>
          <w:color w:val="666666"/>
          <w:kern w:val="0"/>
          <w:sz w:val="18"/>
          <w:szCs w:val="18"/>
        </w:rPr>
        <w:t> </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宋体" w:hAnsi="宋体" w:eastAsia="宋体" w:cs="宋体"/>
          <w:color w:val="666666"/>
          <w:kern w:val="0"/>
          <w:sz w:val="18"/>
          <w:szCs w:val="18"/>
        </w:rPr>
        <w:t> </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宋体" w:hAnsi="宋体" w:eastAsia="宋体" w:cs="宋体"/>
          <w:color w:val="666666"/>
          <w:kern w:val="0"/>
          <w:sz w:val="18"/>
          <w:szCs w:val="18"/>
        </w:rPr>
        <w:t> </w:t>
      </w:r>
    </w:p>
    <w:p>
      <w:pPr>
        <w:widowControl/>
        <w:shd w:val="clear" w:color="auto" w:fill="FFFFFF"/>
        <w:spacing w:line="480" w:lineRule="atLeast"/>
        <w:ind w:right="420"/>
        <w:jc w:val="right"/>
        <w:rPr>
          <w:rFonts w:ascii="仿宋" w:hAnsi="仿宋" w:eastAsia="仿宋" w:cs="宋体"/>
          <w:color w:val="333333"/>
          <w:kern w:val="0"/>
          <w:sz w:val="29"/>
          <w:szCs w:val="29"/>
        </w:rPr>
      </w:pPr>
      <w:r>
        <w:rPr>
          <w:rFonts w:hint="eastAsia" w:ascii="仿宋" w:hAnsi="仿宋" w:eastAsia="仿宋" w:cs="宋体"/>
          <w:color w:val="333333"/>
          <w:kern w:val="0"/>
          <w:sz w:val="29"/>
          <w:szCs w:val="29"/>
        </w:rPr>
        <w:t>江苏省南通卫生高等职业技术学校</w:t>
      </w:r>
    </w:p>
    <w:p>
      <w:pPr>
        <w:widowControl/>
        <w:shd w:val="clear" w:color="auto" w:fill="FFFFFF"/>
        <w:wordWrap w:val="0"/>
        <w:spacing w:line="480" w:lineRule="atLeast"/>
        <w:ind w:right="513"/>
        <w:jc w:val="right"/>
        <w:rPr>
          <w:rFonts w:ascii="仿宋" w:hAnsi="仿宋" w:eastAsia="仿宋" w:cs="宋体"/>
          <w:color w:val="333333"/>
          <w:kern w:val="0"/>
          <w:sz w:val="29"/>
          <w:szCs w:val="29"/>
        </w:rPr>
      </w:pPr>
      <w:r>
        <w:rPr>
          <w:rFonts w:hint="eastAsia" w:ascii="仿宋" w:hAnsi="仿宋" w:eastAsia="仿宋" w:cs="宋体"/>
          <w:color w:val="333333"/>
          <w:kern w:val="0"/>
          <w:sz w:val="29"/>
          <w:szCs w:val="29"/>
        </w:rPr>
        <w:t xml:space="preserve">大宗物资与服务采购管理办公室 </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rPr>
        <w:t xml:space="preserve">                                          </w:t>
      </w:r>
      <w:r>
        <w:rPr>
          <w:rFonts w:hint="eastAsia" w:ascii="仿宋" w:hAnsi="仿宋" w:eastAsia="仿宋" w:cs="宋体"/>
          <w:color w:val="333333"/>
          <w:kern w:val="0"/>
          <w:sz w:val="29"/>
          <w:szCs w:val="29"/>
        </w:rPr>
        <w:t>2020年11月</w:t>
      </w:r>
      <w:r>
        <w:rPr>
          <w:rFonts w:hint="eastAsia" w:ascii="仿宋" w:hAnsi="仿宋" w:eastAsia="仿宋" w:cs="宋体"/>
          <w:color w:val="333333"/>
          <w:kern w:val="0"/>
          <w:sz w:val="29"/>
          <w:szCs w:val="29"/>
          <w:lang w:val="en-US" w:eastAsia="zh-CN"/>
        </w:rPr>
        <w:t>18</w:t>
      </w:r>
      <w:bookmarkStart w:id="20" w:name="_GoBack"/>
      <w:bookmarkEnd w:id="20"/>
      <w:r>
        <w:rPr>
          <w:rFonts w:hint="eastAsia" w:ascii="仿宋" w:hAnsi="仿宋" w:eastAsia="仿宋" w:cs="宋体"/>
          <w:color w:val="333333"/>
          <w:kern w:val="0"/>
          <w:sz w:val="29"/>
          <w:szCs w:val="29"/>
        </w:rPr>
        <w:t>日</w:t>
      </w:r>
      <w:bookmarkEnd w:id="0"/>
      <w:bookmarkStart w:id="2" w:name="_Toc25286"/>
      <w:bookmarkStart w:id="3" w:name="_Toc16748_WPSOffice_Level1"/>
      <w:bookmarkStart w:id="4" w:name="_Toc521408735"/>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附件：投标文件格式</w:t>
      </w:r>
      <w:bookmarkEnd w:id="2"/>
      <w:bookmarkEnd w:id="3"/>
      <w:bookmarkEnd w:id="4"/>
      <w:r>
        <w:rPr>
          <w:rFonts w:hint="eastAsia" w:ascii="仿宋" w:hAnsi="仿宋" w:eastAsia="仿宋" w:cs="宋体"/>
          <w:color w:val="333333"/>
          <w:kern w:val="0"/>
          <w:sz w:val="29"/>
          <w:szCs w:val="29"/>
        </w:rPr>
        <w:t>（请供应商根据评分标准组织资料，要求目录清晰、内容完备，便于评委会评审。因目录不清晰或提供的材料（复印件）模糊，以致三分之二以上评委会成员无法判断，而影响评分的责任由供应商自行承担。）</w:t>
      </w:r>
    </w:p>
    <w:p>
      <w:pPr>
        <w:widowControl/>
        <w:shd w:val="clear" w:color="auto" w:fill="FFFFFF"/>
        <w:spacing w:line="480" w:lineRule="atLeast"/>
        <w:ind w:right="420"/>
        <w:jc w:val="left"/>
        <w:rPr>
          <w:rFonts w:ascii="仿宋" w:hAnsi="仿宋" w:eastAsia="仿宋" w:cs="宋体"/>
          <w:color w:val="333333"/>
          <w:kern w:val="0"/>
          <w:sz w:val="29"/>
          <w:szCs w:val="29"/>
        </w:rPr>
      </w:pPr>
      <w:bookmarkStart w:id="5" w:name="_Toc13413"/>
      <w:bookmarkStart w:id="6" w:name="_Toc516649864"/>
      <w:r>
        <w:rPr>
          <w:rFonts w:hint="eastAsia" w:ascii="仿宋" w:hAnsi="仿宋" w:eastAsia="仿宋" w:cs="宋体"/>
          <w:color w:val="333333"/>
          <w:kern w:val="0"/>
          <w:sz w:val="29"/>
          <w:szCs w:val="29"/>
        </w:rPr>
        <w:t>附件1</w:t>
      </w:r>
      <w:bookmarkEnd w:id="5"/>
    </w:p>
    <w:p>
      <w:pPr>
        <w:widowControl/>
        <w:shd w:val="clear" w:color="auto" w:fill="FFFFFF"/>
        <w:spacing w:line="480" w:lineRule="atLeast"/>
        <w:ind w:right="420"/>
        <w:jc w:val="center"/>
        <w:rPr>
          <w:rFonts w:ascii="仿宋" w:hAnsi="仿宋" w:eastAsia="仿宋" w:cs="宋体"/>
          <w:color w:val="333333"/>
          <w:kern w:val="0"/>
          <w:sz w:val="29"/>
          <w:szCs w:val="29"/>
        </w:rPr>
      </w:pPr>
      <w:bookmarkStart w:id="7" w:name="_Toc4521"/>
      <w:bookmarkStart w:id="8" w:name="_Toc22311_WPSOffice_Level1"/>
      <w:r>
        <w:rPr>
          <w:rFonts w:hint="eastAsia" w:ascii="仿宋" w:hAnsi="仿宋" w:eastAsia="仿宋" w:cs="宋体"/>
          <w:color w:val="333333"/>
          <w:kern w:val="0"/>
          <w:sz w:val="29"/>
          <w:szCs w:val="29"/>
        </w:rPr>
        <w:t>法定代表人授权委托书及委托双方身份证</w:t>
      </w:r>
      <w:bookmarkEnd w:id="7"/>
      <w:bookmarkEnd w:id="8"/>
      <w:bookmarkStart w:id="9" w:name="_Toc5605"/>
      <w:bookmarkStart w:id="10" w:name="_Toc1694_WPSOffice_Level1"/>
      <w:r>
        <w:rPr>
          <w:rFonts w:hint="eastAsia" w:ascii="仿宋" w:hAnsi="仿宋" w:eastAsia="仿宋" w:cs="宋体"/>
          <w:color w:val="333333"/>
          <w:kern w:val="0"/>
          <w:sz w:val="29"/>
          <w:szCs w:val="29"/>
        </w:rPr>
        <w:t>复印件</w:t>
      </w:r>
      <w:bookmarkEnd w:id="6"/>
      <w:bookmarkEnd w:id="9"/>
      <w:bookmarkEnd w:id="10"/>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江苏省南通卫生高等职业技术学校：</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兹授权     （被授权人的姓名）代表我公司参加     项目的采购活动，全权处理一切与该项目投标有关的事务。其在办理上述事宜过程中所签署的所有文件我公司均予以承认。</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附：被授权人情况：</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 xml:space="preserve">姓名：                          性别：          </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年龄：                          职务：</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身份证号码：</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手机：                          传真：</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单位名称（公章）                        法定代表人（签字）</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年  月  日                              年  月  日</w:t>
      </w:r>
    </w:p>
    <w:p>
      <w:pPr>
        <w:widowControl/>
        <w:shd w:val="clear" w:color="auto" w:fill="FFFFFF"/>
        <w:spacing w:line="480" w:lineRule="atLeast"/>
        <w:ind w:right="420"/>
        <w:jc w:val="left"/>
        <w:rPr>
          <w:rFonts w:ascii="仿宋" w:hAnsi="仿宋" w:eastAsia="仿宋" w:cs="宋体"/>
          <w:color w:val="333333"/>
          <w:kern w:val="0"/>
          <w:sz w:val="29"/>
          <w:szCs w:val="29"/>
        </w:rPr>
      </w:pPr>
      <w:r>
        <w:rPr>
          <w:rFonts w:ascii="仿宋" w:hAnsi="仿宋" w:eastAsia="仿宋" w:cs="宋体"/>
          <w:color w:val="333333"/>
          <w:kern w:val="0"/>
          <w:sz w:val="29"/>
          <w:szCs w:val="29"/>
        </w:rPr>
        <w:br w:type="page"/>
      </w:r>
      <w:r>
        <w:rPr>
          <w:rFonts w:hint="eastAsia" w:ascii="仿宋" w:hAnsi="仿宋" w:eastAsia="仿宋" w:cs="宋体"/>
          <w:color w:val="333333"/>
          <w:kern w:val="0"/>
          <w:sz w:val="29"/>
          <w:szCs w:val="29"/>
        </w:rPr>
        <w:t>被授权人身份证复印件</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法定代表人身份证复印件</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ascii="仿宋" w:hAnsi="仿宋" w:eastAsia="仿宋" w:cs="宋体"/>
          <w:color w:val="333333"/>
          <w:kern w:val="0"/>
          <w:sz w:val="29"/>
          <w:szCs w:val="29"/>
        </w:rPr>
        <w:br w:type="page"/>
      </w:r>
      <w:bookmarkStart w:id="11" w:name="_Toc15810"/>
      <w:bookmarkStart w:id="12" w:name="_Toc516649865"/>
      <w:r>
        <w:rPr>
          <w:rFonts w:hint="eastAsia" w:ascii="仿宋" w:hAnsi="仿宋" w:eastAsia="仿宋" w:cs="宋体"/>
          <w:color w:val="333333"/>
          <w:kern w:val="0"/>
          <w:sz w:val="29"/>
          <w:szCs w:val="29"/>
        </w:rPr>
        <w:t>附件2</w:t>
      </w:r>
      <w:bookmarkEnd w:id="11"/>
    </w:p>
    <w:bookmarkEnd w:id="12"/>
    <w:p>
      <w:pPr>
        <w:widowControl/>
        <w:shd w:val="clear" w:color="auto" w:fill="FFFFFF"/>
        <w:spacing w:line="480" w:lineRule="atLeast"/>
        <w:ind w:right="420"/>
        <w:jc w:val="center"/>
        <w:rPr>
          <w:rFonts w:ascii="仿宋" w:hAnsi="仿宋" w:eastAsia="仿宋" w:cs="宋体"/>
          <w:color w:val="333333"/>
          <w:kern w:val="0"/>
          <w:sz w:val="29"/>
          <w:szCs w:val="29"/>
        </w:rPr>
      </w:pPr>
      <w:r>
        <w:rPr>
          <w:rFonts w:hint="eastAsia" w:ascii="仿宋" w:hAnsi="仿宋" w:eastAsia="仿宋" w:cs="宋体"/>
          <w:color w:val="333333"/>
          <w:kern w:val="0"/>
          <w:sz w:val="29"/>
          <w:szCs w:val="29"/>
        </w:rPr>
        <w:t>投标报价表</w:t>
      </w:r>
    </w:p>
    <w:tbl>
      <w:tblPr>
        <w:tblStyle w:val="8"/>
        <w:tblW w:w="8984" w:type="dxa"/>
        <w:tblInd w:w="93" w:type="dxa"/>
        <w:tblLayout w:type="fixed"/>
        <w:tblCellMar>
          <w:top w:w="0" w:type="dxa"/>
          <w:left w:w="108" w:type="dxa"/>
          <w:bottom w:w="0" w:type="dxa"/>
          <w:right w:w="108" w:type="dxa"/>
        </w:tblCellMar>
      </w:tblPr>
      <w:tblGrid>
        <w:gridCol w:w="1455"/>
        <w:gridCol w:w="3673"/>
        <w:gridCol w:w="2384"/>
        <w:gridCol w:w="1472"/>
      </w:tblGrid>
      <w:tr>
        <w:tblPrEx>
          <w:tblCellMar>
            <w:top w:w="0" w:type="dxa"/>
            <w:left w:w="108" w:type="dxa"/>
            <w:bottom w:w="0" w:type="dxa"/>
            <w:right w:w="108" w:type="dxa"/>
          </w:tblCellMar>
        </w:tblPrEx>
        <w:trPr>
          <w:trHeight w:val="142" w:hRule="atLeast"/>
        </w:trPr>
        <w:tc>
          <w:tcPr>
            <w:tcW w:w="145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序号</w:t>
            </w:r>
          </w:p>
        </w:tc>
        <w:tc>
          <w:tcPr>
            <w:tcW w:w="3673" w:type="dxa"/>
            <w:tcBorders>
              <w:top w:val="single" w:color="auto" w:sz="4" w:space="0"/>
              <w:left w:val="nil"/>
              <w:bottom w:val="single" w:color="auto" w:sz="4" w:space="0"/>
              <w:right w:val="single" w:color="auto" w:sz="4"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名称</w:t>
            </w:r>
          </w:p>
        </w:tc>
        <w:tc>
          <w:tcPr>
            <w:tcW w:w="2384" w:type="dxa"/>
            <w:tcBorders>
              <w:top w:val="single" w:color="auto" w:sz="4" w:space="0"/>
              <w:left w:val="nil"/>
              <w:bottom w:val="single" w:color="auto" w:sz="4" w:space="0"/>
              <w:right w:val="single" w:color="auto" w:sz="4"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金额（元）</w:t>
            </w:r>
          </w:p>
        </w:tc>
        <w:tc>
          <w:tcPr>
            <w:tcW w:w="1472" w:type="dxa"/>
            <w:tcBorders>
              <w:top w:val="single" w:color="auto" w:sz="4" w:space="0"/>
              <w:left w:val="nil"/>
              <w:bottom w:val="single" w:color="auto" w:sz="4" w:space="0"/>
              <w:right w:val="single" w:color="auto" w:sz="4"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备注</w:t>
            </w:r>
          </w:p>
        </w:tc>
      </w:tr>
      <w:tr>
        <w:tblPrEx>
          <w:tblCellMar>
            <w:top w:w="0" w:type="dxa"/>
            <w:left w:w="108" w:type="dxa"/>
            <w:bottom w:w="0" w:type="dxa"/>
            <w:right w:w="108" w:type="dxa"/>
          </w:tblCellMar>
        </w:tblPrEx>
        <w:trPr>
          <w:trHeight w:val="415" w:hRule="atLeast"/>
        </w:trPr>
        <w:tc>
          <w:tcPr>
            <w:tcW w:w="1455" w:type="dxa"/>
            <w:tcBorders>
              <w:top w:val="nil"/>
              <w:left w:val="single" w:color="auto" w:sz="4" w:space="0"/>
              <w:bottom w:val="single" w:color="auto" w:sz="4" w:space="0"/>
              <w:right w:val="single" w:color="auto" w:sz="4"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1</w:t>
            </w:r>
          </w:p>
        </w:tc>
        <w:tc>
          <w:tcPr>
            <w:tcW w:w="3673" w:type="dxa"/>
            <w:tcBorders>
              <w:top w:val="nil"/>
              <w:left w:val="nil"/>
              <w:bottom w:val="single" w:color="auto" w:sz="4" w:space="0"/>
              <w:right w:val="single" w:color="auto" w:sz="4"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驻点运维服务</w:t>
            </w:r>
          </w:p>
        </w:tc>
        <w:tc>
          <w:tcPr>
            <w:tcW w:w="2384" w:type="dxa"/>
            <w:tcBorders>
              <w:top w:val="nil"/>
              <w:left w:val="nil"/>
              <w:bottom w:val="single" w:color="auto" w:sz="4" w:space="0"/>
              <w:right w:val="single" w:color="auto" w:sz="4"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c>
          <w:tcPr>
            <w:tcW w:w="1472" w:type="dxa"/>
            <w:tcBorders>
              <w:top w:val="nil"/>
              <w:left w:val="nil"/>
              <w:bottom w:val="single" w:color="auto" w:sz="4" w:space="0"/>
              <w:right w:val="single" w:color="auto" w:sz="4"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r>
      <w:tr>
        <w:tblPrEx>
          <w:tblCellMar>
            <w:top w:w="0" w:type="dxa"/>
            <w:left w:w="108" w:type="dxa"/>
            <w:bottom w:w="0" w:type="dxa"/>
            <w:right w:w="108" w:type="dxa"/>
          </w:tblCellMar>
        </w:tblPrEx>
        <w:trPr>
          <w:trHeight w:val="415" w:hRule="atLeast"/>
        </w:trPr>
        <w:tc>
          <w:tcPr>
            <w:tcW w:w="1455" w:type="dxa"/>
            <w:tcBorders>
              <w:top w:val="nil"/>
              <w:left w:val="single" w:color="auto" w:sz="4" w:space="0"/>
              <w:bottom w:val="single" w:color="auto" w:sz="4" w:space="0"/>
              <w:right w:val="single" w:color="auto" w:sz="4"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2</w:t>
            </w:r>
          </w:p>
        </w:tc>
        <w:tc>
          <w:tcPr>
            <w:tcW w:w="3673" w:type="dxa"/>
            <w:tcBorders>
              <w:top w:val="nil"/>
              <w:left w:val="nil"/>
              <w:bottom w:val="single" w:color="auto" w:sz="4" w:space="0"/>
              <w:right w:val="single" w:color="auto" w:sz="4"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网络安全运维服务</w:t>
            </w:r>
          </w:p>
        </w:tc>
        <w:tc>
          <w:tcPr>
            <w:tcW w:w="2384" w:type="dxa"/>
            <w:tcBorders>
              <w:top w:val="nil"/>
              <w:left w:val="nil"/>
              <w:bottom w:val="single" w:color="auto" w:sz="4" w:space="0"/>
              <w:right w:val="single" w:color="auto" w:sz="4"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c>
          <w:tcPr>
            <w:tcW w:w="1472" w:type="dxa"/>
            <w:tcBorders>
              <w:top w:val="nil"/>
              <w:left w:val="nil"/>
              <w:bottom w:val="single" w:color="auto" w:sz="4" w:space="0"/>
              <w:right w:val="single" w:color="auto" w:sz="4"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r>
      <w:tr>
        <w:tblPrEx>
          <w:tblCellMar>
            <w:top w:w="0" w:type="dxa"/>
            <w:left w:w="108" w:type="dxa"/>
            <w:bottom w:w="0" w:type="dxa"/>
            <w:right w:w="108" w:type="dxa"/>
          </w:tblCellMar>
        </w:tblPrEx>
        <w:trPr>
          <w:trHeight w:val="415" w:hRule="atLeast"/>
        </w:trPr>
        <w:tc>
          <w:tcPr>
            <w:tcW w:w="1455" w:type="dxa"/>
            <w:tcBorders>
              <w:top w:val="nil"/>
              <w:left w:val="single" w:color="auto" w:sz="4" w:space="0"/>
              <w:bottom w:val="single" w:color="auto" w:sz="4" w:space="0"/>
              <w:right w:val="single" w:color="auto" w:sz="4"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c>
          <w:tcPr>
            <w:tcW w:w="3673" w:type="dxa"/>
            <w:tcBorders>
              <w:top w:val="nil"/>
              <w:left w:val="nil"/>
              <w:bottom w:val="single" w:color="auto" w:sz="4" w:space="0"/>
              <w:right w:val="single" w:color="auto" w:sz="4"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c>
          <w:tcPr>
            <w:tcW w:w="2384" w:type="dxa"/>
            <w:tcBorders>
              <w:top w:val="nil"/>
              <w:left w:val="nil"/>
              <w:bottom w:val="single" w:color="auto" w:sz="4" w:space="0"/>
              <w:right w:val="single" w:color="auto" w:sz="4"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c>
          <w:tcPr>
            <w:tcW w:w="1472" w:type="dxa"/>
            <w:tcBorders>
              <w:top w:val="nil"/>
              <w:left w:val="nil"/>
              <w:bottom w:val="single" w:color="auto" w:sz="4" w:space="0"/>
              <w:right w:val="single" w:color="auto" w:sz="4"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r>
      <w:tr>
        <w:tblPrEx>
          <w:tblCellMar>
            <w:top w:w="0" w:type="dxa"/>
            <w:left w:w="108" w:type="dxa"/>
            <w:bottom w:w="0" w:type="dxa"/>
            <w:right w:w="108" w:type="dxa"/>
          </w:tblCellMar>
        </w:tblPrEx>
        <w:trPr>
          <w:trHeight w:val="415" w:hRule="atLeast"/>
        </w:trPr>
        <w:tc>
          <w:tcPr>
            <w:tcW w:w="1455" w:type="dxa"/>
            <w:tcBorders>
              <w:top w:val="nil"/>
              <w:left w:val="single" w:color="auto" w:sz="4" w:space="0"/>
              <w:bottom w:val="single" w:color="auto" w:sz="4" w:space="0"/>
              <w:right w:val="single" w:color="auto" w:sz="4"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c>
          <w:tcPr>
            <w:tcW w:w="3673" w:type="dxa"/>
            <w:tcBorders>
              <w:top w:val="nil"/>
              <w:left w:val="nil"/>
              <w:bottom w:val="single" w:color="auto" w:sz="4" w:space="0"/>
              <w:right w:val="single" w:color="auto" w:sz="4"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c>
          <w:tcPr>
            <w:tcW w:w="2384" w:type="dxa"/>
            <w:tcBorders>
              <w:top w:val="nil"/>
              <w:left w:val="nil"/>
              <w:bottom w:val="single" w:color="auto" w:sz="4" w:space="0"/>
              <w:right w:val="single" w:color="auto" w:sz="4"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c>
          <w:tcPr>
            <w:tcW w:w="1472" w:type="dxa"/>
            <w:tcBorders>
              <w:top w:val="nil"/>
              <w:left w:val="nil"/>
              <w:bottom w:val="single" w:color="auto" w:sz="4" w:space="0"/>
              <w:right w:val="single" w:color="auto" w:sz="4"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r>
      <w:tr>
        <w:tblPrEx>
          <w:tblCellMar>
            <w:top w:w="0" w:type="dxa"/>
            <w:left w:w="108" w:type="dxa"/>
            <w:bottom w:w="0" w:type="dxa"/>
            <w:right w:w="108" w:type="dxa"/>
          </w:tblCellMar>
        </w:tblPrEx>
        <w:trPr>
          <w:trHeight w:val="415" w:hRule="atLeast"/>
        </w:trPr>
        <w:tc>
          <w:tcPr>
            <w:tcW w:w="1455" w:type="dxa"/>
            <w:tcBorders>
              <w:top w:val="nil"/>
              <w:left w:val="single" w:color="auto" w:sz="4" w:space="0"/>
              <w:bottom w:val="single" w:color="auto" w:sz="4" w:space="0"/>
              <w:right w:val="single" w:color="auto" w:sz="4"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总报价</w:t>
            </w:r>
          </w:p>
        </w:tc>
        <w:tc>
          <w:tcPr>
            <w:tcW w:w="7529" w:type="dxa"/>
            <w:gridSpan w:val="3"/>
            <w:tcBorders>
              <w:top w:val="nil"/>
              <w:left w:val="nil"/>
              <w:bottom w:val="single" w:color="auto" w:sz="4" w:space="0"/>
              <w:right w:val="single" w:color="auto" w:sz="4"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人民币（大写）                   元整</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                 ）</w:t>
            </w:r>
          </w:p>
        </w:tc>
      </w:tr>
    </w:tbl>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法定代表人或被授权人（签字）：</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供应商（盖章）：</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日期：    年  月  日</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注：总报价（以人民币计价）应包含实施该项目所有费用。</w:t>
      </w:r>
    </w:p>
    <w:p>
      <w:pPr>
        <w:widowControl/>
        <w:shd w:val="clear" w:color="auto" w:fill="FFFFFF"/>
        <w:spacing w:line="480" w:lineRule="atLeast"/>
        <w:ind w:right="420"/>
        <w:jc w:val="left"/>
        <w:rPr>
          <w:rFonts w:ascii="仿宋" w:hAnsi="仿宋" w:eastAsia="仿宋" w:cs="宋体"/>
          <w:color w:val="333333"/>
          <w:kern w:val="0"/>
          <w:sz w:val="29"/>
          <w:szCs w:val="29"/>
        </w:rPr>
      </w:pPr>
      <w:r>
        <w:rPr>
          <w:rFonts w:ascii="仿宋" w:hAnsi="仿宋" w:eastAsia="仿宋" w:cs="宋体"/>
          <w:color w:val="333333"/>
          <w:kern w:val="0"/>
          <w:sz w:val="29"/>
          <w:szCs w:val="29"/>
        </w:rPr>
        <w:br w:type="page"/>
      </w:r>
      <w:bookmarkStart w:id="13" w:name="_Toc20968"/>
      <w:bookmarkStart w:id="14" w:name="_Toc516649866"/>
      <w:r>
        <w:rPr>
          <w:rFonts w:hint="eastAsia" w:ascii="仿宋" w:hAnsi="仿宋" w:eastAsia="仿宋" w:cs="宋体"/>
          <w:color w:val="333333"/>
          <w:kern w:val="0"/>
          <w:sz w:val="29"/>
          <w:szCs w:val="29"/>
        </w:rPr>
        <w:t>附件3</w:t>
      </w:r>
      <w:bookmarkEnd w:id="13"/>
    </w:p>
    <w:p>
      <w:pPr>
        <w:widowControl/>
        <w:shd w:val="clear" w:color="auto" w:fill="FFFFFF"/>
        <w:spacing w:line="480" w:lineRule="atLeast"/>
        <w:ind w:right="420"/>
        <w:jc w:val="left"/>
        <w:rPr>
          <w:rFonts w:ascii="仿宋" w:hAnsi="仿宋" w:eastAsia="仿宋" w:cs="宋体"/>
          <w:color w:val="333333"/>
          <w:kern w:val="0"/>
          <w:sz w:val="29"/>
          <w:szCs w:val="29"/>
        </w:rPr>
      </w:pPr>
      <w:bookmarkStart w:id="15" w:name="_Toc5543_WPSOffice_Level1"/>
      <w:bookmarkStart w:id="16" w:name="_Toc31867"/>
      <w:r>
        <w:rPr>
          <w:rFonts w:hint="eastAsia" w:ascii="仿宋" w:hAnsi="仿宋" w:eastAsia="仿宋" w:cs="宋体"/>
          <w:color w:val="333333"/>
          <w:kern w:val="0"/>
          <w:sz w:val="29"/>
          <w:szCs w:val="29"/>
        </w:rPr>
        <w:t>技术部分正负偏离表</w:t>
      </w:r>
      <w:bookmarkEnd w:id="14"/>
      <w:bookmarkEnd w:id="15"/>
      <w:bookmarkEnd w:id="16"/>
    </w:p>
    <w:tbl>
      <w:tblPr>
        <w:tblStyle w:val="8"/>
        <w:tblW w:w="0" w:type="auto"/>
        <w:jc w:val="center"/>
        <w:tblLayout w:type="fixed"/>
        <w:tblCellMar>
          <w:top w:w="0" w:type="dxa"/>
          <w:left w:w="10" w:type="dxa"/>
          <w:bottom w:w="0" w:type="dxa"/>
          <w:right w:w="10" w:type="dxa"/>
        </w:tblCellMar>
      </w:tblPr>
      <w:tblGrid>
        <w:gridCol w:w="758"/>
        <w:gridCol w:w="1620"/>
        <w:gridCol w:w="2700"/>
        <w:gridCol w:w="3240"/>
        <w:gridCol w:w="1106"/>
      </w:tblGrid>
      <w:tr>
        <w:tblPrEx>
          <w:tblCellMar>
            <w:top w:w="0" w:type="dxa"/>
            <w:left w:w="10" w:type="dxa"/>
            <w:bottom w:w="0" w:type="dxa"/>
            <w:right w:w="10" w:type="dxa"/>
          </w:tblCellMar>
        </w:tblPrEx>
        <w:trPr>
          <w:trHeight w:val="284" w:hRule="atLeast"/>
          <w:jc w:val="center"/>
        </w:trPr>
        <w:tc>
          <w:tcPr>
            <w:tcW w:w="9424" w:type="dxa"/>
            <w:gridSpan w:val="5"/>
            <w:tcBorders>
              <w:bottom w:val="single" w:color="auto" w:sz="6"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项目名称：</w:t>
            </w: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招标文件</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招标要求规格</w:t>
            </w:r>
          </w:p>
        </w:tc>
        <w:tc>
          <w:tcPr>
            <w:tcW w:w="3240"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投标响应</w:t>
            </w:r>
          </w:p>
        </w:tc>
        <w:tc>
          <w:tcPr>
            <w:tcW w:w="1106"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偏离</w:t>
            </w: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c>
          <w:tcPr>
            <w:tcW w:w="3240"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c>
          <w:tcPr>
            <w:tcW w:w="1106"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c>
          <w:tcPr>
            <w:tcW w:w="3240"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c>
          <w:tcPr>
            <w:tcW w:w="1106"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c>
          <w:tcPr>
            <w:tcW w:w="3240"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c>
          <w:tcPr>
            <w:tcW w:w="1106"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480" w:lineRule="atLeast"/>
              <w:ind w:right="420"/>
              <w:jc w:val="left"/>
              <w:rPr>
                <w:rFonts w:ascii="仿宋" w:hAnsi="仿宋" w:eastAsia="仿宋" w:cs="宋体"/>
                <w:color w:val="333333"/>
                <w:kern w:val="0"/>
                <w:sz w:val="29"/>
                <w:szCs w:val="29"/>
              </w:rPr>
            </w:pPr>
          </w:p>
        </w:tc>
      </w:tr>
    </w:tbl>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说明：此表行数不够填写，请自行增加。</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供应商名称:（盖章）</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法定代表人或授权委托人：（签字）</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日期：    年  月  日</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注：填制正负偏离表，完全响应的，请以空白表列示。不完全响应的，必须在偏离表中列示；列示不全的，视同故意隐瞒。</w:t>
      </w:r>
      <w:r>
        <w:rPr>
          <w:rFonts w:ascii="仿宋" w:hAnsi="仿宋" w:eastAsia="仿宋" w:cs="宋体"/>
          <w:color w:val="333333"/>
          <w:kern w:val="0"/>
          <w:sz w:val="29"/>
          <w:szCs w:val="29"/>
        </w:rPr>
        <w:br w:type="page"/>
      </w:r>
      <w:bookmarkStart w:id="17" w:name="_Toc516649867"/>
      <w:r>
        <w:rPr>
          <w:rFonts w:hint="eastAsia" w:ascii="仿宋" w:hAnsi="仿宋" w:eastAsia="仿宋" w:cs="宋体"/>
          <w:color w:val="333333"/>
          <w:kern w:val="0"/>
          <w:sz w:val="29"/>
          <w:szCs w:val="29"/>
        </w:rPr>
        <w:t>附件4</w:t>
      </w:r>
    </w:p>
    <w:p>
      <w:pPr>
        <w:widowControl/>
        <w:shd w:val="clear" w:color="auto" w:fill="FFFFFF"/>
        <w:spacing w:line="480" w:lineRule="atLeast"/>
        <w:ind w:right="420"/>
        <w:jc w:val="center"/>
        <w:rPr>
          <w:rFonts w:ascii="仿宋" w:hAnsi="仿宋" w:eastAsia="仿宋" w:cs="宋体"/>
          <w:color w:val="333333"/>
          <w:kern w:val="0"/>
          <w:sz w:val="29"/>
          <w:szCs w:val="29"/>
        </w:rPr>
      </w:pPr>
      <w:bookmarkStart w:id="18" w:name="_Toc27159_WPSOffice_Level1"/>
      <w:bookmarkStart w:id="19" w:name="_Toc7501"/>
      <w:r>
        <w:rPr>
          <w:rFonts w:hint="eastAsia" w:ascii="仿宋" w:hAnsi="仿宋" w:eastAsia="仿宋" w:cs="宋体"/>
          <w:color w:val="333333"/>
          <w:kern w:val="0"/>
          <w:sz w:val="29"/>
          <w:szCs w:val="29"/>
        </w:rPr>
        <w:t>供应商投标承诺书</w:t>
      </w:r>
      <w:bookmarkEnd w:id="17"/>
      <w:bookmarkEnd w:id="18"/>
      <w:bookmarkEnd w:id="19"/>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江苏省南通卫生高等职业技术学校：</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（供应商全称）授权（姓名）（职务）为全权代表，参加江苏省南通卫生高等职业技术学校</w:t>
      </w:r>
      <w:r>
        <w:rPr>
          <w:rFonts w:hint="eastAsia" w:ascii="仿宋" w:hAnsi="仿宋" w:eastAsia="仿宋" w:cs="宋体"/>
          <w:color w:val="333333"/>
          <w:kern w:val="0"/>
          <w:sz w:val="29"/>
          <w:szCs w:val="29"/>
          <w:u w:val="single"/>
        </w:rPr>
        <w:t xml:space="preserve">            </w:t>
      </w:r>
      <w:r>
        <w:rPr>
          <w:rFonts w:hint="eastAsia" w:ascii="仿宋" w:hAnsi="仿宋" w:eastAsia="仿宋" w:cs="宋体"/>
          <w:color w:val="333333"/>
          <w:kern w:val="0"/>
          <w:sz w:val="29"/>
          <w:szCs w:val="29"/>
        </w:rPr>
        <w:t>项目有关活动，并宣布同意如下：</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1．我方资格条件完全符合政府采购法和本次招标要求，同意并向贵方提供了与投标有关的所有证据和资料；</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2．按招标要求，我方自愿参与江苏省南通卫生高等职业技术学校</w:t>
      </w:r>
      <w:r>
        <w:rPr>
          <w:rFonts w:hint="eastAsia" w:ascii="仿宋" w:hAnsi="仿宋" w:eastAsia="仿宋" w:cs="宋体"/>
          <w:color w:val="333333"/>
          <w:kern w:val="0"/>
          <w:sz w:val="29"/>
          <w:szCs w:val="29"/>
          <w:u w:val="single"/>
        </w:rPr>
        <w:t xml:space="preserve">            </w:t>
      </w:r>
      <w:r>
        <w:rPr>
          <w:rFonts w:hint="eastAsia" w:ascii="仿宋" w:hAnsi="仿宋" w:eastAsia="仿宋" w:cs="宋体"/>
          <w:color w:val="333333"/>
          <w:kern w:val="0"/>
          <w:sz w:val="29"/>
          <w:szCs w:val="29"/>
        </w:rPr>
        <w:t>项目的资格审查；</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3．</w:t>
      </w:r>
      <w:r>
        <w:rPr>
          <w:rFonts w:hint="eastAsia" w:ascii="仿宋" w:hAnsi="仿宋" w:eastAsia="仿宋" w:cs="宋体"/>
          <w:kern w:val="0"/>
          <w:sz w:val="29"/>
          <w:szCs w:val="29"/>
        </w:rPr>
        <w:t>我方已详细审核全部招标文件及其有效补充文件，认可并理解招标文件规定内容，由于理解偏差产生的后果由我方承担；</w:t>
      </w:r>
      <w:r>
        <w:rPr>
          <w:rFonts w:ascii="仿宋" w:hAnsi="仿宋" w:eastAsia="仿宋" w:cs="宋体"/>
          <w:color w:val="333333"/>
          <w:kern w:val="0"/>
          <w:sz w:val="29"/>
          <w:szCs w:val="29"/>
        </w:rPr>
        <w:t xml:space="preserve"> </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4．我方同意从规定的开标日期起遵循本投标文件，并在规定的投标有效期期满之前均具有约束力；</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5．一旦我方中标，我方将根据招标文件的规定严格履行合同责任和义务；</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6．我方决不提供虚假材料谋取中标，决不采取不正当手段诋毁、排挤其他供应商，决不与招标人、其它供应商或者招标代理机构恶意串通，决不向招标人、政府招标代理机构工作人员和评委进行商业贿赂，决不在采购过程中与招标人进行协商谈判，决不拒绝有关部门监督检查，如有违反，无条件接受贵方及相关管理部门的处罚。</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与本投标有关的正式联系方式为：</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地址：</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邮编：</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电话：</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传真：</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授权委托人签字：</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职务：</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供应商名称：（加盖单位公章）</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日期：    年  月  日</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23404"/>
      <w:docPartObj>
        <w:docPartGallery w:val="AutoText"/>
      </w:docPartObj>
    </w:sdtPr>
    <w:sdtContent>
      <w:p>
        <w:pPr>
          <w:pStyle w:val="4"/>
          <w:jc w:val="center"/>
        </w:pPr>
        <w:r>
          <w:fldChar w:fldCharType="begin"/>
        </w:r>
        <w:r>
          <w:instrText xml:space="preserve"> PAGE   \* MERGEFORMAT </w:instrText>
        </w:r>
        <w:r>
          <w:fldChar w:fldCharType="separate"/>
        </w:r>
        <w:r>
          <w:rPr>
            <w:lang w:val="zh-CN"/>
          </w:rPr>
          <w:t>-</w:t>
        </w:r>
        <w:r>
          <w:t xml:space="preserve"> 16 -</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01FA5"/>
    <w:multiLevelType w:val="multilevel"/>
    <w:tmpl w:val="3B501FA5"/>
    <w:lvl w:ilvl="0" w:tentative="0">
      <w:start w:val="1"/>
      <w:numFmt w:val="decimal"/>
      <w:lvlText w:val="%1、"/>
      <w:lvlJc w:val="left"/>
      <w:pPr>
        <w:ind w:left="990" w:hanging="435"/>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1D6F"/>
    <w:rsid w:val="00001199"/>
    <w:rsid w:val="00020E28"/>
    <w:rsid w:val="00043BC1"/>
    <w:rsid w:val="00062EE1"/>
    <w:rsid w:val="00071755"/>
    <w:rsid w:val="00084FF3"/>
    <w:rsid w:val="000903EF"/>
    <w:rsid w:val="000C1AAD"/>
    <w:rsid w:val="000F682D"/>
    <w:rsid w:val="00106C4B"/>
    <w:rsid w:val="00107F0C"/>
    <w:rsid w:val="00116391"/>
    <w:rsid w:val="001459F2"/>
    <w:rsid w:val="00155A35"/>
    <w:rsid w:val="001571D3"/>
    <w:rsid w:val="00196B92"/>
    <w:rsid w:val="001A4737"/>
    <w:rsid w:val="001E7A43"/>
    <w:rsid w:val="00256EA4"/>
    <w:rsid w:val="00263921"/>
    <w:rsid w:val="00295950"/>
    <w:rsid w:val="00350682"/>
    <w:rsid w:val="00374ADE"/>
    <w:rsid w:val="00386F0A"/>
    <w:rsid w:val="003A427C"/>
    <w:rsid w:val="003C6720"/>
    <w:rsid w:val="003E0260"/>
    <w:rsid w:val="003E7876"/>
    <w:rsid w:val="004245B5"/>
    <w:rsid w:val="00457E9C"/>
    <w:rsid w:val="00481189"/>
    <w:rsid w:val="00494EA9"/>
    <w:rsid w:val="004B3835"/>
    <w:rsid w:val="004C1D1F"/>
    <w:rsid w:val="004D30F6"/>
    <w:rsid w:val="004D4D3E"/>
    <w:rsid w:val="00530366"/>
    <w:rsid w:val="00550F58"/>
    <w:rsid w:val="005E1213"/>
    <w:rsid w:val="006313AA"/>
    <w:rsid w:val="00662D8E"/>
    <w:rsid w:val="00694076"/>
    <w:rsid w:val="00767CAC"/>
    <w:rsid w:val="0077159F"/>
    <w:rsid w:val="00771D6F"/>
    <w:rsid w:val="00780061"/>
    <w:rsid w:val="00783441"/>
    <w:rsid w:val="007A33C1"/>
    <w:rsid w:val="007D663C"/>
    <w:rsid w:val="008A32A2"/>
    <w:rsid w:val="008B74B7"/>
    <w:rsid w:val="008D699F"/>
    <w:rsid w:val="00910583"/>
    <w:rsid w:val="00914217"/>
    <w:rsid w:val="00952BB8"/>
    <w:rsid w:val="00AD0EC2"/>
    <w:rsid w:val="00B05C5A"/>
    <w:rsid w:val="00B077D4"/>
    <w:rsid w:val="00BB12B6"/>
    <w:rsid w:val="00BB7E8C"/>
    <w:rsid w:val="00BC364F"/>
    <w:rsid w:val="00BD2912"/>
    <w:rsid w:val="00BD76DE"/>
    <w:rsid w:val="00C00319"/>
    <w:rsid w:val="00C267CD"/>
    <w:rsid w:val="00C574E0"/>
    <w:rsid w:val="00C779F7"/>
    <w:rsid w:val="00C93D76"/>
    <w:rsid w:val="00CB5BF8"/>
    <w:rsid w:val="00CC047F"/>
    <w:rsid w:val="00CC47DB"/>
    <w:rsid w:val="00CF5267"/>
    <w:rsid w:val="00D1463E"/>
    <w:rsid w:val="00D42D4D"/>
    <w:rsid w:val="00D83BC9"/>
    <w:rsid w:val="00D92E57"/>
    <w:rsid w:val="00DB597A"/>
    <w:rsid w:val="00E02E33"/>
    <w:rsid w:val="00E115D6"/>
    <w:rsid w:val="00E12C31"/>
    <w:rsid w:val="00E35782"/>
    <w:rsid w:val="00EC525F"/>
    <w:rsid w:val="00F12011"/>
    <w:rsid w:val="00F31D9B"/>
    <w:rsid w:val="00F5793E"/>
    <w:rsid w:val="00F710E8"/>
    <w:rsid w:val="00FB2A42"/>
    <w:rsid w:val="00FC280E"/>
    <w:rsid w:val="00FD53F6"/>
    <w:rsid w:val="34415E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semiHidden/>
    <w:unhideWhenUsed/>
    <w:uiPriority w:val="99"/>
    <w:pPr>
      <w:spacing w:after="120"/>
    </w:pPr>
  </w:style>
  <w:style w:type="paragraph" w:styleId="3">
    <w:name w:val="Date"/>
    <w:basedOn w:val="1"/>
    <w:next w:val="1"/>
    <w:link w:val="13"/>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w:basedOn w:val="2"/>
    <w:link w:val="15"/>
    <w:unhideWhenUsed/>
    <w:uiPriority w:val="99"/>
    <w:pPr>
      <w:spacing w:line="440" w:lineRule="exact"/>
      <w:ind w:firstLine="420" w:firstLineChars="100"/>
    </w:pPr>
    <w:rPr>
      <w:rFonts w:ascii="宋体" w:hAnsi="Times New Roman" w:eastAsia="宋体"/>
      <w:sz w:val="24"/>
      <w:szCs w:val="28"/>
    </w:rPr>
  </w:style>
  <w:style w:type="character" w:styleId="10">
    <w:name w:val="Strong"/>
    <w:basedOn w:val="9"/>
    <w:qFormat/>
    <w:uiPriority w:val="22"/>
    <w:rPr>
      <w:b/>
      <w:bCs/>
    </w:rPr>
  </w:style>
  <w:style w:type="character" w:customStyle="1" w:styleId="11">
    <w:name w:val="页眉 Char"/>
    <w:basedOn w:val="9"/>
    <w:link w:val="5"/>
    <w:semiHidden/>
    <w:uiPriority w:val="99"/>
    <w:rPr>
      <w:sz w:val="18"/>
      <w:szCs w:val="18"/>
    </w:rPr>
  </w:style>
  <w:style w:type="character" w:customStyle="1" w:styleId="12">
    <w:name w:val="页脚 Char"/>
    <w:basedOn w:val="9"/>
    <w:link w:val="4"/>
    <w:uiPriority w:val="99"/>
    <w:rPr>
      <w:sz w:val="18"/>
      <w:szCs w:val="18"/>
    </w:rPr>
  </w:style>
  <w:style w:type="character" w:customStyle="1" w:styleId="13">
    <w:name w:val="日期 Char"/>
    <w:basedOn w:val="9"/>
    <w:link w:val="3"/>
    <w:semiHidden/>
    <w:qFormat/>
    <w:uiPriority w:val="99"/>
  </w:style>
  <w:style w:type="character" w:customStyle="1" w:styleId="14">
    <w:name w:val="正文文本 Char"/>
    <w:basedOn w:val="9"/>
    <w:link w:val="2"/>
    <w:semiHidden/>
    <w:uiPriority w:val="99"/>
  </w:style>
  <w:style w:type="character" w:customStyle="1" w:styleId="15">
    <w:name w:val="正文首行缩进 Char"/>
    <w:basedOn w:val="14"/>
    <w:link w:val="7"/>
    <w:uiPriority w:val="99"/>
    <w:rPr>
      <w:rFonts w:ascii="宋体" w:hAnsi="Times New Roman" w:eastAsia="宋体"/>
      <w:sz w:val="24"/>
      <w:szCs w:val="28"/>
    </w:rPr>
  </w:style>
  <w:style w:type="paragraph" w:styleId="1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95705A-9B2D-460D-94B1-77C801BC431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1648</Words>
  <Characters>9394</Characters>
  <Lines>78</Lines>
  <Paragraphs>22</Paragraphs>
  <TotalTime>26</TotalTime>
  <ScaleCrop>false</ScaleCrop>
  <LinksUpToDate>false</LinksUpToDate>
  <CharactersWithSpaces>11020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2020-11-11T23:42:00Z</dcterms:created>
  <dc:creator>dreamsummit</dc:creator>
  <cp:lastModifiedBy>曹洋华</cp:lastModifiedBy>
  <cp:lastPrinted>2020-11-16T01:52:00Z</cp:lastPrinted>
  <dcterms:modified xsi:type="dcterms:W3CDTF">2020-11-18T02:55:07Z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