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5322" w:firstLineChars="1901"/>
        <w:rPr>
          <w:rFonts w:ascii="仿宋" w:hAnsi="仿宋" w:eastAsia="仿宋" w:cs="Arial"/>
          <w:b/>
          <w:bCs/>
          <w:kern w:val="0"/>
          <w:sz w:val="28"/>
          <w:szCs w:val="28"/>
        </w:rPr>
      </w:pPr>
      <w:bookmarkStart w:id="9" w:name="_GoBack"/>
      <w:bookmarkStart w:id="0" w:name="OLE_LINK7"/>
      <w:bookmarkStart w:id="1" w:name="OLE_LINK2"/>
      <w:bookmarkStart w:id="2" w:name="OLE_LINK4"/>
      <w:bookmarkStart w:id="3" w:name="OLE_LINK3"/>
      <w:bookmarkStart w:id="4" w:name="OLE_LINK1"/>
      <w:bookmarkStart w:id="5" w:name="OLE_LINK5"/>
      <w:bookmarkStart w:id="6" w:name="OLE_LINK6"/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标书编号：BS2020031</w:t>
      </w:r>
    </w:p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海安校区实训操作模型项目</w:t>
      </w:r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招标文件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江苏省南通卫生高等职业技术学校（以下简称招标人）拟对项目海安校区实训操作模型进行招标，欢迎符合资格的单位（以下简称投标人）参加投标。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海安校区实训操作模型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招标文件编号：BS2020031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Arial"/>
          <w:kern w:val="0"/>
          <w:sz w:val="28"/>
          <w:szCs w:val="28"/>
        </w:rPr>
        <w:t>海安校区实训操作模型项目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人民币100元。（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1、本项目供应商报价时需含人工费、设备费、安装费、税金等全部费用，包括设备调试费用、人员培训费及提供服务所需设备、配件等设备辅材等一切费用。本项目为固定总价，请投标人认真按照要求报价。因报价和质量原因引起的损失，由投标人自行承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2、本项目最高限价5万元。投标人需根据采购清单分项报价，后汇总报价（见附件）。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（二）项目基本要求</w:t>
      </w:r>
    </w:p>
    <w:p>
      <w:pPr>
        <w:spacing w:line="40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1、采购清单：见附件。投标产品必须符合上述要求，产品外观需与上表图样基本一致，投标产品必须注明规格型号。</w:t>
      </w:r>
    </w:p>
    <w:p>
      <w:pPr>
        <w:spacing w:line="40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2.质量要求、技术标准、供方对质量负责的条件和期限：国家有统一标准的，执行国家标准；国家没有统一标准的，执行厂家标准。招标人有特殊要求的，按招标文件中有关条款执行。本项目质保期一年。</w:t>
      </w:r>
    </w:p>
    <w:p>
      <w:pPr>
        <w:spacing w:line="40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3、送货地点：</w:t>
      </w:r>
      <w:r>
        <w:rPr>
          <w:rFonts w:hint="eastAsia" w:ascii="仿宋_GB2312" w:eastAsia="仿宋_GB2312"/>
          <w:sz w:val="28"/>
        </w:rPr>
        <w:t>江苏省南通卫生高等职业技术学校海安校区（海安高庄路128号）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4、送货要求:合同签订后10天内。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5、结帐方式：验收合格后付95%，余5%作为质保金，质保期一年到期后付清。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6、售后服务及其他（含安装、调试、培训、维护等）。</w:t>
      </w:r>
    </w:p>
    <w:bookmarkEnd w:id="0"/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设有固定的经营地点，具有与采购货物相应的经营资质和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（二）投标人必须具有企业法人营业执照。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（四）投标人缴纳投标保证金2000元，中标后即转为履约保证金。如中标单位违约投标保证金概不退还。未中标单位开标后退还。保证金交至学校行政楼1408室。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（六）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（1）投标文件目录；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（2）投标人营业执照（复印件加盖公章）；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（3）法定代表人授权委托书及法定代表人和受委托人身份证复印件（法定代表人亲自参加招投标的除外）。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（4）供应商近三年没有重大违法记录的书面声明（加盖供应商公章）；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（5）供应商投标及售后服务承诺书；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正本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副本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sz w:val="28"/>
          <w:szCs w:val="28"/>
        </w:rPr>
        <w:t>正本和副本分别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20年 7月 23日9 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kern w:val="0"/>
          <w:sz w:val="28"/>
          <w:szCs w:val="28"/>
        </w:rPr>
        <w:t>8号房间（振兴东路</w:t>
      </w:r>
      <w:r>
        <w:rPr>
          <w:rFonts w:ascii="仿宋" w:hAnsi="仿宋" w:eastAsia="仿宋" w:cs="Arial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（三）投标联系人及电话：曹老师</w:t>
      </w:r>
      <w:r>
        <w:rPr>
          <w:rFonts w:ascii="Arial" w:hAnsi="Arial" w:eastAsia="仿宋" w:cs="Arial"/>
          <w:kern w:val="0"/>
          <w:sz w:val="28"/>
          <w:szCs w:val="28"/>
        </w:rPr>
        <w:t>  </w:t>
      </w:r>
      <w:r>
        <w:rPr>
          <w:rFonts w:ascii="仿宋" w:hAnsi="仿宋" w:eastAsia="仿宋" w:cs="Arial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18862888898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20年 7月 23 日9时</w:t>
      </w:r>
      <w:r>
        <w:rPr>
          <w:rFonts w:hint="eastAsia" w:ascii="仿宋" w:hAnsi="仿宋" w:eastAsia="仿宋" w:cs="Arial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kern w:val="0"/>
          <w:sz w:val="28"/>
          <w:szCs w:val="28"/>
        </w:rPr>
        <w:t>08会议室。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有效且报价最低的投标人为中标候选人。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1.中标人从收到中标通知的3日内与招标人签订合同，合同主要条款见招标书项目要求主要内容。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十、投标文件有效期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widowControl/>
        <w:shd w:val="clear" w:color="auto" w:fill="FFFFFF"/>
        <w:spacing w:line="480" w:lineRule="exact"/>
        <w:ind w:firstLine="560"/>
        <w:jc w:val="center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right="42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大宗物资与服务采购管理办公室</w:t>
      </w:r>
    </w:p>
    <w:p>
      <w:pPr>
        <w:widowControl/>
        <w:shd w:val="clear" w:color="auto" w:fill="FFFFFF"/>
        <w:spacing w:line="480" w:lineRule="exact"/>
        <w:ind w:right="56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                       2020年7月1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附件：采购清单及报价单</w:t>
      </w:r>
    </w:p>
    <w:tbl>
      <w:tblPr>
        <w:tblStyle w:val="5"/>
        <w:tblpPr w:leftFromText="180" w:rightFromText="180" w:vertAnchor="text" w:horzAnchor="page" w:tblpX="947" w:tblpY="407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81"/>
        <w:gridCol w:w="1179"/>
        <w:gridCol w:w="1050"/>
        <w:gridCol w:w="660"/>
        <w:gridCol w:w="728"/>
        <w:gridCol w:w="73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3081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品名、规格及技术参数要求</w:t>
            </w:r>
          </w:p>
        </w:tc>
        <w:tc>
          <w:tcPr>
            <w:tcW w:w="117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品牌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型号</w:t>
            </w:r>
          </w:p>
        </w:tc>
        <w:tc>
          <w:tcPr>
            <w:tcW w:w="66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72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单价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金额</w:t>
            </w:r>
          </w:p>
        </w:tc>
        <w:tc>
          <w:tcPr>
            <w:tcW w:w="234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4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参考图样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081" w:type="dxa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</w:rPr>
              <w:t>多功能透明洗胃训练模型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参考尺寸100cm*50cm*40cm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参考重量：15KG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参数：</w:t>
            </w:r>
            <w:r>
              <w:rPr>
                <w:kern w:val="0"/>
              </w:rPr>
              <w:t>该产品模拟成人男性上半身结构，解剖结构包括：鼻腔、口腔、牙、舌、悬雍垂、会厌、声带、气管、支气管、双肺、食管、胃、肝脏、小肠，采用进口材料制成，手感真实，胃部采用高强度透明材料制成，观察方便。可以直接观看到胸腔内逼真的脏器结构。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>主要功能：</w:t>
            </w:r>
            <w:r>
              <w:rPr>
                <w:rFonts w:hint="eastAsia" w:ascii="宋体" w:hAnsi="宋体" w:cs="宋体"/>
                <w:kern w:val="0"/>
              </w:rPr>
              <w:t>1、透明胸壁，暴露胸腔内脏器，如胃和肺脏，可检验操作是否正确。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2、可进行经口或鼻胃管理置入；进行鼻饲、洗胃术、止血、胃镜检查操作，操作正确时，可抽出模拟胃液，操作完成后，消化道内液体可排除体外。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3、可经口或鼻气管插管术；进行吸痰、吸氧等操作。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4、可进行气管切开术后护理、口腔护理。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5、手动产生颈动脉搏动。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2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color w:val="111111"/>
                <w:kern w:val="0"/>
                <w:sz w:val="18"/>
                <w:szCs w:val="18"/>
              </w:rPr>
              <w:drawing>
                <wp:inline distT="0" distB="0" distL="0" distR="0">
                  <wp:extent cx="1362075" cy="2276475"/>
                  <wp:effectExtent l="0" t="0" r="9525" b="9525"/>
                  <wp:docPr id="1" name="图片 2" descr="http://www.shyilian.com.cn/productpic/201410223789017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http://www.shyilian.com.cn/productpic/2014102237890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4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081" w:type="dxa"/>
          </w:tcPr>
          <w:p>
            <w:pPr>
              <w:pStyle w:val="4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胸穿模型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参考尺寸：80cm*70cm*60cm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参考重量：20KG</w:t>
            </w:r>
          </w:p>
          <w:p>
            <w:pPr>
              <w:pStyle w:val="4"/>
              <w:rPr>
                <w:rStyle w:val="14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参数：</w:t>
            </w:r>
            <w:r>
              <w:rPr>
                <w:rStyle w:val="14"/>
                <w:color w:val="333333"/>
                <w:sz w:val="21"/>
                <w:szCs w:val="21"/>
              </w:rPr>
              <w:t>仿真标准化病人反向坐于靠背椅上，双臂平置，形象逼真。体表标志明显，解剖位置准确，肩胛骨、肋骨、肋间隙、脊柱棘突容易触摸。叩诊双侧背部，可或实音处确定穿刺部位</w:t>
            </w:r>
            <w:r>
              <w:rPr>
                <w:rStyle w:val="14"/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pStyle w:val="4"/>
              <w:rPr>
                <w:rStyle w:val="14"/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主要功能：1、</w:t>
            </w:r>
            <w:r>
              <w:rPr>
                <w:rStyle w:val="14"/>
                <w:color w:val="333333"/>
                <w:sz w:val="21"/>
                <w:szCs w:val="21"/>
              </w:rPr>
              <w:t>完全的穿刺部位：[双侧]肩胛下角线、腋中线、腋后线，均可实施胸腔穿刺，充分发挥仿真病人的使用价值。性能优异的高弹型材质，器超强的回缩能力，有效延长了产品的使用寿命</w:t>
            </w:r>
            <w:r>
              <w:rPr>
                <w:rStyle w:val="14"/>
                <w:rFonts w:hint="eastAsia"/>
                <w:color w:val="333333"/>
                <w:sz w:val="21"/>
                <w:szCs w:val="21"/>
              </w:rPr>
              <w:t>。</w:t>
            </w:r>
            <w:r>
              <w:rPr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333333"/>
                <w:sz w:val="21"/>
                <w:szCs w:val="21"/>
              </w:rPr>
              <w:t>2、</w:t>
            </w:r>
            <w:r>
              <w:rPr>
                <w:rStyle w:val="14"/>
                <w:color w:val="333333"/>
                <w:sz w:val="21"/>
                <w:szCs w:val="21"/>
              </w:rPr>
              <w:t>电子监测：穿刺针要求沿下位肋骨的上缘垂直刺入，穿刺错误有语言提示。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2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  <w:r>
              <w:drawing>
                <wp:inline distT="0" distB="0" distL="0" distR="0">
                  <wp:extent cx="1362075" cy="1047750"/>
                  <wp:effectExtent l="0" t="0" r="9525" b="0"/>
                  <wp:docPr id="2" name="图片 12" descr="2011081550868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 descr="2011081550868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6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081" w:type="dxa"/>
          </w:tcPr>
          <w:p>
            <w:pPr>
              <w:pStyle w:val="4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腹腔穿刺训练模型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参考尺寸：90cm*50cm*30cm</w:t>
            </w:r>
          </w:p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参考重量：15KG</w:t>
            </w:r>
          </w:p>
          <w:p>
            <w:pPr>
              <w:pStyle w:val="4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>参数：</w:t>
            </w:r>
            <w:r>
              <w:rPr>
                <w:color w:val="333333"/>
                <w:sz w:val="21"/>
                <w:szCs w:val="21"/>
              </w:rPr>
              <w:t>仿真标准化病人形象逼真，质地柔软，触感真实。</w:t>
            </w:r>
          </w:p>
          <w:p>
            <w:pPr>
              <w:pStyle w:val="4"/>
              <w:rPr>
                <w:color w:val="333333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主要功能：1、</w:t>
            </w:r>
            <w:r>
              <w:rPr>
                <w:color w:val="333333"/>
                <w:sz w:val="21"/>
                <w:szCs w:val="21"/>
              </w:rPr>
              <w:t>体表标志明显：肋弓下缘、尖突、腹直肌、脐、腹股沟、髂前上棘、髂嵴，均可明显感知。功能试验台可操作仿真病人模拟左、右侧卧位，行腹部移动性浊音叩诊训练。功能实验台可操作仿真病人取斜坡卧式或左侧卧位行腹腔穿刺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  <w:r>
              <w:rPr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333333"/>
                <w:sz w:val="21"/>
                <w:szCs w:val="21"/>
              </w:rPr>
              <w:t>2、</w:t>
            </w:r>
            <w:r>
              <w:rPr>
                <w:color w:val="333333"/>
                <w:sz w:val="21"/>
                <w:szCs w:val="21"/>
              </w:rPr>
              <w:t>穿刺有明显落空感，可抽出模拟腹腔积水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2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  <w:r>
              <w:drawing>
                <wp:inline distT="0" distB="0" distL="0" distR="0">
                  <wp:extent cx="1400175" cy="933450"/>
                  <wp:effectExtent l="0" t="0" r="9525" b="0"/>
                  <wp:docPr id="3" name="图片 13" descr="201109013586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 descr="2011090135865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1" w:type="dxa"/>
            <w:vAlign w:val="center"/>
          </w:tcPr>
          <w:p>
            <w:pPr>
              <w:pStyle w:val="4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合计金额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jc w:val="center"/>
              <w:rPr>
                <w:bCs/>
                <w:color w:val="000000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</w:pPr>
          </w:p>
        </w:tc>
      </w:tr>
    </w:tbl>
    <w:p>
      <w:pPr>
        <w:widowControl/>
        <w:shd w:val="clear" w:color="auto" w:fill="FFFFFF"/>
        <w:spacing w:line="480" w:lineRule="exact"/>
        <w:ind w:right="560"/>
        <w:jc w:val="center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jc w:val="center"/>
        <w:rPr>
          <w:rFonts w:ascii="仿宋" w:hAnsi="仿宋" w:eastAsia="仿宋" w:cs="Arial"/>
          <w:kern w:val="0"/>
          <w:sz w:val="28"/>
          <w:szCs w:val="28"/>
        </w:rPr>
      </w:pPr>
    </w:p>
    <w:bookmarkEnd w:id="9"/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ascii="华文仿宋" w:hAnsi="华文仿宋" w:eastAsia="华文仿宋" w:cs="宋体"/>
          <w:color w:val="333333"/>
          <w:kern w:val="0"/>
          <w:sz w:val="24"/>
        </w:rPr>
      </w:pPr>
      <w:bookmarkStart w:id="7" w:name="_Toc13413"/>
      <w:bookmarkStart w:id="8" w:name="_Toc516649864"/>
    </w:p>
    <w:p>
      <w:pPr>
        <w:widowControl/>
        <w:shd w:val="clear" w:color="auto" w:fill="FFFFFF"/>
        <w:spacing w:line="480" w:lineRule="atLeast"/>
        <w:ind w:right="420"/>
        <w:jc w:val="left"/>
        <w:rPr>
          <w:rFonts w:ascii="华文仿宋" w:hAnsi="华文仿宋" w:eastAsia="华文仿宋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ascii="华文仿宋" w:hAnsi="华文仿宋" w:eastAsia="华文仿宋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ascii="仿宋" w:hAnsi="仿宋" w:eastAsia="仿宋" w:cs="仿宋"/>
          <w:color w:val="333333"/>
          <w:kern w:val="0"/>
          <w:sz w:val="28"/>
          <w:szCs w:val="28"/>
        </w:rPr>
      </w:pPr>
    </w:p>
    <w:bookmarkEnd w:id="7"/>
    <w:bookmarkEnd w:id="8"/>
    <w:p>
      <w:pPr>
        <w:widowControl/>
        <w:shd w:val="clear" w:color="auto" w:fill="FFFFFF"/>
        <w:spacing w:line="480" w:lineRule="atLeast"/>
        <w:ind w:right="420"/>
        <w:jc w:val="left"/>
        <w:rPr>
          <w:rFonts w:ascii="仿宋" w:hAnsi="仿宋" w:eastAsia="仿宋" w:cs="仿宋"/>
          <w:color w:val="333333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right="420"/>
        <w:jc w:val="left"/>
        <w:rPr>
          <w:rFonts w:ascii="仿宋" w:hAnsi="仿宋" w:eastAsia="仿宋" w:cs="仿宋"/>
          <w:color w:val="333333"/>
          <w:kern w:val="0"/>
          <w:sz w:val="24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BC75"/>
    <w:multiLevelType w:val="singleLevel"/>
    <w:tmpl w:val="7AF8BC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37F6"/>
    <w:rsid w:val="00307771"/>
    <w:rsid w:val="0031101D"/>
    <w:rsid w:val="003150C9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97C6A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06A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E6EEF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0C79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17602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76CC8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74E"/>
    <w:rsid w:val="00DE19A1"/>
    <w:rsid w:val="00DE5EA6"/>
    <w:rsid w:val="00DF63D5"/>
    <w:rsid w:val="00E007A8"/>
    <w:rsid w:val="00E02EDC"/>
    <w:rsid w:val="00E123D0"/>
    <w:rsid w:val="00E1257E"/>
    <w:rsid w:val="00E13D1B"/>
    <w:rsid w:val="00E15C03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04B2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1E63059"/>
    <w:rsid w:val="08AF7AB0"/>
    <w:rsid w:val="0BAA46E3"/>
    <w:rsid w:val="10643E22"/>
    <w:rsid w:val="18AA4EE6"/>
    <w:rsid w:val="257A2F50"/>
    <w:rsid w:val="2834425A"/>
    <w:rsid w:val="2FA10EF7"/>
    <w:rsid w:val="385016D8"/>
    <w:rsid w:val="3D95018E"/>
    <w:rsid w:val="3F1E6E6F"/>
    <w:rsid w:val="4CAF6164"/>
    <w:rsid w:val="53CC267C"/>
    <w:rsid w:val="560421EE"/>
    <w:rsid w:val="62D13C9E"/>
    <w:rsid w:val="6689393A"/>
    <w:rsid w:val="6B455F2C"/>
    <w:rsid w:val="74471DFB"/>
    <w:rsid w:val="768E2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hyperlink" Target="http://www.shyilian.com.cn/productpic/2014102237890177.jp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473</Words>
  <Characters>2697</Characters>
  <Lines>22</Lines>
  <Paragraphs>6</Paragraphs>
  <TotalTime>1</TotalTime>
  <ScaleCrop>false</ScaleCrop>
  <LinksUpToDate>false</LinksUpToDate>
  <CharactersWithSpaces>3164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2020-07-15T04:13:00Z</dcterms:created>
  <dc:creator>微软用户</dc:creator>
  <cp:lastModifiedBy>曹洋华</cp:lastModifiedBy>
  <cp:lastPrinted>2020-07-14T07:04:00Z</cp:lastPrinted>
  <dcterms:modified xsi:type="dcterms:W3CDTF">2020-07-16T02:26:21Z</dcterms:modified>
  <dc:title>江苏省南通卫生高等职业技术学校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