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B9" w:rsidRDefault="00B26E4F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5"/>
      <w:bookmarkStart w:id="2" w:name="OLE_LINK4"/>
      <w:bookmarkStart w:id="3" w:name="OLE_LINK3"/>
      <w:bookmarkStart w:id="4" w:name="OLE_LINK1"/>
      <w:bookmarkStart w:id="5" w:name="OLE_LINK2"/>
      <w:bookmarkStart w:id="6" w:name="OLE_LINK6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7A3FB9" w:rsidRDefault="0069644F" w:rsidP="0069644F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宿舍</w:t>
      </w:r>
      <w:r w:rsidR="00B26E4F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楼外购热水项目招标文件</w:t>
      </w:r>
    </w:p>
    <w:p w:rsidR="007A3FB9" w:rsidRDefault="007A3FB9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69644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苏俄舍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楼外购热水项目进行招标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7A3FB9" w:rsidRDefault="00B26E4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一、招标文件编号：BS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</w:t>
      </w:r>
      <w:r w:rsid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051</w:t>
      </w:r>
    </w:p>
    <w:p w:rsidR="007A3FB9" w:rsidRDefault="00B26E4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</w:t>
      </w:r>
      <w:r w:rsidR="0069644F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宿舍楼</w:t>
      </w:r>
      <w:r w:rsidR="0069644F"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  <w:t>（</w:t>
      </w:r>
      <w:r w:rsidR="0069644F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8、9、10号</w:t>
      </w:r>
      <w:r w:rsidR="0069644F"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楼外购热水项目</w:t>
      </w:r>
    </w:p>
    <w:p w:rsidR="007A3FB9" w:rsidRDefault="00B26E4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200元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缴纳，行政楼1408开标室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缴款后概不退还）</w:t>
      </w:r>
    </w:p>
    <w:p w:rsidR="007A3FB9" w:rsidRDefault="00B26E4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1、本项目为固定单价报价。投标报价包含材料和设备采购、运输、仓储、搬运、安装和施工人工、材料、机械设备、管理费、规费、税金及质保期服务等所有费用，结算不作调整。</w:t>
      </w:r>
    </w:p>
    <w:p w:rsidR="007A3FB9" w:rsidRDefault="00B26E4F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2、本项目最高限价</w:t>
      </w:r>
      <w:r w:rsidRPr="0069644F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30元/吨。</w:t>
      </w: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招标人不接受超过该限价的报价。</w:t>
      </w:r>
      <w:r w:rsidR="00D16116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投标人</w:t>
      </w:r>
      <w:r w:rsidR="00D16116"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  <w:t>按每吨报单价。</w:t>
      </w:r>
      <w:bookmarkStart w:id="7" w:name="_GoBack"/>
      <w:bookmarkEnd w:id="7"/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（二）项目基本要求</w:t>
      </w:r>
    </w:p>
    <w:p w:rsidR="007A3FB9" w:rsidRDefault="00B26E4F">
      <w:pPr>
        <w:spacing w:line="480" w:lineRule="exact"/>
        <w:ind w:firstLineChars="250" w:firstLine="700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1、工程量：年用量约2万吨，按实结算</w:t>
      </w: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。</w:t>
      </w:r>
    </w:p>
    <w:p w:rsidR="007A3FB9" w:rsidRDefault="00B26E4F" w:rsidP="004110DB">
      <w:pPr>
        <w:spacing w:line="480" w:lineRule="exact"/>
        <w:ind w:firstLineChars="250" w:firstLine="70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</w:t>
      </w:r>
      <w:r w:rsid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、</w:t>
      </w:r>
      <w:r w:rsidR="004110D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送水</w:t>
      </w:r>
      <w:r w:rsid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地点：南通卫生高职校</w:t>
      </w:r>
      <w:r w:rsidR="0069644F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振兴东路校区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内。</w:t>
      </w:r>
    </w:p>
    <w:p w:rsidR="007A3FB9" w:rsidRDefault="00B26E4F">
      <w:pPr>
        <w:spacing w:line="480" w:lineRule="exac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4110DB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 xml:space="preserve"> 3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、结帐方式：每月按照实际使用量，中标人开具正式发票后，招标人于10个工作日内支付。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4、质量要求：按照国家和行业相关标准，水温不低于90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℃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7A3FB9" w:rsidRDefault="00B26E4F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5、</w:t>
      </w:r>
      <w:r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  <w:t>安全要求：应严格按照国家及省市安全生产相关规定，采取合理的安全措施</w:t>
      </w: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担。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6、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投标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人不得对现场条件提出额外要求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提供相关服务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时须服从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7A3FB9" w:rsidRDefault="00B26E4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五、投标须知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lastRenderedPageBreak/>
        <w:t>（一）投标人必须是在中华人民共和国境内注册的独立法人，设有固定的经营地点，具有一定经营规模，拥有良好的信誉、经营业绩和售后服务。具有完成招标项目的能力（营业执照含有与招标项目相应的经营范围），具有独立签订合同的权利，圆满履行合同的能力。由于投标人原因导致合同无法履行，由投标人承担全部责任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（二）投标人须具有企业法人营业执照。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（三）无论投标结果如何，投标人自行承担投标发生的所有费用。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（四）投标人缴纳投标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保证金5000元，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中标后即转为履约保证金。如中标单位违约投标保证金概不退还。未中标单位开标后</w:t>
      </w:r>
      <w:r w:rsid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无息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退还。保证金交至学校行政楼1408室。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1、投标保证金在投标时由投标人以现金形式提交保证金，保证金用信封密封缴至江苏省南通卫生高等职业技术学校行政楼14楼1408室。并在信封表面注明投标单位，联系人和联系方式。盖上公章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2、投标人在递交投标材料时，未提交保证金的，视为放弃本次投标资格。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3、缴纳保证金的投标人无故未参加投标的，招标人有权没收其保证金作为违约金。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7A3FB9" w:rsidRDefault="00B26E4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000000" w:themeColor="text1"/>
          <w:kern w:val="0"/>
          <w:sz w:val="28"/>
          <w:szCs w:val="28"/>
        </w:rPr>
        <w:t>  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（一）编制须知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lastRenderedPageBreak/>
        <w:t>2.招标人不接受电话、传真等形式的投标。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（二）编制要求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投标文件应包括下列内容，不得有缺项和漏项，否则作废标处理。</w:t>
      </w:r>
      <w:r w:rsidRPr="0069644F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所有材料复印件必须加盖单位公章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7A3FB9" w:rsidRDefault="0069644F" w:rsidP="0069644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1、</w:t>
      </w:r>
      <w:r w:rsidR="00B26E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投标文件目录。</w:t>
      </w:r>
    </w:p>
    <w:p w:rsidR="007A3FB9" w:rsidRDefault="0069644F" w:rsidP="0069644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2、</w:t>
      </w:r>
      <w:r w:rsidR="00B26E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投标人营业执照（加盖公章）。</w:t>
      </w:r>
    </w:p>
    <w:p w:rsidR="007A3FB9" w:rsidRDefault="0069644F" w:rsidP="0069644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、投标单位法人身份证复印件</w:t>
      </w:r>
      <w:r w:rsidR="00B26E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7A3FB9" w:rsidRDefault="0069644F" w:rsidP="0069644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4、投标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代理人身份证复印件，代理</w:t>
      </w:r>
      <w:r w:rsidR="00B26E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授权委托书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原件</w:t>
      </w:r>
      <w:r w:rsidR="00B26E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7A3FB9" w:rsidRDefault="0069644F" w:rsidP="0069644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5、</w:t>
      </w:r>
      <w:r w:rsidR="00B26E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投标报价单（盖单位公章）。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“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正本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”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和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“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副本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”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正</w:t>
      </w:r>
      <w:r>
        <w:rPr>
          <w:rFonts w:ascii="仿宋" w:eastAsia="仿宋" w:hAnsi="仿宋" w:hint="eastAsia"/>
          <w:b/>
          <w:sz w:val="28"/>
          <w:szCs w:val="28"/>
        </w:rPr>
        <w:t>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7A3FB9" w:rsidRDefault="00B26E4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</w:t>
      </w:r>
      <w:r w:rsidR="0069644F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7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</w:t>
      </w:r>
      <w:r w:rsidR="004110DB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12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</w:t>
      </w:r>
      <w:r w:rsidR="004110DB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10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时</w:t>
      </w:r>
      <w:r w:rsidR="0069644F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30分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（三）项目联系人及电话：陈老师  13962951505</w:t>
      </w:r>
    </w:p>
    <w:p w:rsidR="007A3FB9" w:rsidRDefault="00B26E4F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7A3FB9" w:rsidRDefault="00B26E4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21年</w:t>
      </w:r>
      <w:r w:rsid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7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4110D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12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r w:rsidR="004110D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10</w:t>
      </w:r>
      <w:r w:rsidRP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时</w:t>
      </w:r>
      <w:r w:rsidR="0069644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30分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7A3FB9" w:rsidRDefault="00B26E4F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7A3FB9" w:rsidRPr="00CE2DE5" w:rsidRDefault="00B26E4F" w:rsidP="00CE2DE5">
      <w:pPr>
        <w:spacing w:line="480" w:lineRule="exact"/>
        <w:ind w:firstLineChars="200" w:firstLine="562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 w:rsidRPr="00CE2DE5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九、中标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（一）</w:t>
      </w:r>
      <w:r w:rsidR="00CE2DE5">
        <w:rPr>
          <w:rFonts w:ascii="仿宋" w:eastAsia="仿宋" w:hAnsi="仿宋" w:cs="宋体" w:hint="eastAsia"/>
          <w:color w:val="000000"/>
          <w:sz w:val="28"/>
          <w:szCs w:val="28"/>
        </w:rPr>
        <w:t>评审办法与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中标</w:t>
      </w:r>
    </w:p>
    <w:p w:rsidR="00CE2DE5" w:rsidRPr="00751E40" w:rsidRDefault="00CE2DE5" w:rsidP="00CE2DE5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51E40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、资格审查评审合格后，进入价格标评审。价格评审采用价格单因素法,报价最低</w:t>
      </w:r>
      <w:r>
        <w:rPr>
          <w:rFonts w:ascii="仿宋" w:eastAsia="仿宋" w:hAnsi="仿宋"/>
          <w:b/>
          <w:sz w:val="28"/>
          <w:szCs w:val="28"/>
        </w:rPr>
        <w:t>的投标人为中标候选人。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7A3FB9" w:rsidRDefault="00B26E4F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D16116">
        <w:rPr>
          <w:rFonts w:ascii="仿宋" w:eastAsia="仿宋" w:hAnsi="仿宋" w:cs="Arial"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日内与招标人签订合同，合同主要条款见招标书项目要求主要内容。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7A3FB9" w:rsidRDefault="00B26E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69644F" w:rsidRDefault="006964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69644F" w:rsidRDefault="006964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A3FB9" w:rsidRDefault="00B26E4F" w:rsidP="00D16116">
      <w:pPr>
        <w:widowControl/>
        <w:shd w:val="clear" w:color="auto" w:fill="FFFFFF"/>
        <w:spacing w:line="480" w:lineRule="exact"/>
        <w:ind w:right="56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7A3FB9" w:rsidRDefault="00B26E4F" w:rsidP="004110DB">
      <w:pPr>
        <w:widowControl/>
        <w:shd w:val="clear" w:color="auto" w:fill="FFFFFF"/>
        <w:spacing w:line="480" w:lineRule="exact"/>
        <w:ind w:right="560" w:firstLineChars="1200" w:firstLine="33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7A3FB9" w:rsidRPr="00D16116" w:rsidRDefault="004110DB" w:rsidP="00D16116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</w:t>
      </w:r>
      <w:r w:rsidR="00B26E4F" w:rsidRPr="00D1611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2021年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7</w:t>
      </w:r>
      <w:r w:rsidR="00B26E4F" w:rsidRPr="00D1611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6</w:t>
      </w:r>
      <w:r w:rsidR="00B26E4F" w:rsidRPr="00D1611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bookmarkEnd w:id="1"/>
      <w:bookmarkEnd w:id="2"/>
      <w:bookmarkEnd w:id="3"/>
      <w:bookmarkEnd w:id="4"/>
      <w:bookmarkEnd w:id="5"/>
      <w:bookmarkEnd w:id="6"/>
    </w:p>
    <w:sectPr w:rsidR="007A3FB9" w:rsidRPr="00D16116" w:rsidSect="00F52515">
      <w:head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F7" w:rsidRDefault="00464AF7">
      <w:r>
        <w:separator/>
      </w:r>
    </w:p>
  </w:endnote>
  <w:endnote w:type="continuationSeparator" w:id="1">
    <w:p w:rsidR="00464AF7" w:rsidRDefault="0046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F7" w:rsidRDefault="00464AF7">
      <w:r>
        <w:separator/>
      </w:r>
    </w:p>
  </w:footnote>
  <w:footnote w:type="continuationSeparator" w:id="1">
    <w:p w:rsidR="00464AF7" w:rsidRDefault="0046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B9" w:rsidRDefault="007A3FB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  <w:pPr>
        <w:ind w:left="42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A36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1045"/>
    <w:rsid w:val="003D2B6B"/>
    <w:rsid w:val="003E1D9C"/>
    <w:rsid w:val="003E5DC7"/>
    <w:rsid w:val="003F5909"/>
    <w:rsid w:val="003F60FC"/>
    <w:rsid w:val="00401233"/>
    <w:rsid w:val="004110DB"/>
    <w:rsid w:val="004115CA"/>
    <w:rsid w:val="00425C66"/>
    <w:rsid w:val="0042787E"/>
    <w:rsid w:val="0043386B"/>
    <w:rsid w:val="0043736E"/>
    <w:rsid w:val="004408D0"/>
    <w:rsid w:val="00441B08"/>
    <w:rsid w:val="00445075"/>
    <w:rsid w:val="0045200B"/>
    <w:rsid w:val="00453273"/>
    <w:rsid w:val="0045583D"/>
    <w:rsid w:val="00464AF7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48C3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9644F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0307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3FB9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6EE9"/>
    <w:rsid w:val="00B07725"/>
    <w:rsid w:val="00B12E7F"/>
    <w:rsid w:val="00B12EE1"/>
    <w:rsid w:val="00B20EEB"/>
    <w:rsid w:val="00B21A3B"/>
    <w:rsid w:val="00B25D87"/>
    <w:rsid w:val="00B26E4F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E2A8C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2DE5"/>
    <w:rsid w:val="00CE6634"/>
    <w:rsid w:val="00CF07AD"/>
    <w:rsid w:val="00CF098B"/>
    <w:rsid w:val="00CF127E"/>
    <w:rsid w:val="00D020B2"/>
    <w:rsid w:val="00D050B6"/>
    <w:rsid w:val="00D10572"/>
    <w:rsid w:val="00D12090"/>
    <w:rsid w:val="00D12E92"/>
    <w:rsid w:val="00D13C95"/>
    <w:rsid w:val="00D16116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2515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CD62B38"/>
    <w:rsid w:val="10163211"/>
    <w:rsid w:val="12FA6B19"/>
    <w:rsid w:val="18051A3F"/>
    <w:rsid w:val="1E9D5AFA"/>
    <w:rsid w:val="21012FCD"/>
    <w:rsid w:val="278056A1"/>
    <w:rsid w:val="28DB26FF"/>
    <w:rsid w:val="3C2231EF"/>
    <w:rsid w:val="481165A9"/>
    <w:rsid w:val="4B8E405C"/>
    <w:rsid w:val="4C68320E"/>
    <w:rsid w:val="4DFF6B66"/>
    <w:rsid w:val="50C35E7D"/>
    <w:rsid w:val="53CC267C"/>
    <w:rsid w:val="5408495D"/>
    <w:rsid w:val="5F05710C"/>
    <w:rsid w:val="660F10C7"/>
    <w:rsid w:val="6C255E5F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5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52515"/>
    <w:rPr>
      <w:sz w:val="16"/>
      <w:szCs w:val="16"/>
    </w:rPr>
  </w:style>
  <w:style w:type="paragraph" w:styleId="a4">
    <w:name w:val="footer"/>
    <w:basedOn w:val="a"/>
    <w:link w:val="Char0"/>
    <w:qFormat/>
    <w:rsid w:val="00F5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5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52515"/>
    <w:rPr>
      <w:sz w:val="24"/>
    </w:rPr>
  </w:style>
  <w:style w:type="table" w:styleId="a7">
    <w:name w:val="Table Grid"/>
    <w:basedOn w:val="a1"/>
    <w:qFormat/>
    <w:rsid w:val="00F5251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52515"/>
    <w:rPr>
      <w:b/>
      <w:bCs/>
    </w:rPr>
  </w:style>
  <w:style w:type="character" w:styleId="a9">
    <w:name w:val="Hyperlink"/>
    <w:basedOn w:val="a0"/>
    <w:qFormat/>
    <w:rsid w:val="00F5251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2515"/>
  </w:style>
  <w:style w:type="paragraph" w:customStyle="1" w:styleId="p0">
    <w:name w:val="p0"/>
    <w:basedOn w:val="a"/>
    <w:qFormat/>
    <w:rsid w:val="00F52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F5251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52515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F5251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F5251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F52515"/>
    <w:rPr>
      <w:kern w:val="2"/>
      <w:sz w:val="16"/>
      <w:szCs w:val="16"/>
    </w:rPr>
  </w:style>
  <w:style w:type="character" w:customStyle="1" w:styleId="font31">
    <w:name w:val="font31"/>
    <w:basedOn w:val="a0"/>
    <w:qFormat/>
    <w:rsid w:val="00F5251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D2D9BA-ED95-4EBA-B417-33E37079E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318</Words>
  <Characters>1814</Characters>
  <Application>Microsoft Office Word</Application>
  <DocSecurity>0</DocSecurity>
  <Lines>15</Lines>
  <Paragraphs>4</Paragraphs>
  <ScaleCrop>false</ScaleCrop>
  <Company>微软中国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2021-04-06T23:15:00Z</cp:lastPrinted>
  <dcterms:created xsi:type="dcterms:W3CDTF">2021-07-05T09:52:00Z</dcterms:created>
  <dcterms:modified xsi:type="dcterms:W3CDTF">2021-07-05T10:19:00Z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B66B23B039CD470EB398F35E15A814F0</vt:lpwstr>
  </property>
</Properties>
</file>