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E98D1">
      <w:pPr>
        <w:spacing w:before="156" w:beforeLines="50" w:after="156" w:afterLines="50" w:line="360" w:lineRule="auto"/>
        <w:ind w:firstLine="562"/>
        <w:rPr>
          <w:rFonts w:ascii="仿宋" w:hAnsi="仿宋" w:eastAsia="仿宋" w:cs="仿宋"/>
          <w:b/>
          <w:sz w:val="28"/>
          <w:szCs w:val="28"/>
        </w:rPr>
      </w:pPr>
    </w:p>
    <w:p w14:paraId="63995FDE">
      <w:pPr>
        <w:spacing w:before="156" w:beforeLines="50" w:after="156" w:afterLines="50" w:line="360" w:lineRule="auto"/>
        <w:jc w:val="center"/>
        <w:rPr>
          <w:rFonts w:ascii="仿宋" w:hAnsi="仿宋" w:eastAsia="仿宋" w:cs="仿宋"/>
          <w:b/>
          <w:color w:val="000000" w:themeColor="text1"/>
          <w:sz w:val="52"/>
          <w:szCs w:val="52"/>
          <w14:textFill>
            <w14:solidFill>
              <w14:schemeClr w14:val="tx1"/>
            </w14:solidFill>
          </w14:textFill>
        </w:rPr>
      </w:pPr>
      <w:r>
        <w:rPr>
          <w:rFonts w:hint="eastAsia" w:ascii="仿宋" w:hAnsi="仿宋" w:eastAsia="仿宋" w:cs="仿宋"/>
          <w:b/>
          <w:color w:val="000000" w:themeColor="text1"/>
          <w:sz w:val="52"/>
          <w:szCs w:val="52"/>
          <w14:textFill>
            <w14:solidFill>
              <w14:schemeClr w14:val="tx1"/>
            </w14:solidFill>
          </w14:textFill>
        </w:rPr>
        <w:t>江苏省南通卫生高等职业技术学校</w:t>
      </w:r>
    </w:p>
    <w:p w14:paraId="0DFFAE9A">
      <w:pPr>
        <w:spacing w:before="156" w:beforeLines="50" w:after="156" w:afterLines="50" w:line="360" w:lineRule="auto"/>
        <w:jc w:val="center"/>
        <w:rPr>
          <w:rFonts w:ascii="仿宋" w:hAnsi="仿宋" w:eastAsia="仿宋" w:cs="仿宋"/>
          <w:b/>
          <w:sz w:val="52"/>
          <w:szCs w:val="52"/>
        </w:rPr>
      </w:pPr>
      <w:r>
        <w:rPr>
          <w:rFonts w:hint="eastAsia" w:ascii="仿宋" w:hAnsi="仿宋" w:eastAsia="仿宋"/>
          <w:b/>
          <w:bCs/>
          <w:sz w:val="52"/>
          <w:szCs w:val="52"/>
        </w:rPr>
        <w:t>网络安全等级保护测评服务项目</w:t>
      </w:r>
    </w:p>
    <w:p w14:paraId="24DA1374">
      <w:pPr>
        <w:spacing w:before="156" w:beforeLines="50" w:after="156" w:afterLines="50" w:line="360" w:lineRule="auto"/>
        <w:rPr>
          <w:rFonts w:ascii="仿宋" w:hAnsi="仿宋" w:eastAsia="仿宋" w:cs="仿宋"/>
          <w:b/>
          <w:sz w:val="28"/>
          <w:szCs w:val="28"/>
        </w:rPr>
      </w:pPr>
    </w:p>
    <w:p w14:paraId="5D2903E2">
      <w:pPr>
        <w:pStyle w:val="14"/>
      </w:pPr>
    </w:p>
    <w:p w14:paraId="0986DE88">
      <w:pPr>
        <w:spacing w:before="156" w:beforeLines="50" w:after="156" w:afterLines="50" w:line="360" w:lineRule="auto"/>
        <w:jc w:val="center"/>
        <w:rPr>
          <w:rFonts w:ascii="仿宋" w:hAnsi="仿宋" w:eastAsia="仿宋" w:cs="仿宋"/>
          <w:b/>
          <w:sz w:val="84"/>
          <w:szCs w:val="84"/>
        </w:rPr>
      </w:pPr>
      <w:r>
        <w:rPr>
          <w:rFonts w:hint="eastAsia" w:ascii="仿宋" w:hAnsi="仿宋" w:eastAsia="仿宋" w:cs="仿宋"/>
          <w:b/>
          <w:sz w:val="84"/>
          <w:szCs w:val="84"/>
        </w:rPr>
        <w:t>竞争性磋商文件</w:t>
      </w:r>
    </w:p>
    <w:p w14:paraId="1613AA53">
      <w:pPr>
        <w:spacing w:before="156" w:beforeLines="50" w:after="156" w:afterLines="50" w:line="360" w:lineRule="auto"/>
        <w:rPr>
          <w:rFonts w:ascii="仿宋" w:hAnsi="仿宋" w:eastAsia="仿宋" w:cs="仿宋"/>
          <w:sz w:val="28"/>
          <w:szCs w:val="28"/>
        </w:rPr>
      </w:pPr>
    </w:p>
    <w:p w14:paraId="0B79FE5C">
      <w:pPr>
        <w:spacing w:before="156" w:beforeLines="50" w:after="156" w:afterLines="50" w:line="360" w:lineRule="auto"/>
        <w:rPr>
          <w:rFonts w:ascii="仿宋" w:hAnsi="仿宋" w:eastAsia="仿宋" w:cs="仿宋"/>
          <w:sz w:val="28"/>
          <w:szCs w:val="28"/>
        </w:rPr>
      </w:pPr>
    </w:p>
    <w:p w14:paraId="621FB87B">
      <w:pPr>
        <w:spacing w:before="156" w:beforeLines="50" w:after="156" w:afterLines="50" w:line="360" w:lineRule="auto"/>
        <w:ind w:firstLine="562"/>
        <w:rPr>
          <w:rFonts w:ascii="仿宋" w:hAnsi="仿宋" w:eastAsia="仿宋" w:cs="仿宋"/>
          <w:b/>
          <w:sz w:val="28"/>
          <w:szCs w:val="28"/>
        </w:rPr>
      </w:pPr>
    </w:p>
    <w:p w14:paraId="75F53533">
      <w:pPr>
        <w:spacing w:before="156" w:beforeLines="50" w:after="156" w:afterLines="50" w:line="360" w:lineRule="auto"/>
        <w:ind w:firstLine="562"/>
        <w:rPr>
          <w:rFonts w:ascii="仿宋" w:hAnsi="仿宋" w:eastAsia="仿宋" w:cs="仿宋"/>
          <w:b/>
          <w:sz w:val="28"/>
          <w:szCs w:val="28"/>
        </w:rPr>
      </w:pPr>
    </w:p>
    <w:p w14:paraId="5B06E2A8">
      <w:pPr>
        <w:pStyle w:val="14"/>
      </w:pPr>
    </w:p>
    <w:p w14:paraId="32322E0F">
      <w:pPr>
        <w:spacing w:before="312" w:beforeLines="100" w:after="312" w:afterLines="100" w:line="360" w:lineRule="auto"/>
        <w:ind w:firstLine="1431" w:firstLineChars="396"/>
        <w:rPr>
          <w:rFonts w:ascii="仿宋" w:hAnsi="仿宋" w:eastAsia="仿宋" w:cs="仿宋"/>
          <w:b/>
          <w:sz w:val="36"/>
          <w:szCs w:val="36"/>
        </w:rPr>
      </w:pPr>
      <w:r>
        <w:rPr>
          <w:rFonts w:hint="eastAsia" w:ascii="仿宋" w:hAnsi="仿宋" w:eastAsia="仿宋" w:cs="仿宋"/>
          <w:b/>
          <w:sz w:val="36"/>
          <w:szCs w:val="36"/>
        </w:rPr>
        <w:t xml:space="preserve">招 </w:t>
      </w:r>
      <w:r>
        <w:rPr>
          <w:rFonts w:hint="eastAsia" w:ascii="仿宋" w:hAnsi="仿宋" w:eastAsia="仿宋" w:cs="仿宋"/>
          <w:b/>
          <w:color w:val="000000" w:themeColor="text1"/>
          <w:sz w:val="36"/>
          <w:szCs w:val="36"/>
          <w14:textFill>
            <w14:solidFill>
              <w14:schemeClr w14:val="tx1"/>
            </w14:solidFill>
          </w14:textFill>
        </w:rPr>
        <w:t>标 人：江苏省南通卫生高等职业技术学校</w:t>
      </w:r>
    </w:p>
    <w:p w14:paraId="4A1DC5EC">
      <w:pPr>
        <w:spacing w:before="312" w:beforeLines="100" w:after="312" w:afterLines="100" w:line="360" w:lineRule="auto"/>
        <w:ind w:firstLine="1431" w:firstLineChars="396"/>
        <w:rPr>
          <w:rFonts w:ascii="仿宋" w:hAnsi="仿宋" w:eastAsia="仿宋" w:cs="仿宋"/>
          <w:b/>
          <w:sz w:val="36"/>
          <w:szCs w:val="36"/>
        </w:rPr>
      </w:pPr>
      <w:r>
        <w:rPr>
          <w:rFonts w:hint="eastAsia" w:ascii="仿宋" w:hAnsi="仿宋" w:eastAsia="仿宋" w:cs="仿宋"/>
          <w:b/>
          <w:sz w:val="36"/>
          <w:szCs w:val="36"/>
        </w:rPr>
        <w:t>日    期：2024年10月8日</w:t>
      </w:r>
    </w:p>
    <w:p w14:paraId="733ECBB8">
      <w:pPr>
        <w:widowControl/>
        <w:spacing w:line="360" w:lineRule="auto"/>
        <w:jc w:val="left"/>
        <w:rPr>
          <w:rFonts w:ascii="仿宋" w:hAnsi="仿宋" w:eastAsia="仿宋" w:cs="仿宋"/>
          <w:sz w:val="28"/>
          <w:szCs w:val="28"/>
        </w:rPr>
      </w:pPr>
      <w:r>
        <w:rPr>
          <w:rFonts w:hint="eastAsia" w:ascii="仿宋" w:hAnsi="仿宋" w:eastAsia="仿宋" w:cs="仿宋"/>
          <w:sz w:val="28"/>
          <w:szCs w:val="28"/>
        </w:rPr>
        <w:br w:type="page"/>
      </w:r>
    </w:p>
    <w:p w14:paraId="4B1A3BA4">
      <w:pPr>
        <w:pStyle w:val="16"/>
        <w:spacing w:before="156" w:after="156"/>
      </w:pPr>
      <w:r>
        <w:rPr>
          <w:rFonts w:hint="eastAsia"/>
        </w:rPr>
        <w:t>目  录</w:t>
      </w:r>
    </w:p>
    <w:p w14:paraId="3360DB20">
      <w:pPr>
        <w:pStyle w:val="7"/>
        <w:tabs>
          <w:tab w:val="right" w:leader="dot" w:pos="8948"/>
        </w:tabs>
        <w:rPr>
          <w:rFonts w:ascii="仿宋" w:hAnsi="仿宋" w:eastAsia="仿宋" w:cstheme="minorBidi"/>
          <w:sz w:val="28"/>
          <w:szCs w:val="28"/>
        </w:rPr>
      </w:pPr>
      <w:bookmarkStart w:id="0" w:name="_Toc38556321"/>
      <w:r>
        <w:rPr>
          <w:rFonts w:ascii="仿宋" w:hAnsi="仿宋" w:eastAsia="仿宋" w:cs="仿宋"/>
          <w:sz w:val="28"/>
          <w:szCs w:val="28"/>
        </w:rPr>
        <w:fldChar w:fldCharType="begin"/>
      </w:r>
      <w:r>
        <w:rPr>
          <w:rFonts w:ascii="仿宋" w:hAnsi="仿宋" w:eastAsia="仿宋" w:cs="仿宋"/>
          <w:sz w:val="28"/>
          <w:szCs w:val="28"/>
        </w:rPr>
        <w:instrText xml:space="preserve"> </w:instrText>
      </w:r>
      <w:r>
        <w:rPr>
          <w:rFonts w:hint="eastAsia" w:ascii="仿宋" w:hAnsi="仿宋" w:eastAsia="仿宋" w:cs="仿宋"/>
          <w:sz w:val="28"/>
          <w:szCs w:val="28"/>
        </w:rPr>
        <w:instrText xml:space="preserve">TOC \o "1-1" \h \z \u</w:instrText>
      </w:r>
      <w:r>
        <w:rPr>
          <w:rFonts w:ascii="仿宋" w:hAnsi="仿宋" w:eastAsia="仿宋" w:cs="仿宋"/>
          <w:sz w:val="28"/>
          <w:szCs w:val="28"/>
        </w:rPr>
        <w:instrText xml:space="preserve"> </w:instrText>
      </w:r>
      <w:r>
        <w:rPr>
          <w:rFonts w:ascii="仿宋" w:hAnsi="仿宋" w:eastAsia="仿宋" w:cs="仿宋"/>
          <w:sz w:val="28"/>
          <w:szCs w:val="28"/>
        </w:rPr>
        <w:fldChar w:fldCharType="separate"/>
      </w:r>
      <w:r>
        <w:fldChar w:fldCharType="begin"/>
      </w:r>
      <w:r>
        <w:instrText xml:space="preserve"> HYPERLINK \l "_Toc178167492" </w:instrText>
      </w:r>
      <w:r>
        <w:fldChar w:fldCharType="separate"/>
      </w:r>
      <w:r>
        <w:rPr>
          <w:rStyle w:val="11"/>
          <w:rFonts w:ascii="仿宋" w:hAnsi="仿宋" w:eastAsia="仿宋"/>
          <w:sz w:val="28"/>
          <w:szCs w:val="28"/>
        </w:rPr>
        <w:t>第一章 竞争性磋商公告</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_Toc178167492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14:paraId="25C335BD">
      <w:pPr>
        <w:pStyle w:val="7"/>
        <w:tabs>
          <w:tab w:val="right" w:leader="dot" w:pos="8948"/>
        </w:tabs>
        <w:rPr>
          <w:rFonts w:ascii="仿宋" w:hAnsi="仿宋" w:eastAsia="仿宋" w:cstheme="minorBidi"/>
          <w:sz w:val="28"/>
          <w:szCs w:val="28"/>
        </w:rPr>
      </w:pPr>
      <w:r>
        <w:fldChar w:fldCharType="begin"/>
      </w:r>
      <w:r>
        <w:instrText xml:space="preserve"> HYPERLINK \l "_Toc178167493" </w:instrText>
      </w:r>
      <w:r>
        <w:fldChar w:fldCharType="separate"/>
      </w:r>
      <w:r>
        <w:rPr>
          <w:rStyle w:val="11"/>
          <w:rFonts w:ascii="仿宋" w:hAnsi="仿宋" w:eastAsia="仿宋"/>
          <w:sz w:val="28"/>
          <w:szCs w:val="28"/>
        </w:rPr>
        <w:t>第二章 供应商须知</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_Toc178167493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14:paraId="4CF168B4">
      <w:pPr>
        <w:pStyle w:val="7"/>
        <w:tabs>
          <w:tab w:val="right" w:leader="dot" w:pos="8948"/>
        </w:tabs>
        <w:rPr>
          <w:rFonts w:ascii="仿宋" w:hAnsi="仿宋" w:eastAsia="仿宋" w:cstheme="minorBidi"/>
          <w:sz w:val="28"/>
          <w:szCs w:val="28"/>
        </w:rPr>
      </w:pPr>
      <w:r>
        <w:fldChar w:fldCharType="begin"/>
      </w:r>
      <w:r>
        <w:instrText xml:space="preserve"> HYPERLINK \l "_Toc178167494" </w:instrText>
      </w:r>
      <w:r>
        <w:fldChar w:fldCharType="separate"/>
      </w:r>
      <w:r>
        <w:rPr>
          <w:rStyle w:val="11"/>
          <w:rFonts w:ascii="仿宋" w:hAnsi="仿宋" w:eastAsia="仿宋"/>
          <w:sz w:val="28"/>
          <w:szCs w:val="28"/>
        </w:rPr>
        <w:t>第三章 采购需求</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_Toc178167494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14:paraId="644AA172">
      <w:pPr>
        <w:pStyle w:val="7"/>
        <w:tabs>
          <w:tab w:val="right" w:leader="dot" w:pos="8948"/>
        </w:tabs>
        <w:rPr>
          <w:rFonts w:ascii="仿宋" w:hAnsi="仿宋" w:eastAsia="仿宋" w:cstheme="minorBidi"/>
          <w:sz w:val="28"/>
          <w:szCs w:val="28"/>
        </w:rPr>
      </w:pPr>
      <w:r>
        <w:fldChar w:fldCharType="begin"/>
      </w:r>
      <w:r>
        <w:instrText xml:space="preserve"> HYPERLINK \l "_Toc178167495" </w:instrText>
      </w:r>
      <w:r>
        <w:fldChar w:fldCharType="separate"/>
      </w:r>
      <w:r>
        <w:rPr>
          <w:rStyle w:val="11"/>
          <w:rFonts w:ascii="仿宋" w:hAnsi="仿宋" w:eastAsia="仿宋"/>
          <w:sz w:val="28"/>
          <w:szCs w:val="28"/>
        </w:rPr>
        <w:t>第四章 开标和评标</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_Toc178167495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14:paraId="1E208D60">
      <w:pPr>
        <w:pStyle w:val="7"/>
        <w:tabs>
          <w:tab w:val="right" w:leader="dot" w:pos="8948"/>
        </w:tabs>
        <w:rPr>
          <w:rFonts w:ascii="仿宋" w:hAnsi="仿宋" w:eastAsia="仿宋" w:cstheme="minorBidi"/>
          <w:sz w:val="28"/>
          <w:szCs w:val="28"/>
        </w:rPr>
      </w:pPr>
      <w:r>
        <w:fldChar w:fldCharType="begin"/>
      </w:r>
      <w:r>
        <w:instrText xml:space="preserve"> HYPERLINK \l "_Toc178167496" </w:instrText>
      </w:r>
      <w:r>
        <w:fldChar w:fldCharType="separate"/>
      </w:r>
      <w:r>
        <w:rPr>
          <w:rStyle w:val="11"/>
          <w:rFonts w:ascii="仿宋" w:hAnsi="仿宋" w:eastAsia="仿宋"/>
          <w:sz w:val="28"/>
          <w:szCs w:val="28"/>
        </w:rPr>
        <w:t>第五章 合同签订与验收付款</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_Toc178167496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61DC521F">
      <w:pPr>
        <w:pStyle w:val="7"/>
        <w:tabs>
          <w:tab w:val="right" w:leader="dot" w:pos="8948"/>
        </w:tabs>
        <w:rPr>
          <w:rFonts w:ascii="仿宋" w:hAnsi="仿宋" w:eastAsia="仿宋" w:cstheme="minorBidi"/>
          <w:sz w:val="28"/>
          <w:szCs w:val="28"/>
        </w:rPr>
      </w:pPr>
      <w:r>
        <w:fldChar w:fldCharType="begin"/>
      </w:r>
      <w:r>
        <w:instrText xml:space="preserve"> HYPERLINK \l "_Toc178167497" </w:instrText>
      </w:r>
      <w:r>
        <w:fldChar w:fldCharType="separate"/>
      </w:r>
      <w:r>
        <w:rPr>
          <w:rStyle w:val="11"/>
          <w:rFonts w:ascii="仿宋" w:hAnsi="仿宋" w:eastAsia="仿宋"/>
          <w:sz w:val="28"/>
          <w:szCs w:val="28"/>
        </w:rPr>
        <w:t>第六章 质疑提出和处理</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_Toc178167497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14:paraId="5C475C95">
      <w:pPr>
        <w:pStyle w:val="7"/>
        <w:tabs>
          <w:tab w:val="right" w:leader="dot" w:pos="8948"/>
        </w:tabs>
        <w:rPr>
          <w:rFonts w:ascii="仿宋" w:hAnsi="仿宋" w:eastAsia="仿宋" w:cstheme="minorBidi"/>
          <w:sz w:val="28"/>
          <w:szCs w:val="28"/>
        </w:rPr>
      </w:pPr>
      <w:r>
        <w:fldChar w:fldCharType="begin"/>
      </w:r>
      <w:r>
        <w:instrText xml:space="preserve"> HYPERLINK \l "_Toc178167498" </w:instrText>
      </w:r>
      <w:r>
        <w:fldChar w:fldCharType="separate"/>
      </w:r>
      <w:r>
        <w:rPr>
          <w:rStyle w:val="11"/>
          <w:rFonts w:ascii="仿宋" w:hAnsi="仿宋" w:eastAsia="仿宋"/>
          <w:sz w:val="28"/>
          <w:szCs w:val="28"/>
        </w:rPr>
        <w:t>第七章 投标文件组成</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_Toc178167498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14:paraId="38B79A7E">
      <w:pPr>
        <w:pStyle w:val="7"/>
        <w:tabs>
          <w:tab w:val="right" w:leader="dot" w:pos="8948"/>
        </w:tabs>
        <w:rPr>
          <w:rFonts w:ascii="仿宋" w:hAnsi="仿宋" w:eastAsia="仿宋" w:cstheme="minorBidi"/>
          <w:sz w:val="28"/>
          <w:szCs w:val="28"/>
        </w:rPr>
      </w:pPr>
      <w:r>
        <w:fldChar w:fldCharType="begin"/>
      </w:r>
      <w:r>
        <w:instrText xml:space="preserve"> HYPERLINK \l "_Toc178167499" </w:instrText>
      </w:r>
      <w:r>
        <w:fldChar w:fldCharType="separate"/>
      </w:r>
      <w:r>
        <w:rPr>
          <w:rStyle w:val="11"/>
          <w:rFonts w:ascii="仿宋" w:hAnsi="仿宋" w:eastAsia="仿宋" w:cs="仿宋"/>
          <w:b/>
          <w:bCs/>
          <w:kern w:val="44"/>
          <w:sz w:val="28"/>
          <w:szCs w:val="28"/>
        </w:rPr>
        <w:t>附件</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_Toc178167499 \h </w:instrText>
      </w:r>
      <w:r>
        <w:rPr>
          <w:rFonts w:ascii="仿宋" w:hAnsi="仿宋" w:eastAsia="仿宋"/>
          <w:sz w:val="28"/>
          <w:szCs w:val="28"/>
        </w:rPr>
        <w:fldChar w:fldCharType="separate"/>
      </w:r>
      <w:r>
        <w:rPr>
          <w:rFonts w:ascii="仿宋" w:hAnsi="仿宋" w:eastAsia="仿宋"/>
          <w:sz w:val="28"/>
          <w:szCs w:val="28"/>
        </w:rPr>
        <w:t>28</w:t>
      </w:r>
      <w:r>
        <w:rPr>
          <w:rFonts w:ascii="仿宋" w:hAnsi="仿宋" w:eastAsia="仿宋"/>
          <w:sz w:val="28"/>
          <w:szCs w:val="28"/>
        </w:rPr>
        <w:fldChar w:fldCharType="end"/>
      </w:r>
      <w:r>
        <w:rPr>
          <w:rFonts w:ascii="仿宋" w:hAnsi="仿宋" w:eastAsia="仿宋"/>
          <w:sz w:val="28"/>
          <w:szCs w:val="28"/>
        </w:rPr>
        <w:fldChar w:fldCharType="end"/>
      </w:r>
    </w:p>
    <w:p w14:paraId="3108862C">
      <w:pPr>
        <w:spacing w:line="360" w:lineRule="auto"/>
        <w:rPr>
          <w:rFonts w:ascii="仿宋" w:hAnsi="仿宋" w:eastAsia="仿宋" w:cs="仿宋"/>
          <w:sz w:val="28"/>
          <w:szCs w:val="28"/>
        </w:rPr>
      </w:pPr>
      <w:r>
        <w:rPr>
          <w:rFonts w:ascii="仿宋" w:hAnsi="仿宋" w:eastAsia="仿宋" w:cs="仿宋"/>
          <w:sz w:val="28"/>
          <w:szCs w:val="28"/>
        </w:rPr>
        <w:fldChar w:fldCharType="end"/>
      </w:r>
      <w:r>
        <w:rPr>
          <w:rFonts w:ascii="仿宋" w:hAnsi="仿宋" w:eastAsia="仿宋" w:cs="仿宋"/>
          <w:sz w:val="28"/>
          <w:szCs w:val="28"/>
        </w:rPr>
        <w:br w:type="page"/>
      </w:r>
    </w:p>
    <w:p w14:paraId="2F100154">
      <w:pPr>
        <w:pStyle w:val="2"/>
        <w:rPr>
          <w:color w:val="auto"/>
        </w:rPr>
      </w:pPr>
      <w:bookmarkStart w:id="1" w:name="_Toc178167492"/>
      <w:r>
        <w:rPr>
          <w:rFonts w:hint="eastAsia"/>
          <w:color w:val="auto"/>
        </w:rPr>
        <w:t>第一章 竞争性</w:t>
      </w:r>
      <w:r>
        <w:rPr>
          <w:color w:val="auto"/>
        </w:rPr>
        <w:t>磋商</w:t>
      </w:r>
      <w:r>
        <w:rPr>
          <w:rFonts w:hint="eastAsia"/>
          <w:color w:val="auto"/>
        </w:rPr>
        <w:t>公告</w:t>
      </w:r>
      <w:bookmarkEnd w:id="0"/>
      <w:bookmarkEnd w:id="1"/>
    </w:p>
    <w:p w14:paraId="140FC7F6">
      <w:pPr>
        <w:widowControl/>
        <w:spacing w:line="360" w:lineRule="auto"/>
        <w:ind w:firstLine="56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江苏省南通卫生高等职业技术学校拟对信息</w:t>
      </w:r>
      <w:r>
        <w:rPr>
          <w:rFonts w:ascii="仿宋" w:hAnsi="仿宋" w:eastAsia="仿宋" w:cs="宋体"/>
          <w:color w:val="auto"/>
          <w:kern w:val="0"/>
          <w:sz w:val="28"/>
          <w:szCs w:val="28"/>
        </w:rPr>
        <w:t>系统</w:t>
      </w:r>
      <w:r>
        <w:rPr>
          <w:rFonts w:hint="eastAsia" w:ascii="仿宋" w:hAnsi="仿宋" w:eastAsia="仿宋" w:cs="宋体"/>
          <w:color w:val="auto"/>
          <w:kern w:val="0"/>
          <w:sz w:val="28"/>
          <w:szCs w:val="28"/>
        </w:rPr>
        <w:t>网络安全等级保护测评服务以竞争性磋商方式进行采购，诚邀符合条件的潜在供应商参加该项目的竞争性磋商。</w:t>
      </w:r>
    </w:p>
    <w:p w14:paraId="3C76F70B">
      <w:pPr>
        <w:widowControl/>
        <w:spacing w:line="360" w:lineRule="auto"/>
        <w:jc w:val="left"/>
        <w:rPr>
          <w:rFonts w:ascii="仿宋" w:hAnsi="仿宋" w:eastAsia="仿宋" w:cs="宋体"/>
          <w:b/>
          <w:color w:val="auto"/>
          <w:kern w:val="0"/>
          <w:sz w:val="28"/>
          <w:szCs w:val="28"/>
        </w:rPr>
      </w:pPr>
      <w:r>
        <w:rPr>
          <w:rFonts w:hint="eastAsia" w:ascii="仿宋" w:hAnsi="仿宋" w:eastAsia="仿宋" w:cs="宋体"/>
          <w:b/>
          <w:color w:val="auto"/>
          <w:kern w:val="0"/>
          <w:sz w:val="28"/>
          <w:szCs w:val="28"/>
        </w:rPr>
        <w:t>一、采购人、采购项目名称和内容</w:t>
      </w:r>
    </w:p>
    <w:p w14:paraId="3AF03032">
      <w:pPr>
        <w:widowControl/>
        <w:spacing w:line="360" w:lineRule="auto"/>
        <w:ind w:firstLine="56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采购人：江苏省南通卫生高等职业技术学校</w:t>
      </w:r>
    </w:p>
    <w:p w14:paraId="2B75C7C8">
      <w:pPr>
        <w:widowControl/>
        <w:spacing w:line="360" w:lineRule="auto"/>
        <w:ind w:firstLine="560"/>
        <w:rPr>
          <w:rFonts w:ascii="仿宋" w:hAnsi="仿宋" w:eastAsia="仿宋" w:cs="宋体"/>
          <w:color w:val="auto"/>
          <w:kern w:val="0"/>
          <w:sz w:val="28"/>
          <w:szCs w:val="28"/>
        </w:rPr>
      </w:pPr>
      <w:r>
        <w:rPr>
          <w:rFonts w:hint="eastAsia" w:ascii="仿宋" w:hAnsi="仿宋" w:eastAsia="仿宋" w:cs="宋体"/>
          <w:color w:val="auto"/>
          <w:kern w:val="0"/>
          <w:sz w:val="28"/>
          <w:szCs w:val="28"/>
        </w:rPr>
        <w:t>采购项目名称：江苏省南通卫生高等职业技术学校网络安全等级保护测评服务项目</w:t>
      </w:r>
    </w:p>
    <w:p w14:paraId="607E006C">
      <w:pPr>
        <w:widowControl/>
        <w:spacing w:line="360" w:lineRule="auto"/>
        <w:ind w:firstLine="560"/>
        <w:rPr>
          <w:rFonts w:ascii="仿宋" w:hAnsi="仿宋" w:eastAsia="仿宋" w:cs="宋体"/>
          <w:color w:val="auto"/>
          <w:kern w:val="0"/>
          <w:sz w:val="28"/>
          <w:szCs w:val="28"/>
        </w:rPr>
      </w:pPr>
      <w:r>
        <w:rPr>
          <w:rFonts w:hint="eastAsia" w:ascii="仿宋" w:hAnsi="仿宋" w:eastAsia="仿宋" w:cs="宋体"/>
          <w:color w:val="auto"/>
          <w:kern w:val="0"/>
          <w:sz w:val="28"/>
          <w:szCs w:val="28"/>
        </w:rPr>
        <w:t>二、项目预算：6万元</w:t>
      </w:r>
    </w:p>
    <w:p w14:paraId="5CE314FC">
      <w:pPr>
        <w:widowControl/>
        <w:spacing w:line="360" w:lineRule="auto"/>
        <w:jc w:val="left"/>
        <w:rPr>
          <w:rFonts w:ascii="仿宋" w:hAnsi="仿宋" w:eastAsia="仿宋" w:cs="宋体"/>
          <w:b/>
          <w:color w:val="auto"/>
          <w:kern w:val="0"/>
          <w:sz w:val="28"/>
          <w:szCs w:val="28"/>
        </w:rPr>
      </w:pPr>
      <w:r>
        <w:rPr>
          <w:rFonts w:hint="eastAsia" w:ascii="仿宋" w:hAnsi="仿宋" w:eastAsia="仿宋" w:cs="宋体"/>
          <w:b/>
          <w:color w:val="auto"/>
          <w:kern w:val="0"/>
          <w:sz w:val="28"/>
          <w:szCs w:val="28"/>
        </w:rPr>
        <w:t>三、供应商资格要求</w:t>
      </w:r>
    </w:p>
    <w:p w14:paraId="0EA8FB04">
      <w:pPr>
        <w:widowControl/>
        <w:spacing w:line="360" w:lineRule="auto"/>
        <w:ind w:firstLine="560"/>
        <w:rPr>
          <w:rFonts w:ascii="仿宋" w:hAnsi="仿宋" w:eastAsia="仿宋" w:cs="宋体"/>
          <w:color w:val="auto"/>
          <w:kern w:val="0"/>
          <w:sz w:val="28"/>
          <w:szCs w:val="28"/>
        </w:rPr>
      </w:pPr>
      <w:r>
        <w:rPr>
          <w:rFonts w:hint="eastAsia" w:ascii="仿宋" w:hAnsi="仿宋" w:eastAsia="仿宋" w:cs="宋体"/>
          <w:color w:val="auto"/>
          <w:kern w:val="0"/>
          <w:sz w:val="28"/>
          <w:szCs w:val="28"/>
        </w:rPr>
        <w:t>（一）符合政府采购法第二十二条第一款规定的条件，并提供下列材料：</w:t>
      </w:r>
    </w:p>
    <w:p w14:paraId="03B27869">
      <w:pPr>
        <w:widowControl/>
        <w:spacing w:line="360" w:lineRule="auto"/>
        <w:ind w:firstLine="56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1、法人或者其他组织的营业执照等证明文件；</w:t>
      </w:r>
    </w:p>
    <w:p w14:paraId="70C21135">
      <w:pPr>
        <w:widowControl/>
        <w:spacing w:line="360" w:lineRule="auto"/>
        <w:ind w:firstLine="56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2、上一年度的财务报告（成立不满一年不需提供）；</w:t>
      </w:r>
    </w:p>
    <w:p w14:paraId="601B1FE1">
      <w:pPr>
        <w:widowControl/>
        <w:spacing w:line="360" w:lineRule="auto"/>
        <w:ind w:firstLine="56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3、依法缴纳税收和社会保障资金的相关证明材料；</w:t>
      </w:r>
    </w:p>
    <w:p w14:paraId="0BA2DDDF">
      <w:pPr>
        <w:widowControl/>
        <w:spacing w:line="360" w:lineRule="auto"/>
        <w:ind w:firstLine="56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4、具备履行合同所必需的设备和专业技术能力的证明材料；</w:t>
      </w:r>
    </w:p>
    <w:p w14:paraId="02267368">
      <w:pPr>
        <w:widowControl/>
        <w:spacing w:line="360" w:lineRule="auto"/>
        <w:ind w:firstLine="56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5、参加政府采购活动前3年内在经营活动中没有重大违法记录的书面声明；</w:t>
      </w:r>
    </w:p>
    <w:p w14:paraId="18260386">
      <w:pPr>
        <w:widowControl/>
        <w:spacing w:line="360" w:lineRule="auto"/>
        <w:ind w:firstLine="56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（二）采购人其他要求：</w:t>
      </w:r>
    </w:p>
    <w:p w14:paraId="0561DBA4">
      <w:pPr>
        <w:widowControl/>
        <w:spacing w:line="360" w:lineRule="auto"/>
        <w:ind w:firstLine="562"/>
        <w:jc w:val="left"/>
        <w:rPr>
          <w:rFonts w:ascii="仿宋" w:hAnsi="仿宋" w:eastAsia="仿宋" w:cs="宋体"/>
          <w:b/>
          <w:color w:val="auto"/>
          <w:kern w:val="0"/>
          <w:sz w:val="28"/>
          <w:szCs w:val="28"/>
        </w:rPr>
      </w:pPr>
      <w:r>
        <w:rPr>
          <w:rFonts w:hint="eastAsia" w:ascii="仿宋" w:hAnsi="仿宋" w:eastAsia="仿宋" w:cs="宋体"/>
          <w:b/>
          <w:color w:val="auto"/>
          <w:kern w:val="0"/>
          <w:sz w:val="28"/>
          <w:szCs w:val="28"/>
        </w:rPr>
        <w:t>潜在供应商需</w:t>
      </w:r>
      <w:r>
        <w:rPr>
          <w:rFonts w:ascii="仿宋" w:hAnsi="仿宋" w:eastAsia="仿宋" w:cs="宋体"/>
          <w:b/>
          <w:color w:val="auto"/>
          <w:kern w:val="0"/>
          <w:sz w:val="28"/>
          <w:szCs w:val="28"/>
        </w:rPr>
        <w:t>具有</w:t>
      </w:r>
      <w:r>
        <w:rPr>
          <w:rFonts w:hint="eastAsia" w:ascii="仿宋" w:hAnsi="仿宋" w:eastAsia="仿宋" w:cs="宋体"/>
          <w:b/>
          <w:color w:val="auto"/>
          <w:kern w:val="0"/>
          <w:sz w:val="28"/>
          <w:szCs w:val="28"/>
        </w:rPr>
        <w:t>有效期内的《</w:t>
      </w:r>
      <w:r>
        <w:rPr>
          <w:rFonts w:ascii="仿宋" w:hAnsi="仿宋" w:eastAsia="仿宋" w:cs="宋体"/>
          <w:b/>
          <w:color w:val="auto"/>
          <w:kern w:val="0"/>
          <w:sz w:val="28"/>
          <w:szCs w:val="28"/>
        </w:rPr>
        <w:t>网络安全等级测评与检测评估机构服务认证证书</w:t>
      </w:r>
      <w:r>
        <w:rPr>
          <w:rFonts w:hint="eastAsia" w:ascii="仿宋" w:hAnsi="仿宋" w:eastAsia="仿宋" w:cs="宋体"/>
          <w:b/>
          <w:color w:val="auto"/>
          <w:kern w:val="0"/>
          <w:sz w:val="28"/>
          <w:szCs w:val="28"/>
        </w:rPr>
        <w:t>》。</w:t>
      </w:r>
    </w:p>
    <w:p w14:paraId="1633D04A">
      <w:pPr>
        <w:widowControl/>
        <w:tabs>
          <w:tab w:val="center" w:pos="4917"/>
        </w:tabs>
        <w:spacing w:line="360" w:lineRule="auto"/>
        <w:ind w:firstLine="56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落实政府采购政策需满足的资格要求：本项目专门面向中小企业采购，供应商应为中小微企业、监狱企业或残疾人福利性单位，并按照磋商文件要求提供《中小企业声明函》、《残疾人福利性单位声明函》或监狱和戒毒企业证明材料。</w:t>
      </w:r>
    </w:p>
    <w:p w14:paraId="5CCA52B7">
      <w:pPr>
        <w:widowControl/>
        <w:tabs>
          <w:tab w:val="center" w:pos="4917"/>
        </w:tabs>
        <w:spacing w:line="360" w:lineRule="auto"/>
        <w:ind w:firstLine="56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本项目</w:t>
      </w:r>
      <w:r>
        <w:rPr>
          <w:rFonts w:ascii="仿宋" w:hAnsi="仿宋" w:eastAsia="仿宋" w:cs="宋体"/>
          <w:color w:val="auto"/>
          <w:kern w:val="0"/>
          <w:sz w:val="28"/>
          <w:szCs w:val="28"/>
        </w:rPr>
        <w:t>不接受联合体投标。</w:t>
      </w:r>
    </w:p>
    <w:p w14:paraId="58D41A49">
      <w:pPr>
        <w:widowControl/>
        <w:spacing w:line="360" w:lineRule="auto"/>
        <w:jc w:val="left"/>
        <w:rPr>
          <w:rFonts w:ascii="仿宋" w:hAnsi="仿宋" w:eastAsia="仿宋" w:cs="宋体"/>
          <w:b/>
          <w:color w:val="auto"/>
          <w:kern w:val="0"/>
          <w:sz w:val="28"/>
          <w:szCs w:val="28"/>
        </w:rPr>
      </w:pPr>
      <w:r>
        <w:rPr>
          <w:rFonts w:hint="eastAsia" w:ascii="仿宋" w:hAnsi="仿宋" w:eastAsia="仿宋" w:cs="宋体"/>
          <w:b/>
          <w:color w:val="auto"/>
          <w:kern w:val="0"/>
          <w:sz w:val="28"/>
          <w:szCs w:val="28"/>
        </w:rPr>
        <w:t>四、拟采购的货物或者服务的说明</w:t>
      </w:r>
    </w:p>
    <w:p w14:paraId="5C013A42">
      <w:pPr>
        <w:widowControl/>
        <w:spacing w:line="360" w:lineRule="auto"/>
        <w:ind w:firstLine="56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本项目</w:t>
      </w:r>
      <w:r>
        <w:rPr>
          <w:rFonts w:ascii="仿宋" w:hAnsi="仿宋" w:eastAsia="仿宋" w:cs="宋体"/>
          <w:color w:val="auto"/>
          <w:kern w:val="0"/>
          <w:sz w:val="28"/>
          <w:szCs w:val="28"/>
        </w:rPr>
        <w:t>服务具体需求详见附件竞争性磋商</w:t>
      </w:r>
      <w:r>
        <w:rPr>
          <w:rFonts w:hint="eastAsia" w:ascii="仿宋" w:hAnsi="仿宋" w:eastAsia="仿宋" w:cs="宋体"/>
          <w:color w:val="auto"/>
          <w:kern w:val="0"/>
          <w:sz w:val="28"/>
          <w:szCs w:val="28"/>
        </w:rPr>
        <w:t>文件</w:t>
      </w:r>
      <w:r>
        <w:rPr>
          <w:rFonts w:ascii="仿宋" w:hAnsi="仿宋" w:eastAsia="仿宋" w:cs="宋体"/>
          <w:color w:val="auto"/>
          <w:kern w:val="0"/>
          <w:sz w:val="28"/>
          <w:szCs w:val="28"/>
        </w:rPr>
        <w:t>。</w:t>
      </w:r>
    </w:p>
    <w:p w14:paraId="3624EAB7">
      <w:pPr>
        <w:widowControl/>
        <w:spacing w:line="360" w:lineRule="auto"/>
        <w:jc w:val="left"/>
        <w:rPr>
          <w:rFonts w:ascii="仿宋" w:hAnsi="仿宋" w:eastAsia="仿宋" w:cs="宋体"/>
          <w:b/>
          <w:color w:val="auto"/>
          <w:kern w:val="0"/>
          <w:sz w:val="28"/>
          <w:szCs w:val="28"/>
        </w:rPr>
      </w:pPr>
      <w:r>
        <w:rPr>
          <w:rFonts w:hint="eastAsia" w:ascii="仿宋" w:hAnsi="仿宋" w:eastAsia="仿宋" w:cs="宋体"/>
          <w:b/>
          <w:color w:val="auto"/>
          <w:kern w:val="0"/>
          <w:sz w:val="28"/>
          <w:szCs w:val="28"/>
        </w:rPr>
        <w:t>五、供应商参与竞争性磋商路径</w:t>
      </w:r>
    </w:p>
    <w:p w14:paraId="414D482B">
      <w:pPr>
        <w:widowControl/>
        <w:spacing w:line="360" w:lineRule="auto"/>
        <w:ind w:firstLine="562"/>
        <w:jc w:val="left"/>
        <w:rPr>
          <w:rFonts w:ascii="仿宋" w:hAnsi="仿宋" w:eastAsia="仿宋" w:cs="宋体"/>
          <w:color w:val="auto"/>
          <w:kern w:val="0"/>
          <w:sz w:val="28"/>
          <w:szCs w:val="28"/>
        </w:rPr>
      </w:pPr>
      <w:r>
        <w:rPr>
          <w:rFonts w:hint="eastAsia" w:ascii="仿宋" w:hAnsi="仿宋" w:eastAsia="仿宋" w:cs="宋体"/>
          <w:b/>
          <w:color w:val="auto"/>
          <w:kern w:val="0"/>
          <w:sz w:val="28"/>
          <w:szCs w:val="28"/>
        </w:rPr>
        <w:t>1、获取磋商文件：</w:t>
      </w:r>
      <w:r>
        <w:rPr>
          <w:rFonts w:hint="eastAsia" w:ascii="仿宋" w:hAnsi="仿宋" w:eastAsia="仿宋" w:cs="宋体"/>
          <w:color w:val="auto"/>
          <w:kern w:val="0"/>
          <w:sz w:val="28"/>
          <w:szCs w:val="28"/>
        </w:rPr>
        <w:t>自本公告发布之日起至2024年10月18日，有意愿参与本项目的投标人，请联系：陈曦：13814600692 。</w:t>
      </w:r>
    </w:p>
    <w:p w14:paraId="4CD683B8">
      <w:pPr>
        <w:pStyle w:val="18"/>
        <w:shd w:val="clear" w:color="auto" w:fill="FFFFFF"/>
        <w:spacing w:before="156" w:beforeAutospacing="0" w:after="156" w:afterAutospacing="0" w:line="360" w:lineRule="auto"/>
        <w:ind w:firstLine="562" w:firstLineChars="200"/>
        <w:jc w:val="both"/>
        <w:rPr>
          <w:rFonts w:ascii="仿宋" w:hAnsi="仿宋" w:eastAsia="仿宋"/>
          <w:color w:val="auto"/>
          <w:sz w:val="28"/>
          <w:szCs w:val="28"/>
        </w:rPr>
      </w:pPr>
      <w:r>
        <w:rPr>
          <w:rFonts w:hint="eastAsia" w:ascii="仿宋" w:hAnsi="仿宋" w:eastAsia="仿宋"/>
          <w:b/>
          <w:bCs/>
          <w:color w:val="auto"/>
          <w:sz w:val="28"/>
          <w:szCs w:val="28"/>
        </w:rPr>
        <w:t>2、响应文件接收截止及评审时间、地点：</w:t>
      </w:r>
      <w:r>
        <w:rPr>
          <w:rFonts w:hint="eastAsia" w:ascii="仿宋" w:hAnsi="仿宋" w:eastAsia="仿宋"/>
          <w:color w:val="auto"/>
          <w:sz w:val="28"/>
          <w:szCs w:val="28"/>
        </w:rPr>
        <w:t>时间：2024年10月18日10时。逾时现场将不接受文件。</w:t>
      </w:r>
    </w:p>
    <w:p w14:paraId="5C880B79">
      <w:pPr>
        <w:pStyle w:val="18"/>
        <w:shd w:val="clear" w:color="auto" w:fill="FFFFFF"/>
        <w:spacing w:before="156" w:beforeAutospacing="0" w:after="156" w:afterAutospacing="0" w:line="360" w:lineRule="auto"/>
        <w:ind w:firstLine="562" w:firstLineChars="200"/>
        <w:jc w:val="both"/>
        <w:rPr>
          <w:rFonts w:ascii="仿宋" w:hAnsi="仿宋" w:eastAsia="仿宋"/>
          <w:b/>
          <w:color w:val="auto"/>
          <w:sz w:val="28"/>
          <w:szCs w:val="28"/>
        </w:rPr>
      </w:pPr>
      <w:r>
        <w:rPr>
          <w:rFonts w:hint="eastAsia" w:ascii="仿宋" w:hAnsi="仿宋" w:eastAsia="仿宋"/>
          <w:b/>
          <w:bCs/>
          <w:color w:val="auto"/>
          <w:sz w:val="28"/>
          <w:szCs w:val="28"/>
        </w:rPr>
        <w:t>3、响应文件递交地址：</w:t>
      </w:r>
      <w:r>
        <w:rPr>
          <w:rFonts w:hint="eastAsia" w:ascii="仿宋" w:hAnsi="仿宋" w:eastAsia="仿宋"/>
          <w:b/>
          <w:bCs/>
          <w:color w:val="auto"/>
          <w:sz w:val="28"/>
          <w:szCs w:val="28"/>
          <w:u w:val="single"/>
        </w:rPr>
        <w:t>南通市经济技术开发区振兴东路288号行政楼1408室</w:t>
      </w:r>
    </w:p>
    <w:p w14:paraId="6A2D14CB">
      <w:pPr>
        <w:spacing w:line="360" w:lineRule="auto"/>
        <w:ind w:firstLine="562" w:firstLineChars="200"/>
        <w:rPr>
          <w:rFonts w:ascii="仿宋" w:hAnsi="仿宋" w:eastAsia="仿宋" w:cs="宋体"/>
          <w:color w:val="auto"/>
          <w:kern w:val="0"/>
          <w:sz w:val="28"/>
          <w:szCs w:val="28"/>
        </w:rPr>
      </w:pPr>
      <w:r>
        <w:rPr>
          <w:rFonts w:hint="eastAsia" w:ascii="仿宋" w:hAnsi="仿宋" w:eastAsia="仿宋" w:cs="宋体"/>
          <w:b/>
          <w:color w:val="auto"/>
          <w:kern w:val="0"/>
          <w:sz w:val="28"/>
          <w:szCs w:val="28"/>
        </w:rPr>
        <w:t>4、磋商保证金：</w:t>
      </w:r>
      <w:r>
        <w:rPr>
          <w:rFonts w:hint="eastAsia" w:ascii="仿宋" w:hAnsi="仿宋" w:eastAsia="仿宋" w:cs="宋体"/>
          <w:color w:val="auto"/>
          <w:kern w:val="0"/>
          <w:sz w:val="28"/>
          <w:szCs w:val="28"/>
        </w:rPr>
        <w:t>本项目不需提供保证金</w:t>
      </w:r>
      <w:r>
        <w:rPr>
          <w:rFonts w:ascii="仿宋" w:hAnsi="仿宋" w:eastAsia="仿宋" w:cs="宋体"/>
          <w:color w:val="auto"/>
          <w:kern w:val="0"/>
          <w:sz w:val="28"/>
          <w:szCs w:val="28"/>
        </w:rPr>
        <w:t xml:space="preserve">。 </w:t>
      </w:r>
    </w:p>
    <w:p w14:paraId="5E83A8E7">
      <w:pPr>
        <w:widowControl/>
        <w:spacing w:line="360" w:lineRule="auto"/>
        <w:jc w:val="left"/>
        <w:rPr>
          <w:rFonts w:ascii="仿宋" w:hAnsi="仿宋" w:eastAsia="仿宋" w:cs="宋体"/>
          <w:b/>
          <w:color w:val="auto"/>
          <w:kern w:val="0"/>
          <w:sz w:val="28"/>
          <w:szCs w:val="28"/>
        </w:rPr>
      </w:pPr>
      <w:r>
        <w:rPr>
          <w:rFonts w:hint="eastAsia" w:ascii="仿宋" w:hAnsi="仿宋" w:eastAsia="仿宋" w:cs="宋体"/>
          <w:b/>
          <w:color w:val="auto"/>
          <w:kern w:val="0"/>
          <w:sz w:val="28"/>
          <w:szCs w:val="28"/>
        </w:rPr>
        <w:t>六、公告期限</w:t>
      </w:r>
    </w:p>
    <w:p w14:paraId="7BF39B1A">
      <w:pPr>
        <w:widowControl/>
        <w:spacing w:line="360" w:lineRule="auto"/>
        <w:ind w:firstLine="56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本公示期自2024年10月8日---2024年10月18日</w:t>
      </w:r>
      <w:r>
        <w:rPr>
          <w:rFonts w:ascii="仿宋" w:hAnsi="仿宋" w:eastAsia="仿宋" w:cs="宋体"/>
          <w:color w:val="auto"/>
          <w:kern w:val="0"/>
          <w:sz w:val="28"/>
          <w:szCs w:val="28"/>
        </w:rPr>
        <w:t xml:space="preserve"> </w:t>
      </w:r>
      <w:r>
        <w:rPr>
          <w:rFonts w:hint="eastAsia" w:ascii="仿宋" w:hAnsi="仿宋" w:eastAsia="仿宋" w:cs="宋体"/>
          <w:color w:val="auto"/>
          <w:kern w:val="0"/>
          <w:sz w:val="28"/>
          <w:szCs w:val="28"/>
        </w:rPr>
        <w:t>10截止，如对本项目招标</w:t>
      </w:r>
      <w:r>
        <w:rPr>
          <w:rFonts w:ascii="仿宋" w:hAnsi="仿宋" w:eastAsia="仿宋" w:cs="宋体"/>
          <w:color w:val="auto"/>
          <w:kern w:val="0"/>
          <w:sz w:val="28"/>
          <w:szCs w:val="28"/>
        </w:rPr>
        <w:t>文件</w:t>
      </w:r>
      <w:r>
        <w:rPr>
          <w:rFonts w:hint="eastAsia" w:ascii="仿宋" w:hAnsi="仿宋" w:eastAsia="仿宋" w:cs="宋体"/>
          <w:color w:val="auto"/>
          <w:kern w:val="0"/>
          <w:sz w:val="28"/>
          <w:szCs w:val="28"/>
        </w:rPr>
        <w:t>有异议的，请于投标截止日</w:t>
      </w:r>
      <w:r>
        <w:rPr>
          <w:rFonts w:ascii="仿宋" w:hAnsi="仿宋" w:eastAsia="仿宋" w:cs="宋体"/>
          <w:color w:val="auto"/>
          <w:kern w:val="0"/>
          <w:sz w:val="28"/>
          <w:szCs w:val="28"/>
        </w:rPr>
        <w:t>前两日</w:t>
      </w:r>
      <w:r>
        <w:rPr>
          <w:rFonts w:hint="eastAsia" w:ascii="仿宋" w:hAnsi="仿宋" w:eastAsia="仿宋" w:cs="宋体"/>
          <w:color w:val="auto"/>
          <w:kern w:val="0"/>
          <w:sz w:val="28"/>
          <w:szCs w:val="28"/>
        </w:rPr>
        <w:t>将书面意见反馈给采购单位。</w:t>
      </w:r>
    </w:p>
    <w:p w14:paraId="4B9237F2">
      <w:pPr>
        <w:widowControl/>
        <w:spacing w:line="360" w:lineRule="auto"/>
        <w:jc w:val="left"/>
        <w:rPr>
          <w:rFonts w:ascii="仿宋" w:hAnsi="仿宋" w:eastAsia="仿宋" w:cs="宋体"/>
          <w:b/>
          <w:color w:val="auto"/>
          <w:kern w:val="0"/>
          <w:sz w:val="28"/>
          <w:szCs w:val="28"/>
        </w:rPr>
      </w:pPr>
      <w:r>
        <w:rPr>
          <w:rFonts w:hint="eastAsia" w:ascii="仿宋" w:hAnsi="仿宋" w:eastAsia="仿宋" w:cs="宋体"/>
          <w:b/>
          <w:color w:val="auto"/>
          <w:kern w:val="0"/>
          <w:sz w:val="28"/>
          <w:szCs w:val="28"/>
        </w:rPr>
        <w:t>七、采购方联系人和联系电话</w:t>
      </w:r>
    </w:p>
    <w:p w14:paraId="4379105C">
      <w:pPr>
        <w:widowControl/>
        <w:spacing w:line="360" w:lineRule="auto"/>
        <w:ind w:firstLine="56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 xml:space="preserve">采购单位：江苏省南通卫生高等职业技术学校 </w:t>
      </w:r>
    </w:p>
    <w:p w14:paraId="16758446">
      <w:pPr>
        <w:widowControl/>
        <w:spacing w:line="360" w:lineRule="auto"/>
        <w:ind w:firstLine="56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采购单位联系人：罗炜：13962911616</w:t>
      </w:r>
    </w:p>
    <w:p w14:paraId="356025A8">
      <w:pPr>
        <w:widowControl/>
        <w:spacing w:line="360" w:lineRule="auto"/>
        <w:ind w:firstLine="560"/>
        <w:jc w:val="right"/>
        <w:rPr>
          <w:rFonts w:ascii="仿宋" w:hAnsi="仿宋" w:eastAsia="仿宋" w:cs="宋体"/>
          <w:color w:val="auto"/>
          <w:kern w:val="0"/>
          <w:sz w:val="28"/>
          <w:szCs w:val="28"/>
        </w:rPr>
      </w:pPr>
      <w:r>
        <w:rPr>
          <w:rFonts w:hint="eastAsia" w:ascii="仿宋" w:hAnsi="仿宋" w:eastAsia="仿宋" w:cs="宋体"/>
          <w:color w:val="auto"/>
          <w:kern w:val="0"/>
          <w:sz w:val="28"/>
          <w:szCs w:val="28"/>
        </w:rPr>
        <w:t>江苏省南通卫生高等职业技术学校</w:t>
      </w:r>
    </w:p>
    <w:p w14:paraId="449168A9">
      <w:pPr>
        <w:widowControl/>
        <w:spacing w:line="360" w:lineRule="auto"/>
        <w:ind w:firstLine="560"/>
        <w:jc w:val="right"/>
        <w:rPr>
          <w:rFonts w:ascii="仿宋" w:hAnsi="仿宋" w:eastAsia="仿宋"/>
          <w:sz w:val="28"/>
          <w:szCs w:val="28"/>
        </w:rPr>
      </w:pPr>
      <w:bookmarkStart w:id="20" w:name="_GoBack"/>
      <w:bookmarkEnd w:id="20"/>
      <w:r>
        <w:rPr>
          <w:rFonts w:hint="eastAsia" w:ascii="仿宋" w:hAnsi="仿宋" w:eastAsia="仿宋" w:cs="宋体"/>
          <w:color w:val="auto"/>
          <w:kern w:val="0"/>
          <w:sz w:val="28"/>
          <w:szCs w:val="28"/>
        </w:rPr>
        <w:t>2024年10月8日</w:t>
      </w:r>
      <w:r>
        <w:rPr>
          <w:rFonts w:ascii="仿宋" w:hAnsi="仿宋" w:eastAsia="仿宋"/>
          <w:sz w:val="28"/>
          <w:szCs w:val="28"/>
        </w:rPr>
        <w:br w:type="page"/>
      </w:r>
    </w:p>
    <w:p w14:paraId="1968F1F0">
      <w:pPr>
        <w:pStyle w:val="2"/>
      </w:pPr>
      <w:bookmarkStart w:id="2" w:name="_Toc99106003"/>
      <w:bookmarkStart w:id="3" w:name="_Toc178167493"/>
      <w:r>
        <w:rPr>
          <w:rFonts w:hint="eastAsia"/>
        </w:rPr>
        <w:t>第二章 供应商须知</w:t>
      </w:r>
      <w:bookmarkEnd w:id="2"/>
      <w:bookmarkEnd w:id="3"/>
    </w:p>
    <w:p w14:paraId="6A165628">
      <w:pPr>
        <w:pStyle w:val="3"/>
      </w:pPr>
      <w:r>
        <w:rPr>
          <w:rFonts w:hint="eastAsia"/>
        </w:rPr>
        <w:t>一、招标文件由采购人解释</w:t>
      </w:r>
    </w:p>
    <w:p w14:paraId="75F431CB">
      <w:pPr>
        <w:snapToGrid w:val="0"/>
        <w:spacing w:line="360" w:lineRule="auto"/>
        <w:ind w:firstLine="560" w:firstLineChars="200"/>
        <w:rPr>
          <w:rFonts w:ascii="仿宋" w:hAnsi="仿宋" w:eastAsia="仿宋" w:cs="仿宋"/>
          <w:b/>
          <w:sz w:val="28"/>
          <w:szCs w:val="28"/>
        </w:rPr>
      </w:pPr>
      <w:r>
        <w:rPr>
          <w:rFonts w:hint="eastAsia" w:ascii="仿宋" w:hAnsi="仿宋" w:eastAsia="仿宋" w:cs="仿宋"/>
          <w:sz w:val="28"/>
          <w:szCs w:val="28"/>
        </w:rPr>
        <w:t>1、供应商应仔细检查招标文件的所有内容，如有资格要求和技术参数含有倾向性或排他性等表述的，应在发布招标公告和招标文件后3日内以书面形式提出询问或疑问，未在规定的3日内提出询问或疑问的，视同供应商理解并接受本招标文件所有内容，并由此引起的投标损失自负。供应商不得在招标结束后针对招标文件所有内容提出质疑事项。</w:t>
      </w:r>
      <w:r>
        <w:rPr>
          <w:rFonts w:hint="eastAsia" w:ascii="仿宋" w:hAnsi="仿宋" w:eastAsia="仿宋" w:cs="仿宋"/>
          <w:b/>
          <w:sz w:val="28"/>
          <w:szCs w:val="28"/>
        </w:rPr>
        <w:t>非书面形式的不作为日后质疑提出的依据。</w:t>
      </w:r>
    </w:p>
    <w:p w14:paraId="34271CDA">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应认真审阅招标文件中所有的事项、格式、条款和规范要求等，如果供应商没有按照招标文件要求提交投标文件，或者投标文件没有对招标文件做出实质性响应，其投标将被拒绝，供应商自行承担责任。</w:t>
      </w:r>
    </w:p>
    <w:p w14:paraId="5B8AA472">
      <w:pPr>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3、若符合资格要求的供应商不足三家，采购人有权自动转入竞争性谈判或单一来源谈判。</w:t>
      </w:r>
    </w:p>
    <w:p w14:paraId="70D38DAA">
      <w:pPr>
        <w:pStyle w:val="3"/>
      </w:pPr>
      <w:r>
        <w:rPr>
          <w:rFonts w:hint="eastAsia"/>
        </w:rPr>
        <w:t>二、招标文件的澄清、修改、答疑</w:t>
      </w:r>
    </w:p>
    <w:p w14:paraId="7EEEB44E">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1、采购人有权对发出的招标文件进行必要的澄清或修改。</w:t>
      </w:r>
    </w:p>
    <w:p w14:paraId="268816CA">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2、采购人可视情取消、延长相关时间，不负责解释。</w:t>
      </w:r>
    </w:p>
    <w:p w14:paraId="4DDF0000">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3、采购人对招标文件的澄清、修改将构成招标文件的一部分，对供应商具有约束力。</w:t>
      </w:r>
    </w:p>
    <w:p w14:paraId="7F0FD7D0">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4、供应商由于对招标文件的任何推论和误解以及采购人对有关问题的口头解释所造成的后果，均由供应商自负。</w:t>
      </w:r>
    </w:p>
    <w:p w14:paraId="1DD74246">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5、采购人或采购单位视情组织答疑会。</w:t>
      </w:r>
    </w:p>
    <w:p w14:paraId="661626B5">
      <w:pPr>
        <w:pStyle w:val="3"/>
      </w:pPr>
      <w:r>
        <w:rPr>
          <w:rFonts w:hint="eastAsia"/>
        </w:rPr>
        <w:t>三、投标报价</w:t>
      </w:r>
    </w:p>
    <w:p w14:paraId="7AD7DF31">
      <w:pPr>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供应商的报价不得超过项目预算，否则作为无效标处理。</w:t>
      </w:r>
    </w:p>
    <w:p w14:paraId="469A5B27">
      <w:pPr>
        <w:pStyle w:val="3"/>
      </w:pPr>
      <w:r>
        <w:rPr>
          <w:rFonts w:hint="eastAsia"/>
        </w:rPr>
        <w:t>四、投标文件的组成</w:t>
      </w:r>
    </w:p>
    <w:p w14:paraId="2AA7C6DA">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投标文件由</w:t>
      </w:r>
      <w:r>
        <w:rPr>
          <w:rFonts w:hint="eastAsia" w:ascii="仿宋" w:hAnsi="仿宋" w:eastAsia="仿宋" w:cs="仿宋"/>
          <w:b/>
          <w:bCs/>
          <w:sz w:val="28"/>
          <w:szCs w:val="28"/>
        </w:rPr>
        <w:t>资格审查文件</w:t>
      </w:r>
      <w:r>
        <w:rPr>
          <w:rFonts w:hint="eastAsia" w:ascii="仿宋" w:hAnsi="仿宋" w:eastAsia="仿宋" w:cs="仿宋"/>
          <w:sz w:val="28"/>
          <w:szCs w:val="28"/>
        </w:rPr>
        <w:t>、</w:t>
      </w:r>
      <w:r>
        <w:rPr>
          <w:rFonts w:hint="eastAsia" w:ascii="仿宋" w:hAnsi="仿宋" w:eastAsia="仿宋" w:cs="仿宋"/>
          <w:b/>
          <w:sz w:val="28"/>
          <w:szCs w:val="28"/>
        </w:rPr>
        <w:t>商务技术文件和报价文件</w:t>
      </w:r>
      <w:r>
        <w:rPr>
          <w:rFonts w:hint="eastAsia" w:ascii="仿宋" w:hAnsi="仿宋" w:eastAsia="仿宋" w:cs="仿宋"/>
          <w:sz w:val="28"/>
          <w:szCs w:val="28"/>
        </w:rPr>
        <w:t>三部分组成。</w:t>
      </w:r>
    </w:p>
    <w:p w14:paraId="01847151">
      <w:pPr>
        <w:spacing w:line="360" w:lineRule="auto"/>
        <w:ind w:firstLine="560" w:firstLineChars="200"/>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一</w:t>
      </w:r>
      <w:r>
        <w:rPr>
          <w:rFonts w:ascii="仿宋" w:hAnsi="仿宋" w:eastAsia="仿宋" w:cs="仿宋"/>
          <w:sz w:val="28"/>
          <w:szCs w:val="28"/>
        </w:rPr>
        <w:t>）</w:t>
      </w:r>
      <w:r>
        <w:rPr>
          <w:rFonts w:hint="eastAsia" w:ascii="仿宋" w:hAnsi="仿宋" w:eastAsia="仿宋" w:cs="仿宋"/>
          <w:sz w:val="28"/>
          <w:szCs w:val="28"/>
        </w:rPr>
        <w:t>资格审查文件（一份正本和二份副本）</w:t>
      </w:r>
    </w:p>
    <w:p w14:paraId="50FBD4E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1、营业执照复印件；</w:t>
      </w:r>
    </w:p>
    <w:p w14:paraId="6824007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2、法定代表人授权委托书及本人身份证复印件（见附件）；</w:t>
      </w:r>
    </w:p>
    <w:p w14:paraId="4832599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3、提供符合《政府采购法》第二十二条要求的承诺函（见附件）；</w:t>
      </w:r>
    </w:p>
    <w:p w14:paraId="4EA34AC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w:t>
      </w:r>
      <w:r>
        <w:rPr>
          <w:rFonts w:hint="eastAsia" w:ascii="仿宋" w:hAnsi="仿宋" w:eastAsia="仿宋" w:cs="仿宋"/>
          <w:sz w:val="28"/>
          <w:szCs w:val="28"/>
        </w:rPr>
        <w:t>投标承诺书（见附件）；</w:t>
      </w:r>
    </w:p>
    <w:p w14:paraId="697856C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5、中小企业声明函（或残疾人福利性单位声明函或监狱企业的证明，格式见附件）。</w:t>
      </w:r>
    </w:p>
    <w:p w14:paraId="48A53F98">
      <w:pPr>
        <w:spacing w:line="360" w:lineRule="auto"/>
        <w:ind w:firstLine="560" w:firstLineChars="200"/>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二</w:t>
      </w:r>
      <w:r>
        <w:rPr>
          <w:rFonts w:ascii="仿宋" w:hAnsi="仿宋" w:eastAsia="仿宋" w:cs="仿宋"/>
          <w:sz w:val="28"/>
          <w:szCs w:val="28"/>
        </w:rPr>
        <w:t>）</w:t>
      </w:r>
      <w:r>
        <w:rPr>
          <w:rFonts w:hint="eastAsia" w:ascii="仿宋" w:hAnsi="仿宋" w:eastAsia="仿宋" w:cs="仿宋"/>
          <w:sz w:val="28"/>
          <w:szCs w:val="28"/>
        </w:rPr>
        <w:t>商务技术文件（不得出现报价）（一份正本和二份副本）</w:t>
      </w:r>
    </w:p>
    <w:p w14:paraId="0685925F">
      <w:pPr>
        <w:spacing w:line="360" w:lineRule="auto"/>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、竞争性磋商响应函（见附件）；</w:t>
      </w:r>
    </w:p>
    <w:p w14:paraId="4D4D0C6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2、商务部分正负偏离表（见附件）；</w:t>
      </w:r>
    </w:p>
    <w:p w14:paraId="1FE250C5">
      <w:pPr>
        <w:spacing w:line="360" w:lineRule="auto"/>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、技术部分正负偏离表（见附件）；</w:t>
      </w:r>
    </w:p>
    <w:p w14:paraId="48415E9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4、技术服务方案、货物（服务）清单。具有项目、数量、品牌、型号、配置性能等；</w:t>
      </w:r>
    </w:p>
    <w:p w14:paraId="0ED7D76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5、为方便评委评审，请供应商按评审办法中所涉及的事项顺序进行编制，可以补充相关材料；</w:t>
      </w:r>
    </w:p>
    <w:p w14:paraId="0970260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6、评审办法中未涉及的事项，供应商认为需要提交的其他资料。</w:t>
      </w:r>
    </w:p>
    <w:p w14:paraId="2E6F7B3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w:t>
      </w:r>
      <w:r>
        <w:rPr>
          <w:rFonts w:hint="eastAsia" w:ascii="仿宋" w:hAnsi="仿宋" w:eastAsia="仿宋" w:cs="仿宋"/>
          <w:bCs/>
          <w:sz w:val="28"/>
          <w:szCs w:val="28"/>
        </w:rPr>
        <w:t>报价文件（</w:t>
      </w:r>
      <w:r>
        <w:rPr>
          <w:rFonts w:hint="eastAsia" w:ascii="仿宋" w:hAnsi="仿宋" w:eastAsia="仿宋" w:cs="仿宋"/>
          <w:b/>
          <w:bCs/>
          <w:sz w:val="28"/>
          <w:szCs w:val="28"/>
        </w:rPr>
        <w:t>不得出现在资格审查文件和商务技术文件中）</w:t>
      </w:r>
      <w:r>
        <w:rPr>
          <w:rFonts w:hint="eastAsia" w:ascii="仿宋" w:hAnsi="仿宋" w:eastAsia="仿宋" w:cs="仿宋"/>
          <w:sz w:val="28"/>
          <w:szCs w:val="28"/>
        </w:rPr>
        <w:t>（一份正本和二份副本）</w:t>
      </w:r>
    </w:p>
    <w:p w14:paraId="05D6A7F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1、投标报价总表（见附件）；</w:t>
      </w:r>
    </w:p>
    <w:p w14:paraId="16F5ED3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2、投标报价明细表（格式自拟）；</w:t>
      </w:r>
    </w:p>
    <w:p w14:paraId="739B46CD">
      <w:pPr>
        <w:pStyle w:val="3"/>
      </w:pPr>
      <w:r>
        <w:rPr>
          <w:rFonts w:hint="eastAsia"/>
        </w:rPr>
        <w:t>五、投标文件的编写、份数和签署</w:t>
      </w:r>
    </w:p>
    <w:p w14:paraId="26F81A2A">
      <w:pPr>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投标文件规格幅面A4纸（图纸等除外），正文使用仿宋体四号字，按照招标文件所规定的内容顺序，统一编目、编页码装订（投标文件中复印件及彩色宣传资料等均须与投标文件正文一起逐页编排页码）。由于编排混乱导致投标文件被误读或查找不到，其责任应当由供应商承担。不得将内容拆开投标，并牢固装订成册。不允许使用活页夹、拉杆夹、文件夹、塑料方便式书脊（插入式或穿孔式）装订。投标文件不得行间插字、涂改、增删，如修补错漏处，须经投标文件签署人签字并加盖公章。</w:t>
      </w:r>
    </w:p>
    <w:p w14:paraId="1710821F">
      <w:pPr>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供应商应准备叁份完整的纸质投标文件（其中正本壹份，副本贰份，并标明“正本”或“副本”字样），投标文件正、副本若有差异，概以“正本”为准。</w:t>
      </w:r>
    </w:p>
    <w:p w14:paraId="6F5C8FF6">
      <w:pPr>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纸质投标文件正本（须用不能擦去的墨水书写或打印）须由法定代表人或被授权人签字或盖章，并加盖单位印章。副本可复印，但须加盖单位印章。</w:t>
      </w:r>
    </w:p>
    <w:p w14:paraId="4D0BD31E">
      <w:pPr>
        <w:pStyle w:val="3"/>
      </w:pPr>
      <w:r>
        <w:rPr>
          <w:rFonts w:hint="eastAsia"/>
        </w:rPr>
        <w:t>六、投标文件的密封及标记</w:t>
      </w:r>
    </w:p>
    <w:p w14:paraId="59AEFE63">
      <w:pPr>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投标文件要求密封。</w:t>
      </w:r>
    </w:p>
    <w:p w14:paraId="296209A9">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供应商可将投标文件正副本统一密封或分别密封，如正本和副本分别密封的，应在封袋上标明正、副本字样。</w:t>
      </w:r>
    </w:p>
    <w:p w14:paraId="31196F3D">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w:t>
      </w:r>
      <w:r>
        <w:rPr>
          <w:rFonts w:hint="eastAsia" w:ascii="仿宋" w:hAnsi="仿宋" w:eastAsia="仿宋" w:cs="仿宋"/>
          <w:sz w:val="28"/>
          <w:szCs w:val="28"/>
        </w:rPr>
        <w:t>密封后封袋上应标明项目名称、供应商名称、边缝处加盖单位骑缝章和法定代表人或者授权代理人骑缝签字。</w:t>
      </w:r>
    </w:p>
    <w:p w14:paraId="37CD3EA4">
      <w:pPr>
        <w:pStyle w:val="3"/>
      </w:pPr>
      <w:r>
        <w:rPr>
          <w:rFonts w:hint="eastAsia"/>
        </w:rPr>
        <w:t>七、投标文件的递交时间</w:t>
      </w:r>
    </w:p>
    <w:p w14:paraId="57E8FE5B">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供应商必须在规定的投标文件接收截止时间前送达采购人。采购人将拒绝接收在投标截止时间后递交的投标文件。</w:t>
      </w:r>
    </w:p>
    <w:p w14:paraId="2072CEAA">
      <w:pPr>
        <w:pStyle w:val="3"/>
      </w:pPr>
      <w:r>
        <w:rPr>
          <w:rFonts w:hint="eastAsia"/>
        </w:rPr>
        <w:t>八、投标保证金</w:t>
      </w:r>
    </w:p>
    <w:p w14:paraId="6F6F0EEB">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本项目</w:t>
      </w:r>
      <w:r>
        <w:rPr>
          <w:rFonts w:ascii="仿宋" w:hAnsi="仿宋" w:eastAsia="仿宋" w:cs="仿宋"/>
          <w:sz w:val="28"/>
          <w:szCs w:val="28"/>
        </w:rPr>
        <w:t>不涉及</w:t>
      </w:r>
    </w:p>
    <w:p w14:paraId="129C524C">
      <w:pPr>
        <w:pStyle w:val="3"/>
      </w:pPr>
      <w:r>
        <w:rPr>
          <w:rFonts w:hint="eastAsia"/>
        </w:rPr>
        <w:t>九、投标费用</w:t>
      </w:r>
    </w:p>
    <w:p w14:paraId="120DEA14">
      <w:pPr>
        <w:widowControl/>
        <w:spacing w:line="360" w:lineRule="auto"/>
        <w:ind w:firstLine="560" w:firstLineChars="200"/>
        <w:jc w:val="left"/>
        <w:rPr>
          <w:rFonts w:ascii="仿宋" w:hAnsi="仿宋" w:eastAsia="仿宋" w:cs="仿宋"/>
          <w:b/>
          <w:bCs/>
          <w:kern w:val="44"/>
          <w:sz w:val="28"/>
          <w:szCs w:val="28"/>
        </w:rPr>
      </w:pPr>
      <w:r>
        <w:rPr>
          <w:rFonts w:hint="eastAsia" w:ascii="仿宋" w:hAnsi="仿宋" w:eastAsia="仿宋" w:cs="仿宋"/>
          <w:sz w:val="28"/>
          <w:szCs w:val="28"/>
        </w:rPr>
        <w:t>供应商承担参与投标可能发生的全部费用，采购人在任何情况下均无义务和责任承担这些费用。</w:t>
      </w:r>
      <w:r>
        <w:rPr>
          <w:rFonts w:hint="eastAsia" w:ascii="仿宋" w:hAnsi="仿宋" w:eastAsia="仿宋" w:cs="仿宋"/>
          <w:sz w:val="28"/>
          <w:szCs w:val="28"/>
        </w:rPr>
        <w:br w:type="page"/>
      </w:r>
    </w:p>
    <w:p w14:paraId="3AD9CB25">
      <w:pPr>
        <w:pStyle w:val="2"/>
      </w:pPr>
      <w:bookmarkStart w:id="4" w:name="_Toc178167494"/>
      <w:bookmarkStart w:id="5" w:name="_Hlk99542129"/>
      <w:r>
        <w:rPr>
          <w:rFonts w:hint="eastAsia"/>
        </w:rPr>
        <w:t>第三章 采购需求</w:t>
      </w:r>
      <w:bookmarkEnd w:id="4"/>
    </w:p>
    <w:p w14:paraId="50532807">
      <w:pPr>
        <w:widowControl/>
        <w:spacing w:line="360" w:lineRule="auto"/>
        <w:ind w:firstLine="560" w:firstLineChars="200"/>
        <w:rPr>
          <w:rFonts w:ascii="仿宋" w:hAnsi="仿宋" w:eastAsia="仿宋" w:cs="楷体_GB2312"/>
          <w:bCs/>
          <w:kern w:val="0"/>
          <w:sz w:val="28"/>
          <w:szCs w:val="28"/>
        </w:rPr>
      </w:pPr>
      <w:r>
        <w:rPr>
          <w:rFonts w:hint="eastAsia" w:ascii="仿宋" w:hAnsi="仿宋" w:eastAsia="仿宋" w:cs="宋体"/>
          <w:kern w:val="0"/>
          <w:sz w:val="28"/>
          <w:szCs w:val="28"/>
        </w:rPr>
        <w:t>为落实《网络安全法》第二十一条第三款“网络运营者应当按照网络安全等级保护制度的要求”，</w:t>
      </w:r>
      <w:r>
        <w:rPr>
          <w:rFonts w:hint="eastAsia" w:ascii="仿宋" w:hAnsi="仿宋" w:eastAsia="仿宋" w:cs="仿宋"/>
          <w:color w:val="000000" w:themeColor="text1"/>
          <w:sz w:val="28"/>
          <w:szCs w:val="28"/>
          <w14:textFill>
            <w14:solidFill>
              <w14:schemeClr w14:val="tx1"/>
            </w14:solidFill>
          </w14:textFill>
        </w:rPr>
        <w:t>江苏省南通卫生高等职业技术学校</w:t>
      </w:r>
      <w:r>
        <w:rPr>
          <w:rFonts w:hint="eastAsia" w:ascii="仿宋" w:hAnsi="仿宋" w:eastAsia="仿宋" w:cs="仿宋"/>
          <w:sz w:val="28"/>
          <w:szCs w:val="28"/>
        </w:rPr>
        <w:t>决定</w:t>
      </w:r>
      <w:r>
        <w:rPr>
          <w:rFonts w:ascii="仿宋" w:hAnsi="仿宋" w:eastAsia="仿宋" w:cs="仿宋"/>
          <w:sz w:val="28"/>
          <w:szCs w:val="28"/>
        </w:rPr>
        <w:t>对单位信息系统</w:t>
      </w:r>
      <w:r>
        <w:rPr>
          <w:rFonts w:hint="eastAsia" w:ascii="仿宋" w:hAnsi="仿宋" w:eastAsia="仿宋" w:cs="仿宋"/>
          <w:sz w:val="28"/>
          <w:szCs w:val="28"/>
        </w:rPr>
        <w:t>进行网络</w:t>
      </w:r>
      <w:r>
        <w:rPr>
          <w:rFonts w:ascii="仿宋" w:hAnsi="仿宋" w:eastAsia="仿宋" w:cs="仿宋"/>
          <w:sz w:val="28"/>
          <w:szCs w:val="28"/>
        </w:rPr>
        <w:t>安全等级保护测评</w:t>
      </w:r>
      <w:r>
        <w:rPr>
          <w:rFonts w:hint="eastAsia" w:ascii="仿宋" w:hAnsi="仿宋" w:eastAsia="仿宋" w:cs="宋体"/>
          <w:kern w:val="0"/>
          <w:sz w:val="28"/>
          <w:szCs w:val="28"/>
        </w:rPr>
        <w:t>，</w:t>
      </w:r>
      <w:r>
        <w:rPr>
          <w:rFonts w:ascii="仿宋" w:hAnsi="仿宋" w:eastAsia="仿宋" w:cs="宋体"/>
          <w:kern w:val="0"/>
          <w:sz w:val="28"/>
          <w:szCs w:val="28"/>
        </w:rPr>
        <w:t>以明确信息系统</w:t>
      </w:r>
      <w:r>
        <w:rPr>
          <w:rFonts w:hint="eastAsia" w:ascii="仿宋" w:hAnsi="仿宋" w:eastAsia="仿宋" w:cs="宋体"/>
          <w:kern w:val="0"/>
          <w:sz w:val="28"/>
          <w:szCs w:val="28"/>
        </w:rPr>
        <w:t>现状</w:t>
      </w:r>
      <w:r>
        <w:rPr>
          <w:rFonts w:ascii="仿宋" w:hAnsi="仿宋" w:eastAsia="仿宋" w:cs="宋体"/>
          <w:kern w:val="0"/>
          <w:sz w:val="28"/>
          <w:szCs w:val="28"/>
        </w:rPr>
        <w:t>，</w:t>
      </w:r>
      <w:r>
        <w:rPr>
          <w:rFonts w:hint="eastAsia" w:ascii="仿宋" w:hAnsi="仿宋" w:eastAsia="仿宋" w:cs="宋体"/>
          <w:kern w:val="0"/>
          <w:sz w:val="28"/>
          <w:szCs w:val="28"/>
        </w:rPr>
        <w:t>发现</w:t>
      </w:r>
      <w:r>
        <w:rPr>
          <w:rFonts w:ascii="仿宋" w:hAnsi="仿宋" w:eastAsia="仿宋" w:cs="宋体"/>
          <w:kern w:val="0"/>
          <w:sz w:val="28"/>
          <w:szCs w:val="28"/>
        </w:rPr>
        <w:t>系统</w:t>
      </w:r>
      <w:r>
        <w:rPr>
          <w:rFonts w:hint="eastAsia" w:ascii="仿宋" w:hAnsi="仿宋" w:eastAsia="仿宋" w:cs="宋体"/>
          <w:kern w:val="0"/>
          <w:sz w:val="28"/>
          <w:szCs w:val="28"/>
        </w:rPr>
        <w:t>内部</w:t>
      </w:r>
      <w:r>
        <w:rPr>
          <w:rFonts w:ascii="仿宋" w:hAnsi="仿宋" w:eastAsia="仿宋" w:cs="宋体"/>
          <w:kern w:val="0"/>
          <w:sz w:val="28"/>
          <w:szCs w:val="28"/>
        </w:rPr>
        <w:t>存在的安全隐患和不足，明确</w:t>
      </w:r>
      <w:r>
        <w:rPr>
          <w:rFonts w:hint="eastAsia" w:ascii="仿宋" w:hAnsi="仿宋" w:eastAsia="仿宋" w:cs="宋体"/>
          <w:kern w:val="0"/>
          <w:sz w:val="28"/>
          <w:szCs w:val="28"/>
        </w:rPr>
        <w:t>整改方向</w:t>
      </w:r>
      <w:r>
        <w:rPr>
          <w:rFonts w:ascii="仿宋" w:hAnsi="仿宋" w:eastAsia="仿宋" w:cs="宋体"/>
          <w:kern w:val="0"/>
          <w:sz w:val="28"/>
          <w:szCs w:val="28"/>
        </w:rPr>
        <w:t>，降低系统被攻击的风险</w:t>
      </w:r>
      <w:r>
        <w:rPr>
          <w:rFonts w:hint="eastAsia" w:ascii="仿宋" w:hAnsi="仿宋" w:eastAsia="仿宋" w:cs="宋体"/>
          <w:kern w:val="0"/>
          <w:sz w:val="28"/>
          <w:szCs w:val="28"/>
        </w:rPr>
        <w:t>。</w:t>
      </w:r>
    </w:p>
    <w:p w14:paraId="2133695D">
      <w:pPr>
        <w:pStyle w:val="3"/>
      </w:pPr>
      <w:r>
        <w:rPr>
          <w:rFonts w:hint="eastAsia"/>
        </w:rPr>
        <w:t>一、本项目服务范围</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5137"/>
        <w:gridCol w:w="1150"/>
        <w:gridCol w:w="1759"/>
      </w:tblGrid>
      <w:tr w14:paraId="54E1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pct"/>
            <w:vAlign w:val="center"/>
          </w:tcPr>
          <w:p w14:paraId="4C5DDFF0">
            <w:pPr>
              <w:spacing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序号</w:t>
            </w:r>
          </w:p>
        </w:tc>
        <w:tc>
          <w:tcPr>
            <w:tcW w:w="2800" w:type="pct"/>
            <w:vAlign w:val="center"/>
          </w:tcPr>
          <w:p w14:paraId="4864DB25">
            <w:pPr>
              <w:spacing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系统名称</w:t>
            </w:r>
          </w:p>
        </w:tc>
        <w:tc>
          <w:tcPr>
            <w:tcW w:w="627" w:type="pct"/>
          </w:tcPr>
          <w:p w14:paraId="6037F5ED">
            <w:pPr>
              <w:spacing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数量</w:t>
            </w:r>
          </w:p>
        </w:tc>
        <w:tc>
          <w:tcPr>
            <w:tcW w:w="958" w:type="pct"/>
            <w:vAlign w:val="center"/>
          </w:tcPr>
          <w:p w14:paraId="5DE27CFB">
            <w:pPr>
              <w:spacing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备注</w:t>
            </w:r>
          </w:p>
        </w:tc>
      </w:tr>
      <w:tr w14:paraId="1088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pct"/>
            <w:vAlign w:val="center"/>
          </w:tcPr>
          <w:p w14:paraId="6E042577">
            <w:pPr>
              <w:spacing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p>
        </w:tc>
        <w:tc>
          <w:tcPr>
            <w:tcW w:w="2800" w:type="pct"/>
            <w:vAlign w:val="center"/>
          </w:tcPr>
          <w:p w14:paraId="301E3799">
            <w:pPr>
              <w:spacing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经费内控监管平台</w:t>
            </w:r>
          </w:p>
        </w:tc>
        <w:tc>
          <w:tcPr>
            <w:tcW w:w="627" w:type="pct"/>
            <w:vAlign w:val="center"/>
          </w:tcPr>
          <w:p w14:paraId="1247BBAE">
            <w:pPr>
              <w:spacing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p>
        </w:tc>
        <w:tc>
          <w:tcPr>
            <w:tcW w:w="958" w:type="pct"/>
            <w:vAlign w:val="center"/>
          </w:tcPr>
          <w:p w14:paraId="64F7C68B">
            <w:pPr>
              <w:spacing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二级</w:t>
            </w:r>
          </w:p>
        </w:tc>
      </w:tr>
      <w:tr w14:paraId="1D4FA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pct"/>
            <w:vAlign w:val="center"/>
          </w:tcPr>
          <w:p w14:paraId="67A83575">
            <w:pPr>
              <w:spacing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p>
        </w:tc>
        <w:tc>
          <w:tcPr>
            <w:tcW w:w="2800" w:type="pct"/>
            <w:vAlign w:val="center"/>
          </w:tcPr>
          <w:p w14:paraId="3B17C5A9">
            <w:pPr>
              <w:spacing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智能心理云平台</w:t>
            </w:r>
          </w:p>
        </w:tc>
        <w:tc>
          <w:tcPr>
            <w:tcW w:w="627" w:type="pct"/>
            <w:vAlign w:val="center"/>
          </w:tcPr>
          <w:p w14:paraId="1A06BD69">
            <w:pPr>
              <w:spacing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p>
        </w:tc>
        <w:tc>
          <w:tcPr>
            <w:tcW w:w="958" w:type="pct"/>
            <w:vAlign w:val="center"/>
          </w:tcPr>
          <w:p w14:paraId="0F9D36E5">
            <w:pPr>
              <w:spacing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二级</w:t>
            </w:r>
          </w:p>
        </w:tc>
      </w:tr>
    </w:tbl>
    <w:p w14:paraId="141A608B">
      <w:pPr>
        <w:pStyle w:val="3"/>
      </w:pPr>
      <w:r>
        <w:rPr>
          <w:rFonts w:hint="eastAsia"/>
        </w:rPr>
        <w:t>二、测评单位要求</w:t>
      </w:r>
    </w:p>
    <w:p w14:paraId="52F6809F">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潜在供应商需</w:t>
      </w:r>
      <w:r>
        <w:rPr>
          <w:rFonts w:ascii="仿宋" w:hAnsi="仿宋" w:eastAsia="仿宋" w:cs="仿宋"/>
          <w:b/>
          <w:sz w:val="28"/>
          <w:szCs w:val="28"/>
        </w:rPr>
        <w:t>具有</w:t>
      </w:r>
      <w:r>
        <w:rPr>
          <w:rFonts w:hint="eastAsia" w:ascii="仿宋" w:hAnsi="仿宋" w:eastAsia="仿宋" w:cs="仿宋"/>
          <w:b/>
          <w:sz w:val="28"/>
          <w:szCs w:val="28"/>
        </w:rPr>
        <w:t>有效期内的《</w:t>
      </w:r>
      <w:r>
        <w:rPr>
          <w:rFonts w:ascii="仿宋" w:hAnsi="仿宋" w:eastAsia="仿宋" w:cs="仿宋"/>
          <w:b/>
          <w:sz w:val="28"/>
          <w:szCs w:val="28"/>
        </w:rPr>
        <w:t>网络安全等级测评与检测评估机构服务认证证书</w:t>
      </w:r>
      <w:r>
        <w:rPr>
          <w:rFonts w:hint="eastAsia" w:ascii="仿宋" w:hAnsi="仿宋" w:eastAsia="仿宋" w:cs="仿宋"/>
          <w:b/>
          <w:sz w:val="28"/>
          <w:szCs w:val="28"/>
        </w:rPr>
        <w:t>》，提供证书复印件（加盖公章）。</w:t>
      </w:r>
    </w:p>
    <w:p w14:paraId="55B14294">
      <w:pPr>
        <w:pStyle w:val="3"/>
      </w:pPr>
      <w:r>
        <w:rPr>
          <w:rFonts w:hint="eastAsia"/>
        </w:rPr>
        <w:t>三、测评内容</w:t>
      </w:r>
    </w:p>
    <w:p w14:paraId="0C541A6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1、总体要求：</w:t>
      </w:r>
    </w:p>
    <w:p w14:paraId="1185DE2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A．完成上述系统安全等级测评工作，测评后经用户方确认，出具符合</w:t>
      </w:r>
      <w:r>
        <w:rPr>
          <w:rStyle w:val="17"/>
          <w:rFonts w:hint="eastAsia" w:ascii="仿宋" w:hAnsi="仿宋" w:eastAsia="仿宋"/>
          <w:sz w:val="28"/>
          <w:szCs w:val="28"/>
        </w:rPr>
        <w:t>网络安全等级保护</w:t>
      </w:r>
      <w:r>
        <w:rPr>
          <w:rFonts w:hint="eastAsia" w:ascii="仿宋" w:hAnsi="仿宋" w:eastAsia="仿宋" w:cs="仿宋"/>
          <w:sz w:val="28"/>
          <w:szCs w:val="28"/>
        </w:rPr>
        <w:t>测评要求的测评报告；</w:t>
      </w:r>
    </w:p>
    <w:p w14:paraId="57A9286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B．对上述系统不符合</w:t>
      </w:r>
      <w:r>
        <w:rPr>
          <w:rStyle w:val="17"/>
          <w:rFonts w:hint="eastAsia" w:ascii="仿宋" w:hAnsi="仿宋" w:eastAsia="仿宋"/>
          <w:sz w:val="28"/>
          <w:szCs w:val="28"/>
        </w:rPr>
        <w:t>网络安全等级保护</w:t>
      </w:r>
      <w:r>
        <w:rPr>
          <w:rFonts w:hint="eastAsia" w:ascii="仿宋" w:hAnsi="仿宋" w:eastAsia="仿宋" w:cs="仿宋"/>
          <w:sz w:val="28"/>
          <w:szCs w:val="28"/>
        </w:rPr>
        <w:t>有关管理规范和技术标准的，提出可行性整改方案，提供相应的安全整改建议书。</w:t>
      </w:r>
    </w:p>
    <w:p w14:paraId="0F7F0EB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2、质量要求：</w:t>
      </w:r>
    </w:p>
    <w:p w14:paraId="1865726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A．等级测评及服务原则：符合性原则、标准性原则、规范性原则、可控性原则、整体性原则。</w:t>
      </w:r>
    </w:p>
    <w:p w14:paraId="06E1C78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B．</w:t>
      </w:r>
      <w:r>
        <w:rPr>
          <w:rStyle w:val="17"/>
          <w:rFonts w:hint="eastAsia" w:ascii="仿宋" w:hAnsi="仿宋" w:eastAsia="仿宋"/>
          <w:sz w:val="28"/>
          <w:szCs w:val="28"/>
        </w:rPr>
        <w:t>网络安全等级保护</w:t>
      </w:r>
      <w:r>
        <w:rPr>
          <w:rFonts w:hint="eastAsia" w:ascii="仿宋" w:hAnsi="仿宋" w:eastAsia="仿宋" w:cs="仿宋"/>
          <w:sz w:val="28"/>
          <w:szCs w:val="28"/>
        </w:rPr>
        <w:t>定级及测评服务依据：</w:t>
      </w:r>
    </w:p>
    <w:p w14:paraId="1EB09383">
      <w:pPr>
        <w:spacing w:line="360" w:lineRule="auto"/>
        <w:ind w:firstLine="560" w:firstLineChars="200"/>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中华人民共和国网络安全法</w:t>
      </w:r>
      <w:r>
        <w:rPr>
          <w:rFonts w:ascii="仿宋" w:hAnsi="仿宋" w:eastAsia="仿宋" w:cs="仿宋"/>
          <w:sz w:val="28"/>
          <w:szCs w:val="28"/>
        </w:rPr>
        <w:t>》</w:t>
      </w:r>
    </w:p>
    <w:p w14:paraId="7717B9AA">
      <w:pPr>
        <w:spacing w:line="360" w:lineRule="auto"/>
        <w:ind w:firstLine="562" w:firstLineChars="200"/>
        <w:rPr>
          <w:rStyle w:val="17"/>
          <w:rFonts w:ascii="仿宋" w:hAnsi="仿宋" w:eastAsia="仿宋"/>
          <w:b w:val="0"/>
          <w:sz w:val="28"/>
          <w:szCs w:val="28"/>
        </w:rPr>
      </w:pPr>
      <w:r>
        <w:rPr>
          <w:rStyle w:val="17"/>
          <w:rFonts w:hint="eastAsia" w:ascii="仿宋" w:hAnsi="仿宋" w:eastAsia="仿宋"/>
          <w:sz w:val="28"/>
          <w:szCs w:val="28"/>
        </w:rPr>
        <w:t>《GB/T22239-2019信息安全技术 网络安全等级保护基本要求》，</w:t>
      </w:r>
    </w:p>
    <w:p w14:paraId="643AADFC">
      <w:pPr>
        <w:spacing w:line="360" w:lineRule="auto"/>
        <w:ind w:firstLine="562" w:firstLineChars="200"/>
        <w:rPr>
          <w:rStyle w:val="17"/>
          <w:rFonts w:ascii="仿宋" w:hAnsi="仿宋" w:eastAsia="仿宋"/>
          <w:b w:val="0"/>
          <w:sz w:val="28"/>
          <w:szCs w:val="28"/>
        </w:rPr>
      </w:pPr>
      <w:r>
        <w:rPr>
          <w:rStyle w:val="17"/>
          <w:rFonts w:hint="eastAsia" w:ascii="仿宋" w:hAnsi="仿宋" w:eastAsia="仿宋"/>
          <w:sz w:val="28"/>
          <w:szCs w:val="28"/>
        </w:rPr>
        <w:t>《GB/T28448-2019 信息安全技术 网络安全等级保护测评要求》，</w:t>
      </w:r>
    </w:p>
    <w:p w14:paraId="3A3186DF">
      <w:pPr>
        <w:spacing w:line="360" w:lineRule="auto"/>
        <w:ind w:firstLine="562" w:firstLineChars="200"/>
        <w:rPr>
          <w:rStyle w:val="17"/>
          <w:rFonts w:ascii="仿宋" w:hAnsi="仿宋" w:eastAsia="仿宋"/>
          <w:b w:val="0"/>
          <w:sz w:val="28"/>
          <w:szCs w:val="28"/>
        </w:rPr>
      </w:pPr>
      <w:r>
        <w:rPr>
          <w:rStyle w:val="17"/>
          <w:rFonts w:hint="eastAsia" w:ascii="仿宋" w:hAnsi="仿宋" w:eastAsia="仿宋"/>
          <w:sz w:val="28"/>
          <w:szCs w:val="28"/>
        </w:rPr>
        <w:t>《GB/T 28449-2018 信息安全技术 网络安全等级保护测评过程指南》，</w:t>
      </w:r>
    </w:p>
    <w:p w14:paraId="190FE930">
      <w:pPr>
        <w:spacing w:line="360" w:lineRule="auto"/>
        <w:ind w:firstLine="562" w:firstLineChars="200"/>
        <w:rPr>
          <w:rStyle w:val="17"/>
          <w:rFonts w:ascii="仿宋" w:hAnsi="仿宋" w:eastAsia="仿宋"/>
          <w:b w:val="0"/>
          <w:sz w:val="28"/>
          <w:szCs w:val="28"/>
        </w:rPr>
      </w:pPr>
      <w:r>
        <w:rPr>
          <w:rStyle w:val="17"/>
          <w:rFonts w:hint="eastAsia" w:ascii="仿宋" w:hAnsi="仿宋" w:eastAsia="仿宋"/>
          <w:sz w:val="28"/>
          <w:szCs w:val="28"/>
        </w:rPr>
        <w:t>《GB/T 25058-2019 信息安全技术 网络安全等级保护实施指南》。</w:t>
      </w:r>
    </w:p>
    <w:p w14:paraId="1271978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3、网络安全等级保护测评内容：</w:t>
      </w:r>
    </w:p>
    <w:p w14:paraId="2ACFD025">
      <w:pPr>
        <w:spacing w:before="156" w:beforeLines="50" w:after="156" w:after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A．安全技术测评：包括安全物理环境、安全区域边界、安全通信网络、安全计算环境和安全管理中心五个方面的安全测评；</w:t>
      </w:r>
    </w:p>
    <w:p w14:paraId="0170DFB5">
      <w:pPr>
        <w:spacing w:before="156" w:beforeLines="50" w:after="156" w:after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B．安全管理测评：安全管理机构、安全管理制度、安全管理人员、安全建设管理和安全运维管理五个方面的安全控制测评</w:t>
      </w:r>
    </w:p>
    <w:p w14:paraId="6242C212">
      <w:pPr>
        <w:spacing w:before="156" w:beforeLines="50" w:after="156" w:after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4、提供整改咨询服务，根据所测系统的最终测评报告，对系统现状提出安全整改建议并协助整改工作，以期达到整改目的。</w:t>
      </w:r>
    </w:p>
    <w:p w14:paraId="361C29E5">
      <w:pPr>
        <w:pStyle w:val="3"/>
      </w:pPr>
      <w:r>
        <w:rPr>
          <w:rFonts w:hint="eastAsia"/>
        </w:rPr>
        <w:t>四、测评原则</w:t>
      </w:r>
    </w:p>
    <w:p w14:paraId="7180171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1、客观性和公正性原则：</w:t>
      </w:r>
    </w:p>
    <w:p w14:paraId="5A02086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测评人员应当没有偏见，在最小主观判断情形下，按照评估双方相互认可的评估方案，基于明确定义的测评方式和解释，实施评估活动。</w:t>
      </w:r>
    </w:p>
    <w:p w14:paraId="1B09ECE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2、可重复性和可再现性原则：</w:t>
      </w:r>
    </w:p>
    <w:p w14:paraId="66D13ED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14:paraId="0463B1E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3、连续性原则：</w:t>
      </w:r>
    </w:p>
    <w:p w14:paraId="7FAD3D9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确保在高速变化的信息安全环境中，在有效的服务期间内，保证采购方风险评估结论的准确性和及时性，对于采购方单位新增设的信息资产和服务，或新建立的信息化项目，进行局部系统的重新评估。从经济上，降低了采购方单位的成本，从信息安全性上，保证信息安全测评的动态稳定性。</w:t>
      </w:r>
    </w:p>
    <w:p w14:paraId="3421A78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4、扩展性原则：</w:t>
      </w:r>
    </w:p>
    <w:p w14:paraId="0A2574E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在评估过程结束后，信息安全测评过程要保持扩展性，从扩展的属性上进一步加强测评结束后采购方的安全管理有效性和可用性。</w:t>
      </w:r>
    </w:p>
    <w:p w14:paraId="5A02DA5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5、保密原则：</w:t>
      </w:r>
    </w:p>
    <w:p w14:paraId="3A7E672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在测评过程中，需严格遵循保密原则，双方签订保密协议，对服务过程中涉及到的任何用户信息未经允许不向其他任何第三方泄漏，以及不得利用这些信息损害采购方利益。</w:t>
      </w:r>
    </w:p>
    <w:p w14:paraId="1E4874E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6、互动原则：</w:t>
      </w:r>
    </w:p>
    <w:p w14:paraId="5CB96FB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在整个测评过程中，强调采购方的互动参与，每个阶段都能够及时根据采购方的要求和实际情况对测评的内容、方式做出相关调整，进而更好的进行风险评估工作。</w:t>
      </w:r>
    </w:p>
    <w:p w14:paraId="50FEFF3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7、最小影响原则：</w:t>
      </w:r>
    </w:p>
    <w:p w14:paraId="6190DA7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测评工作应该尽可能小地影响系统和网络的正常运行，不能对业务的正常运行产生明显的影响（包括系统性能明显下降、网络阻塞、服务中断等），如无法避免，则应做出说明。</w:t>
      </w:r>
    </w:p>
    <w:p w14:paraId="0D1A9F2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8、规范性原则：</w:t>
      </w:r>
    </w:p>
    <w:p w14:paraId="5158D91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网络安全等级保护测评服务的实施必须由专业的测评服务人员依照规范的操作流程进行，对操作过程和结果要有相应的记录，并提供完整的服务报告。</w:t>
      </w:r>
    </w:p>
    <w:p w14:paraId="588DF29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9、质量保障原则：</w:t>
      </w:r>
    </w:p>
    <w:p w14:paraId="58A1835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在整个测评过程中，须特别重视项目质量管理。项目的实施将严格按照项目实施方案和流程进行，并由项目协调小组从中监督，控制项目的进度和质量。</w:t>
      </w:r>
    </w:p>
    <w:p w14:paraId="4739A389">
      <w:pPr>
        <w:pStyle w:val="3"/>
      </w:pPr>
      <w:r>
        <w:rPr>
          <w:rFonts w:hint="eastAsia"/>
        </w:rPr>
        <w:t>五、测评人员和时限要求</w:t>
      </w:r>
    </w:p>
    <w:p w14:paraId="0943985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测评人员要求：本次测评至少需要1名高级测评师，1名中级测评师，2名初级测评师。本次等保测评项目不得转包或者分包，所有测评师必须是中标公司自己的正式员工,所有测评师必须持证上岗，响应文件中应提供项目组成员名单、社保主管部门出具的响应单位为其缴纳社保的证明、相关证书复印件等，未经采购方同意，项目组成员不得更改。</w:t>
      </w:r>
    </w:p>
    <w:p w14:paraId="0136EAD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2、测评时间要求：</w:t>
      </w:r>
    </w:p>
    <w:p w14:paraId="32DCE3C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2.1、中标公示后，中标方必须在7个工作日内协助被测单位取得备案证明原件，否则做无效处理。</w:t>
      </w:r>
    </w:p>
    <w:p w14:paraId="5F1BD5D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2.2、按照被测单位要求，合同签订完毕一周内启动测评工作。</w:t>
      </w:r>
    </w:p>
    <w:p w14:paraId="49E7581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3、测评期限要求：签订合同后60天内完成网络安全等级保护测评并出具盖章报告。</w:t>
      </w:r>
    </w:p>
    <w:p w14:paraId="4B2AFDFD">
      <w:pPr>
        <w:pStyle w:val="3"/>
      </w:pPr>
      <w:r>
        <w:rPr>
          <w:rFonts w:hint="eastAsia"/>
        </w:rPr>
        <w:t>六、服务地点</w:t>
      </w:r>
    </w:p>
    <w:p w14:paraId="4B5E9D04">
      <w:pPr>
        <w:spacing w:line="360" w:lineRule="auto"/>
        <w:ind w:firstLine="560" w:firstLineChars="200"/>
        <w:rPr>
          <w:rFonts w:ascii="仿宋" w:hAnsi="仿宋" w:eastAsia="仿宋"/>
          <w:sz w:val="28"/>
          <w:szCs w:val="28"/>
        </w:rPr>
      </w:pPr>
      <w:r>
        <w:rPr>
          <w:rFonts w:hint="eastAsia" w:ascii="仿宋" w:hAnsi="仿宋" w:eastAsia="仿宋" w:cs="宋体"/>
          <w:bCs/>
          <w:kern w:val="0"/>
          <w:sz w:val="28"/>
          <w:szCs w:val="28"/>
        </w:rPr>
        <w:t>采购方</w:t>
      </w:r>
      <w:r>
        <w:rPr>
          <w:rFonts w:hint="eastAsia" w:ascii="仿宋" w:hAnsi="仿宋" w:eastAsia="仿宋"/>
          <w:kern w:val="0"/>
          <w:sz w:val="28"/>
          <w:szCs w:val="28"/>
        </w:rPr>
        <w:t>指定地点。</w:t>
      </w:r>
    </w:p>
    <w:p w14:paraId="07BA6E96">
      <w:pPr>
        <w:pStyle w:val="3"/>
      </w:pPr>
      <w:r>
        <w:rPr>
          <w:rFonts w:hint="eastAsia"/>
        </w:rPr>
        <w:t>七、付款时间和条件</w:t>
      </w:r>
    </w:p>
    <w:p w14:paraId="16311296">
      <w:pPr>
        <w:pStyle w:val="14"/>
        <w:rPr>
          <w:kern w:val="0"/>
        </w:rPr>
      </w:pPr>
      <w:r>
        <w:rPr>
          <w:rFonts w:hint="eastAsia"/>
        </w:rPr>
        <w:t>提交测评报告后,采购人于10个工作日内一次性支付合同金额</w:t>
      </w:r>
      <w:r>
        <w:rPr>
          <w:rFonts w:hint="eastAsia"/>
          <w:kern w:val="0"/>
        </w:rPr>
        <w:t>。</w:t>
      </w:r>
      <w:r>
        <w:rPr>
          <w:rFonts w:hint="eastAsia"/>
        </w:rPr>
        <w:t>款项由采购人按相关财务支付规定办理支付手续。不得故意拖延支付时间。</w:t>
      </w:r>
    </w:p>
    <w:bookmarkEnd w:id="5"/>
    <w:p w14:paraId="73A2D0C4">
      <w:pPr>
        <w:widowControl/>
        <w:ind w:firstLine="640"/>
        <w:jc w:val="left"/>
        <w:rPr>
          <w:rFonts w:ascii="仿宋" w:hAnsi="仿宋" w:eastAsia="仿宋" w:cs="仿宋"/>
          <w:b/>
          <w:bCs/>
          <w:kern w:val="44"/>
          <w:sz w:val="32"/>
          <w:szCs w:val="32"/>
        </w:rPr>
      </w:pPr>
      <w:bookmarkStart w:id="6" w:name="_Toc99106005"/>
      <w:bookmarkStart w:id="7" w:name="_Hlk99542165"/>
      <w:r>
        <w:rPr>
          <w:rFonts w:ascii="仿宋" w:hAnsi="仿宋" w:eastAsia="仿宋" w:cs="仿宋"/>
          <w:sz w:val="32"/>
          <w:szCs w:val="32"/>
        </w:rPr>
        <w:br w:type="page"/>
      </w:r>
    </w:p>
    <w:p w14:paraId="482FEBF5">
      <w:pPr>
        <w:pStyle w:val="2"/>
      </w:pPr>
      <w:bookmarkStart w:id="8" w:name="_Toc178167495"/>
      <w:r>
        <w:rPr>
          <w:rFonts w:hint="eastAsia"/>
        </w:rPr>
        <w:t>第四章 开标和评标</w:t>
      </w:r>
      <w:bookmarkEnd w:id="6"/>
      <w:bookmarkEnd w:id="8"/>
    </w:p>
    <w:p w14:paraId="717C0079">
      <w:pPr>
        <w:pStyle w:val="3"/>
      </w:pPr>
      <w:r>
        <w:rPr>
          <w:rFonts w:hint="eastAsia"/>
        </w:rPr>
        <w:t>一、采购人组织开标</w:t>
      </w:r>
    </w:p>
    <w:p w14:paraId="3D2B266E">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供应商的法定代表人或授权人须持有效身份证参加开标会。</w:t>
      </w:r>
    </w:p>
    <w:p w14:paraId="3B6E2932">
      <w:pPr>
        <w:pStyle w:val="3"/>
      </w:pPr>
      <w:r>
        <w:rPr>
          <w:rFonts w:hint="eastAsia"/>
        </w:rPr>
        <w:t>二、评委会的组成</w:t>
      </w:r>
    </w:p>
    <w:p w14:paraId="0C2F37D6">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评委会由采购人代表和委托的专家共3人以上单数组成，对投标文件进行审查、质疑、评估、比较。评委会按照公平、公正、择优的原则进行独立评标。</w:t>
      </w:r>
    </w:p>
    <w:p w14:paraId="0A7DC9F6">
      <w:pPr>
        <w:snapToGrid w:val="0"/>
        <w:spacing w:line="360" w:lineRule="auto"/>
        <w:ind w:firstLine="562" w:firstLineChars="200"/>
        <w:jc w:val="left"/>
        <w:rPr>
          <w:rFonts w:ascii="仿宋" w:hAnsi="仿宋" w:eastAsia="仿宋" w:cs="仿宋"/>
          <w:b/>
          <w:sz w:val="28"/>
          <w:szCs w:val="28"/>
        </w:rPr>
      </w:pPr>
      <w:r>
        <w:rPr>
          <w:rFonts w:hint="eastAsia" w:ascii="仿宋" w:hAnsi="仿宋" w:eastAsia="仿宋" w:cs="仿宋"/>
          <w:b/>
          <w:sz w:val="28"/>
          <w:szCs w:val="28"/>
        </w:rPr>
        <w:t>（一）评审内容</w:t>
      </w:r>
    </w:p>
    <w:p w14:paraId="16B9A535">
      <w:pPr>
        <w:snapToGrid w:val="0"/>
        <w:spacing w:line="360" w:lineRule="auto"/>
        <w:ind w:firstLine="548" w:firstLineChars="196"/>
        <w:jc w:val="left"/>
        <w:rPr>
          <w:rFonts w:ascii="仿宋" w:hAnsi="仿宋" w:eastAsia="仿宋" w:cs="仿宋"/>
          <w:sz w:val="28"/>
          <w:szCs w:val="28"/>
        </w:rPr>
      </w:pPr>
      <w:r>
        <w:rPr>
          <w:rFonts w:hint="eastAsia" w:ascii="仿宋" w:hAnsi="仿宋" w:eastAsia="仿宋" w:cs="仿宋"/>
          <w:sz w:val="28"/>
          <w:szCs w:val="28"/>
        </w:rPr>
        <w:t>1、供应商投标资格；</w:t>
      </w:r>
    </w:p>
    <w:p w14:paraId="6B0396A0">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2、要求的保证金是否已提供；</w:t>
      </w:r>
    </w:p>
    <w:p w14:paraId="03B6770F">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3、投标文件是否完整；</w:t>
      </w:r>
    </w:p>
    <w:p w14:paraId="0A02228A">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4、投标文件是否恰当地签署；</w:t>
      </w:r>
    </w:p>
    <w:p w14:paraId="0EF3C26E">
      <w:pPr>
        <w:snapToGrid w:val="0"/>
        <w:spacing w:line="360" w:lineRule="auto"/>
        <w:ind w:firstLine="560" w:firstLineChars="200"/>
        <w:jc w:val="left"/>
        <w:rPr>
          <w:rFonts w:ascii="仿宋" w:hAnsi="仿宋" w:eastAsia="仿宋" w:cs="仿宋"/>
          <w:b/>
          <w:sz w:val="28"/>
          <w:szCs w:val="28"/>
        </w:rPr>
      </w:pPr>
      <w:r>
        <w:rPr>
          <w:rFonts w:hint="eastAsia" w:ascii="仿宋" w:hAnsi="仿宋" w:eastAsia="仿宋" w:cs="仿宋"/>
          <w:sz w:val="28"/>
          <w:szCs w:val="28"/>
        </w:rPr>
        <w:t>5、是否作出实质性响应（</w:t>
      </w:r>
      <w:r>
        <w:rPr>
          <w:rFonts w:hint="eastAsia" w:ascii="仿宋" w:hAnsi="仿宋" w:eastAsia="仿宋" w:cs="仿宋"/>
          <w:b/>
          <w:sz w:val="28"/>
          <w:szCs w:val="28"/>
        </w:rPr>
        <w:t>是否有实质性响应，只根据投标文件本身，而不寻求外部证据）；</w:t>
      </w:r>
    </w:p>
    <w:p w14:paraId="3876B593">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6、是否有计算错误。</w:t>
      </w:r>
    </w:p>
    <w:p w14:paraId="3D20AA69">
      <w:pPr>
        <w:snapToGrid w:val="0"/>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（二）相应的规定</w:t>
      </w:r>
    </w:p>
    <w:p w14:paraId="2936481A">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bCs/>
          <w:sz w:val="28"/>
          <w:szCs w:val="28"/>
        </w:rPr>
        <w:t>1、</w:t>
      </w:r>
      <w:r>
        <w:rPr>
          <w:rFonts w:hint="eastAsia" w:ascii="仿宋" w:hAnsi="仿宋" w:eastAsia="仿宋" w:cs="仿宋"/>
          <w:sz w:val="28"/>
          <w:szCs w:val="28"/>
        </w:rPr>
        <w:t>如果单价汇总金额与总价金额有出入，以单价金额计算结果为准；</w:t>
      </w:r>
    </w:p>
    <w:p w14:paraId="2278CBA3">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2、单价金额小数点有明显错位的，应以总价为准；</w:t>
      </w:r>
    </w:p>
    <w:p w14:paraId="0F28FCEA">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3、正本与副本有矛盾的，以正本为准；</w:t>
      </w:r>
    </w:p>
    <w:p w14:paraId="327B6889">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4、若文件大写表示的数据与数字表示的有差别，以大写表示的数据为准。</w:t>
      </w:r>
    </w:p>
    <w:p w14:paraId="43662D35">
      <w:pPr>
        <w:pStyle w:val="3"/>
      </w:pPr>
      <w:r>
        <w:rPr>
          <w:rFonts w:hint="eastAsia"/>
        </w:rPr>
        <w:t>三、陈述、演示、答疑、澄清</w:t>
      </w:r>
    </w:p>
    <w:p w14:paraId="41E11123">
      <w:pPr>
        <w:snapToGrid w:val="0"/>
        <w:spacing w:line="360" w:lineRule="auto"/>
        <w:ind w:firstLine="560" w:firstLineChars="200"/>
        <w:jc w:val="left"/>
        <w:rPr>
          <w:rFonts w:ascii="仿宋" w:hAnsi="仿宋" w:eastAsia="仿宋" w:cs="仿宋"/>
          <w:b/>
          <w:sz w:val="28"/>
          <w:szCs w:val="28"/>
        </w:rPr>
      </w:pPr>
      <w:r>
        <w:rPr>
          <w:rFonts w:hint="eastAsia" w:ascii="仿宋" w:hAnsi="仿宋" w:eastAsia="仿宋" w:cs="仿宋"/>
          <w:sz w:val="28"/>
          <w:szCs w:val="28"/>
          <w:shd w:val="clear" w:color="auto" w:fill="FFFFFF"/>
        </w:rPr>
        <w:t>如评委会认为有必要，供应商按评委会的要求作陈述、演示、</w:t>
      </w:r>
      <w:r>
        <w:rPr>
          <w:rFonts w:hint="eastAsia" w:ascii="仿宋" w:hAnsi="仿宋" w:eastAsia="仿宋" w:cs="仿宋"/>
          <w:sz w:val="28"/>
          <w:szCs w:val="28"/>
        </w:rPr>
        <w:t>答疑及澄清其投标内容。时间由</w:t>
      </w:r>
      <w:r>
        <w:rPr>
          <w:rFonts w:hint="eastAsia" w:ascii="仿宋" w:hAnsi="仿宋" w:eastAsia="仿宋" w:cs="仿宋"/>
          <w:sz w:val="28"/>
          <w:szCs w:val="28"/>
          <w:shd w:val="clear" w:color="auto" w:fill="FFFFFF"/>
        </w:rPr>
        <w:t>评委会</w:t>
      </w:r>
      <w:r>
        <w:rPr>
          <w:rFonts w:hint="eastAsia" w:ascii="仿宋" w:hAnsi="仿宋" w:eastAsia="仿宋" w:cs="仿宋"/>
          <w:sz w:val="28"/>
          <w:szCs w:val="28"/>
        </w:rPr>
        <w:t>掌握。</w:t>
      </w:r>
    </w:p>
    <w:p w14:paraId="725B3F1B">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重要澄清答复应是书面的，但不得对投标内容进行实质性修改。</w:t>
      </w:r>
    </w:p>
    <w:p w14:paraId="3190F562">
      <w:pPr>
        <w:pStyle w:val="3"/>
      </w:pPr>
      <w:r>
        <w:rPr>
          <w:rFonts w:hint="eastAsia"/>
        </w:rPr>
        <w:t>四、出现下列情形之一的，作无效投标处理</w:t>
      </w:r>
    </w:p>
    <w:p w14:paraId="21226CC5">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1、未按照招标文件规定要求装订、标记、密封、签署、盖章的；</w:t>
      </w:r>
    </w:p>
    <w:p w14:paraId="40B395F0">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2、不具备招标文件中规定的技术规格参数要求的；</w:t>
      </w:r>
    </w:p>
    <w:p w14:paraId="448BDFE5">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3、不符合法律、法规和招标文件中规定的其他实质性要求的。</w:t>
      </w:r>
    </w:p>
    <w:p w14:paraId="45192783">
      <w:pPr>
        <w:pStyle w:val="3"/>
      </w:pPr>
      <w:r>
        <w:rPr>
          <w:rFonts w:hint="eastAsia"/>
        </w:rPr>
        <w:t>五、出现下列情形之一的，作废标处理</w:t>
      </w:r>
    </w:p>
    <w:p w14:paraId="710DA5D4">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1、出现影响采购公正的违法违规行为的；</w:t>
      </w:r>
    </w:p>
    <w:p w14:paraId="339F9CAB">
      <w:pPr>
        <w:snapToGrid w:val="0"/>
        <w:spacing w:line="360" w:lineRule="auto"/>
        <w:ind w:firstLine="560" w:firstLineChars="200"/>
        <w:jc w:val="left"/>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、供应商的报价均超过了采购预算，采购人不能支付的；</w:t>
      </w:r>
    </w:p>
    <w:p w14:paraId="0D4A2045">
      <w:pPr>
        <w:snapToGrid w:val="0"/>
        <w:spacing w:line="360" w:lineRule="auto"/>
        <w:ind w:firstLine="560" w:firstLineChars="200"/>
        <w:jc w:val="left"/>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、因重大变故，采购任务取消的。</w:t>
      </w:r>
    </w:p>
    <w:p w14:paraId="6FC4A9DD">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上述均保留</w:t>
      </w:r>
      <w:r>
        <w:rPr>
          <w:rFonts w:hint="eastAsia" w:ascii="仿宋" w:hAnsi="仿宋" w:eastAsia="仿宋" w:cs="仿宋"/>
          <w:sz w:val="28"/>
          <w:szCs w:val="28"/>
          <w:shd w:val="clear" w:color="auto" w:fill="FFFFFF"/>
        </w:rPr>
        <w:t>评委会</w:t>
      </w:r>
      <w:r>
        <w:rPr>
          <w:rFonts w:hint="eastAsia" w:ascii="仿宋" w:hAnsi="仿宋" w:eastAsia="仿宋" w:cs="仿宋"/>
          <w:sz w:val="28"/>
          <w:szCs w:val="28"/>
        </w:rPr>
        <w:t>认定可以确定为无效投标或废标的其他情况。</w:t>
      </w:r>
    </w:p>
    <w:p w14:paraId="66B58954">
      <w:pPr>
        <w:pStyle w:val="3"/>
      </w:pPr>
      <w:r>
        <w:rPr>
          <w:rFonts w:hint="eastAsia"/>
        </w:rPr>
        <w:t>六、变更为其他方式采购的情形</w:t>
      </w:r>
    </w:p>
    <w:p w14:paraId="5D625A11">
      <w:pPr>
        <w:autoSpaceDE w:val="0"/>
        <w:autoSpaceDN w:val="0"/>
        <w:snapToGrid w:val="0"/>
        <w:spacing w:line="360" w:lineRule="auto"/>
        <w:ind w:firstLine="560" w:firstLineChars="200"/>
        <w:jc w:val="left"/>
        <w:rPr>
          <w:rFonts w:ascii="仿宋" w:hAnsi="仿宋" w:eastAsia="仿宋" w:cs="仿宋"/>
          <w:sz w:val="28"/>
          <w:szCs w:val="28"/>
          <w:lang w:val="zh-CN"/>
        </w:rPr>
      </w:pPr>
      <w:r>
        <w:rPr>
          <w:rFonts w:hint="eastAsia" w:ascii="仿宋" w:hAnsi="仿宋" w:eastAsia="仿宋" w:cs="仿宋"/>
          <w:sz w:val="28"/>
          <w:szCs w:val="28"/>
        </w:rPr>
        <w:t>投标截止时间出现如下情形的，参加投标的供应商不足3家的，及评标中出现符合专业条件的供应商或对招标文件作实质响应的供应商不足3家的，采购人有权视情采取其他方式采购。</w:t>
      </w:r>
      <w:r>
        <w:rPr>
          <w:rFonts w:hint="eastAsia" w:ascii="仿宋" w:hAnsi="仿宋" w:eastAsia="仿宋" w:cs="仿宋"/>
          <w:sz w:val="28"/>
          <w:szCs w:val="28"/>
          <w:lang w:val="zh-CN"/>
        </w:rPr>
        <w:t>本次招标文件中对供应商资格、技术等要求，将作为</w:t>
      </w:r>
      <w:r>
        <w:rPr>
          <w:rFonts w:hint="eastAsia" w:ascii="仿宋" w:hAnsi="仿宋" w:eastAsia="仿宋" w:cs="仿宋"/>
          <w:sz w:val="28"/>
          <w:szCs w:val="28"/>
        </w:rPr>
        <w:t>其他</w:t>
      </w:r>
      <w:r>
        <w:rPr>
          <w:rFonts w:hint="eastAsia" w:ascii="仿宋" w:hAnsi="仿宋" w:eastAsia="仿宋" w:cs="仿宋"/>
          <w:sz w:val="28"/>
          <w:szCs w:val="28"/>
          <w:lang w:val="zh-CN"/>
        </w:rPr>
        <w:t>方式采购的基本要求和依据。原已经参加投标并符合要求的供应商，根据自愿原则，参加</w:t>
      </w:r>
      <w:r>
        <w:rPr>
          <w:rFonts w:hint="eastAsia" w:ascii="仿宋" w:hAnsi="仿宋" w:eastAsia="仿宋" w:cs="仿宋"/>
          <w:sz w:val="28"/>
          <w:szCs w:val="28"/>
        </w:rPr>
        <w:t>其他</w:t>
      </w:r>
      <w:r>
        <w:rPr>
          <w:rFonts w:hint="eastAsia" w:ascii="仿宋" w:hAnsi="仿宋" w:eastAsia="仿宋" w:cs="仿宋"/>
          <w:sz w:val="28"/>
          <w:szCs w:val="28"/>
          <w:lang w:val="zh-CN"/>
        </w:rPr>
        <w:t>方式采购。</w:t>
      </w:r>
    </w:p>
    <w:p w14:paraId="2126365D">
      <w:pPr>
        <w:pStyle w:val="3"/>
      </w:pPr>
      <w:r>
        <w:t>七、评分标准</w:t>
      </w:r>
    </w:p>
    <w:p w14:paraId="52004EB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用综合评分法，按照供应商资质、技术能力、服务能力和报价均能满足采购招标需求要求且综合评分最高的为第一中标候选人，如得分有相同的，则技术商务分高的单位排名在前。如技术商务分得分也相同，则通过抽签方式确定排序。若中标单位放弃资格，由第二中标候选人单位中标，以此类推。</w:t>
      </w:r>
    </w:p>
    <w:p w14:paraId="70D9E1B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技术部分评审结束后，再开启最后商务报价计算分值。总分值为100分，加分和减分因素除外。</w:t>
      </w:r>
    </w:p>
    <w:p w14:paraId="71B5B5CC">
      <w:pPr>
        <w:autoSpaceDE w:val="0"/>
        <w:autoSpaceDN w:val="0"/>
        <w:adjustRightInd w:val="0"/>
        <w:snapToGrid w:val="0"/>
        <w:spacing w:line="360" w:lineRule="auto"/>
        <w:ind w:firstLine="560"/>
        <w:rPr>
          <w:rFonts w:ascii="仿宋" w:hAnsi="仿宋" w:eastAsia="仿宋"/>
          <w:sz w:val="28"/>
          <w:szCs w:val="28"/>
          <w:lang w:val="zh-CN"/>
        </w:rPr>
      </w:pPr>
      <w:r>
        <w:rPr>
          <w:rFonts w:ascii="仿宋" w:hAnsi="仿宋" w:eastAsia="仿宋"/>
          <w:sz w:val="28"/>
          <w:szCs w:val="28"/>
        </w:rPr>
        <w:t>1</w:t>
      </w:r>
      <w:r>
        <w:rPr>
          <w:rFonts w:hint="eastAsia" w:ascii="仿宋" w:hAnsi="仿宋" w:eastAsia="仿宋"/>
          <w:sz w:val="28"/>
          <w:szCs w:val="28"/>
        </w:rPr>
        <w:t>、</w:t>
      </w:r>
      <w:r>
        <w:rPr>
          <w:rFonts w:hint="eastAsia" w:ascii="仿宋" w:hAnsi="仿宋" w:eastAsia="仿宋"/>
          <w:sz w:val="28"/>
          <w:szCs w:val="28"/>
          <w:lang w:val="zh-CN"/>
        </w:rPr>
        <w:t>技术分</w:t>
      </w:r>
      <w:r>
        <w:rPr>
          <w:rFonts w:hint="eastAsia" w:ascii="仿宋" w:hAnsi="仿宋" w:eastAsia="仿宋"/>
          <w:sz w:val="28"/>
          <w:szCs w:val="28"/>
        </w:rPr>
        <w:t>：70</w:t>
      </w:r>
      <w:r>
        <w:rPr>
          <w:rFonts w:hint="eastAsia" w:ascii="仿宋" w:hAnsi="仿宋" w:eastAsia="仿宋"/>
          <w:sz w:val="28"/>
          <w:szCs w:val="28"/>
          <w:lang w:val="zh-CN"/>
        </w:rPr>
        <w:t>分</w:t>
      </w:r>
      <w:bookmarkEnd w:id="7"/>
      <w:bookmarkStart w:id="9" w:name="_Hlk99542376"/>
    </w:p>
    <w:tbl>
      <w:tblPr>
        <w:tblStyle w:val="9"/>
        <w:tblW w:w="50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330"/>
        <w:gridCol w:w="7144"/>
      </w:tblGrid>
      <w:tr w14:paraId="68E5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6" w:type="pct"/>
            <w:noWrap/>
            <w:vAlign w:val="center"/>
          </w:tcPr>
          <w:p w14:paraId="064149CC">
            <w:pPr>
              <w:jc w:val="center"/>
              <w:rPr>
                <w:rFonts w:ascii="仿宋" w:hAnsi="仿宋" w:eastAsia="仿宋" w:cs="仿宋_GB2312"/>
                <w:b/>
                <w:bCs/>
                <w:color w:val="000000" w:themeColor="text1"/>
                <w:sz w:val="24"/>
                <w:szCs w:val="24"/>
                <w14:textFill>
                  <w14:solidFill>
                    <w14:schemeClr w14:val="tx1"/>
                  </w14:solidFill>
                </w14:textFill>
              </w:rPr>
            </w:pPr>
            <w:r>
              <w:rPr>
                <w:rFonts w:hint="eastAsia" w:ascii="仿宋" w:hAnsi="仿宋" w:eastAsia="仿宋" w:cs="仿宋_GB2312"/>
                <w:b/>
                <w:bCs/>
                <w:color w:val="000000" w:themeColor="text1"/>
                <w:sz w:val="24"/>
                <w:szCs w:val="24"/>
                <w14:textFill>
                  <w14:solidFill>
                    <w14:schemeClr w14:val="tx1"/>
                  </w14:solidFill>
                </w14:textFill>
              </w:rPr>
              <w:t>序号</w:t>
            </w:r>
          </w:p>
        </w:tc>
        <w:tc>
          <w:tcPr>
            <w:tcW w:w="713" w:type="pct"/>
            <w:noWrap/>
            <w:vAlign w:val="center"/>
          </w:tcPr>
          <w:p w14:paraId="11B8C618">
            <w:pPr>
              <w:jc w:val="center"/>
              <w:rPr>
                <w:rFonts w:ascii="仿宋" w:hAnsi="仿宋" w:eastAsia="仿宋" w:cs="仿宋_GB2312"/>
                <w:b/>
                <w:bCs/>
                <w:color w:val="000000" w:themeColor="text1"/>
                <w:sz w:val="24"/>
                <w:szCs w:val="24"/>
                <w14:textFill>
                  <w14:solidFill>
                    <w14:schemeClr w14:val="tx1"/>
                  </w14:solidFill>
                </w14:textFill>
              </w:rPr>
            </w:pPr>
            <w:r>
              <w:rPr>
                <w:rFonts w:hint="eastAsia" w:ascii="仿宋" w:hAnsi="仿宋" w:eastAsia="仿宋" w:cs="仿宋_GB2312"/>
                <w:b/>
                <w:bCs/>
                <w:color w:val="000000" w:themeColor="text1"/>
                <w:sz w:val="24"/>
                <w:szCs w:val="24"/>
                <w14:textFill>
                  <w14:solidFill>
                    <w14:schemeClr w14:val="tx1"/>
                  </w14:solidFill>
                </w14:textFill>
              </w:rPr>
              <w:t>评分因素</w:t>
            </w:r>
          </w:p>
        </w:tc>
        <w:tc>
          <w:tcPr>
            <w:tcW w:w="3831" w:type="pct"/>
            <w:noWrap/>
            <w:vAlign w:val="center"/>
          </w:tcPr>
          <w:p w14:paraId="789435EC">
            <w:pPr>
              <w:jc w:val="center"/>
              <w:rPr>
                <w:rFonts w:ascii="仿宋" w:hAnsi="仿宋" w:eastAsia="仿宋" w:cs="仿宋_GB2312"/>
                <w:b/>
                <w:bCs/>
                <w:color w:val="000000" w:themeColor="text1"/>
                <w:sz w:val="24"/>
                <w:szCs w:val="24"/>
                <w14:textFill>
                  <w14:solidFill>
                    <w14:schemeClr w14:val="tx1"/>
                  </w14:solidFill>
                </w14:textFill>
              </w:rPr>
            </w:pPr>
            <w:r>
              <w:rPr>
                <w:rFonts w:hint="eastAsia" w:ascii="仿宋" w:hAnsi="仿宋" w:eastAsia="仿宋" w:cs="仿宋_GB2312"/>
                <w:b/>
                <w:bCs/>
                <w:color w:val="000000" w:themeColor="text1"/>
                <w:sz w:val="24"/>
                <w:szCs w:val="24"/>
                <w14:textFill>
                  <w14:solidFill>
                    <w14:schemeClr w14:val="tx1"/>
                  </w14:solidFill>
                </w14:textFill>
              </w:rPr>
              <w:t>评分标准</w:t>
            </w:r>
          </w:p>
        </w:tc>
      </w:tr>
      <w:tr w14:paraId="31970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6" w:type="pct"/>
            <w:noWrap/>
            <w:vAlign w:val="center"/>
          </w:tcPr>
          <w:p w14:paraId="48CD9470">
            <w:pPr>
              <w:pStyle w:val="14"/>
              <w:spacing w:line="240" w:lineRule="auto"/>
              <w:ind w:firstLine="0" w:firstLineChars="0"/>
              <w:jc w:val="center"/>
              <w:rPr>
                <w:rFonts w:cs="仿宋_GB2312"/>
                <w:bCs/>
                <w:color w:val="000000" w:themeColor="text1"/>
                <w:sz w:val="24"/>
                <w14:textFill>
                  <w14:solidFill>
                    <w14:schemeClr w14:val="tx1"/>
                  </w14:solidFill>
                </w14:textFill>
              </w:rPr>
            </w:pPr>
            <w:r>
              <w:rPr>
                <w:rFonts w:hint="eastAsia" w:cs="仿宋_GB2312"/>
                <w:bCs/>
                <w:color w:val="000000" w:themeColor="text1"/>
                <w:sz w:val="24"/>
                <w14:textFill>
                  <w14:solidFill>
                    <w14:schemeClr w14:val="tx1"/>
                  </w14:solidFill>
                </w14:textFill>
              </w:rPr>
              <w:t>1</w:t>
            </w:r>
          </w:p>
        </w:tc>
        <w:tc>
          <w:tcPr>
            <w:tcW w:w="713" w:type="pct"/>
            <w:noWrap/>
            <w:vAlign w:val="center"/>
          </w:tcPr>
          <w:p w14:paraId="11C472E5">
            <w:pPr>
              <w:pStyle w:val="14"/>
              <w:spacing w:line="240" w:lineRule="auto"/>
              <w:ind w:firstLine="0" w:firstLineChars="0"/>
              <w:jc w:val="center"/>
              <w:rPr>
                <w:rFonts w:cs="仿宋_GB2312"/>
                <w:bCs/>
                <w:color w:val="000000" w:themeColor="text1"/>
                <w:sz w:val="24"/>
                <w14:textFill>
                  <w14:solidFill>
                    <w14:schemeClr w14:val="tx1"/>
                  </w14:solidFill>
                </w14:textFill>
              </w:rPr>
            </w:pPr>
            <w:r>
              <w:rPr>
                <w:rFonts w:hint="eastAsia" w:cs="仿宋_GB2312"/>
                <w:bCs/>
                <w:color w:val="000000" w:themeColor="text1"/>
                <w:sz w:val="24"/>
                <w14:textFill>
                  <w14:solidFill>
                    <w14:schemeClr w14:val="tx1"/>
                  </w14:solidFill>
                </w14:textFill>
              </w:rPr>
              <w:t>企业资质</w:t>
            </w:r>
          </w:p>
          <w:p w14:paraId="38786560">
            <w:pPr>
              <w:pStyle w:val="14"/>
              <w:spacing w:line="240" w:lineRule="auto"/>
              <w:ind w:firstLine="0" w:firstLineChars="0"/>
              <w:jc w:val="center"/>
              <w:rPr>
                <w:rFonts w:cs="仿宋_GB2312"/>
                <w:bCs/>
                <w:color w:val="000000" w:themeColor="text1"/>
                <w:sz w:val="24"/>
                <w14:textFill>
                  <w14:solidFill>
                    <w14:schemeClr w14:val="tx1"/>
                  </w14:solidFill>
                </w14:textFill>
              </w:rPr>
            </w:pPr>
            <w:r>
              <w:rPr>
                <w:rFonts w:hint="eastAsia" w:cs="仿宋_GB2312"/>
                <w:bCs/>
                <w:color w:val="000000" w:themeColor="text1"/>
                <w:sz w:val="24"/>
                <w14:textFill>
                  <w14:solidFill>
                    <w14:schemeClr w14:val="tx1"/>
                  </w14:solidFill>
                </w14:textFill>
              </w:rPr>
              <w:t>（8分）</w:t>
            </w:r>
          </w:p>
        </w:tc>
        <w:tc>
          <w:tcPr>
            <w:tcW w:w="3831" w:type="pct"/>
            <w:noWrap/>
            <w:vAlign w:val="center"/>
          </w:tcPr>
          <w:p w14:paraId="7DD5F7D3">
            <w:pPr>
              <w:rPr>
                <w:rFonts w:ascii="仿宋" w:hAnsi="仿宋" w:eastAsia="仿宋" w:cs="仿宋_GB2312"/>
                <w:bCs/>
                <w:color w:val="000000" w:themeColor="text1"/>
                <w:sz w:val="24"/>
                <w:szCs w:val="24"/>
                <w14:textFill>
                  <w14:solidFill>
                    <w14:schemeClr w14:val="tx1"/>
                  </w14:solidFill>
                </w14:textFill>
              </w:rPr>
            </w:pPr>
            <w:r>
              <w:rPr>
                <w:rFonts w:hint="eastAsia" w:ascii="仿宋" w:hAnsi="仿宋" w:eastAsia="仿宋" w:cs="仿宋_GB2312"/>
                <w:bCs/>
                <w:color w:val="000000" w:themeColor="text1"/>
                <w:sz w:val="24"/>
                <w:szCs w:val="24"/>
                <w14:textFill>
                  <w14:solidFill>
                    <w14:schemeClr w14:val="tx1"/>
                  </w14:solidFill>
                </w14:textFill>
              </w:rPr>
              <w:t>1、具有ISO27001信息安全管理体系认证证书的得2分（认证范围必须含：等级保护测评）。</w:t>
            </w:r>
          </w:p>
          <w:p w14:paraId="149165B2">
            <w:pPr>
              <w:rPr>
                <w:rFonts w:ascii="仿宋" w:hAnsi="仿宋" w:eastAsia="仿宋" w:cs="仿宋_GB2312"/>
                <w:bCs/>
                <w:color w:val="000000" w:themeColor="text1"/>
                <w:sz w:val="24"/>
                <w:szCs w:val="24"/>
                <w14:textFill>
                  <w14:solidFill>
                    <w14:schemeClr w14:val="tx1"/>
                  </w14:solidFill>
                </w14:textFill>
              </w:rPr>
            </w:pPr>
            <w:r>
              <w:rPr>
                <w:rFonts w:hint="eastAsia" w:ascii="仿宋" w:hAnsi="仿宋" w:eastAsia="仿宋" w:cs="仿宋_GB2312"/>
                <w:bCs/>
                <w:color w:val="000000" w:themeColor="text1"/>
                <w:sz w:val="24"/>
                <w:szCs w:val="24"/>
                <w14:textFill>
                  <w14:solidFill>
                    <w14:schemeClr w14:val="tx1"/>
                  </w14:solidFill>
                </w14:textFill>
              </w:rPr>
              <w:t>2、具有I</w:t>
            </w:r>
            <w:r>
              <w:rPr>
                <w:rFonts w:ascii="仿宋" w:hAnsi="仿宋" w:eastAsia="仿宋" w:cs="仿宋_GB2312"/>
                <w:bCs/>
                <w:color w:val="000000" w:themeColor="text1"/>
                <w:sz w:val="24"/>
                <w:szCs w:val="24"/>
                <w14:textFill>
                  <w14:solidFill>
                    <w14:schemeClr w14:val="tx1"/>
                  </w14:solidFill>
                </w14:textFill>
              </w:rPr>
              <w:t>SO</w:t>
            </w:r>
            <w:r>
              <w:rPr>
                <w:rFonts w:hint="eastAsia" w:ascii="仿宋" w:hAnsi="仿宋" w:eastAsia="仿宋" w:cs="仿宋_GB2312"/>
                <w:bCs/>
                <w:color w:val="000000" w:themeColor="text1"/>
                <w:sz w:val="24"/>
                <w:szCs w:val="24"/>
                <w14:textFill>
                  <w14:solidFill>
                    <w14:schemeClr w14:val="tx1"/>
                  </w14:solidFill>
                </w14:textFill>
              </w:rPr>
              <w:t>/IEC20000-1信息技术服务管理体系认证证书的得2分（认证范围必须含：等级保护测评）。</w:t>
            </w:r>
          </w:p>
          <w:p w14:paraId="28F723E0">
            <w:pPr>
              <w:rPr>
                <w:rFonts w:ascii="仿宋" w:hAnsi="仿宋" w:eastAsia="仿宋" w:cs="仿宋_GB2312"/>
                <w:bCs/>
                <w:color w:val="000000" w:themeColor="text1"/>
                <w:sz w:val="24"/>
                <w:szCs w:val="24"/>
                <w14:textFill>
                  <w14:solidFill>
                    <w14:schemeClr w14:val="tx1"/>
                  </w14:solidFill>
                </w14:textFill>
              </w:rPr>
            </w:pPr>
            <w:r>
              <w:rPr>
                <w:rFonts w:hint="eastAsia" w:ascii="仿宋" w:hAnsi="仿宋" w:eastAsia="仿宋" w:cs="仿宋_GB2312"/>
                <w:bCs/>
                <w:color w:val="000000" w:themeColor="text1"/>
                <w:sz w:val="24"/>
                <w14:textFill>
                  <w14:solidFill>
                    <w14:schemeClr w14:val="tx1"/>
                  </w14:solidFill>
                </w14:textFill>
              </w:rPr>
              <w:t>3、</w:t>
            </w:r>
            <w:r>
              <w:rPr>
                <w:rFonts w:hint="eastAsia" w:ascii="仿宋" w:hAnsi="仿宋" w:eastAsia="仿宋" w:cs="仿宋_GB2312"/>
                <w:bCs/>
                <w:color w:val="000000" w:themeColor="text1"/>
                <w:sz w:val="24"/>
                <w:szCs w:val="24"/>
                <w14:textFill>
                  <w14:solidFill>
                    <w14:schemeClr w14:val="tx1"/>
                  </w14:solidFill>
                </w14:textFill>
              </w:rPr>
              <w:t>具有中国网络安全审查技术与认证中心（CCRC）颁发的信息安全风险评估服务资质的得2分，没有不得分。</w:t>
            </w:r>
          </w:p>
          <w:p w14:paraId="2C28036C">
            <w:pPr>
              <w:rPr>
                <w:rFonts w:ascii="仿宋" w:hAnsi="仿宋" w:eastAsia="仿宋" w:cs="仿宋_GB2312"/>
                <w:bCs/>
                <w:color w:val="000000" w:themeColor="text1"/>
                <w:sz w:val="24"/>
                <w:szCs w:val="24"/>
                <w14:textFill>
                  <w14:solidFill>
                    <w14:schemeClr w14:val="tx1"/>
                  </w14:solidFill>
                </w14:textFill>
              </w:rPr>
            </w:pPr>
            <w:r>
              <w:rPr>
                <w:rFonts w:hint="eastAsia" w:ascii="仿宋" w:hAnsi="仿宋" w:eastAsia="仿宋" w:cs="仿宋_GB2312"/>
                <w:bCs/>
                <w:color w:val="000000" w:themeColor="text1"/>
                <w:sz w:val="24"/>
                <w:szCs w:val="24"/>
                <w14:textFill>
                  <w14:solidFill>
                    <w14:schemeClr w14:val="tx1"/>
                  </w14:solidFill>
                </w14:textFill>
              </w:rPr>
              <w:t>4、具有CMMI证书3级及以上（C</w:t>
            </w:r>
            <w:r>
              <w:rPr>
                <w:rFonts w:ascii="仿宋" w:hAnsi="仿宋" w:eastAsia="仿宋" w:cs="仿宋_GB2312"/>
                <w:bCs/>
                <w:color w:val="000000" w:themeColor="text1"/>
                <w:sz w:val="24"/>
                <w:szCs w:val="24"/>
                <w14:textFill>
                  <w14:solidFill>
                    <w14:schemeClr w14:val="tx1"/>
                  </w14:solidFill>
                </w14:textFill>
              </w:rPr>
              <w:t>MMI</w:t>
            </w:r>
            <w:r>
              <w:rPr>
                <w:rFonts w:hint="eastAsia" w:ascii="仿宋" w:hAnsi="仿宋" w:eastAsia="仿宋" w:cs="仿宋_GB2312"/>
                <w:bCs/>
                <w:color w:val="000000" w:themeColor="text1"/>
                <w:sz w:val="24"/>
                <w:szCs w:val="24"/>
                <w14:textFill>
                  <w14:solidFill>
                    <w14:schemeClr w14:val="tx1"/>
                  </w14:solidFill>
                </w14:textFill>
              </w:rPr>
              <w:t>证书5级为最高级）的得2分，没有不得分。</w:t>
            </w:r>
          </w:p>
          <w:p w14:paraId="1617FECF">
            <w:pPr>
              <w:rPr>
                <w:rFonts w:ascii="仿宋" w:hAnsi="仿宋" w:eastAsia="仿宋" w:cs="仿宋_GB2312"/>
                <w:bCs/>
                <w:color w:val="000000" w:themeColor="text1"/>
                <w:sz w:val="24"/>
                <w:szCs w:val="24"/>
                <w14:textFill>
                  <w14:solidFill>
                    <w14:schemeClr w14:val="tx1"/>
                  </w14:solidFill>
                </w14:textFill>
              </w:rPr>
            </w:pPr>
            <w:r>
              <w:rPr>
                <w:rFonts w:hint="eastAsia" w:ascii="仿宋" w:hAnsi="仿宋" w:eastAsia="仿宋" w:cs="仿宋_GB2312"/>
                <w:bCs/>
                <w:color w:val="000000" w:themeColor="text1"/>
                <w:sz w:val="24"/>
                <w:szCs w:val="24"/>
                <w14:textFill>
                  <w14:solidFill>
                    <w14:schemeClr w14:val="tx1"/>
                  </w14:solidFill>
                </w14:textFill>
              </w:rPr>
              <w:t>提供相关证书复印件，不提供的不得分。</w:t>
            </w:r>
          </w:p>
        </w:tc>
      </w:tr>
      <w:tr w14:paraId="0120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6" w:type="pct"/>
            <w:noWrap/>
            <w:vAlign w:val="center"/>
          </w:tcPr>
          <w:p w14:paraId="09811B57">
            <w:pPr>
              <w:pStyle w:val="14"/>
              <w:spacing w:line="240" w:lineRule="auto"/>
              <w:ind w:firstLine="0" w:firstLineChars="0"/>
              <w:jc w:val="center"/>
              <w:rPr>
                <w:rFonts w:cs="仿宋_GB2312"/>
                <w:bCs/>
                <w:color w:val="000000" w:themeColor="text1"/>
                <w:sz w:val="24"/>
                <w14:textFill>
                  <w14:solidFill>
                    <w14:schemeClr w14:val="tx1"/>
                  </w14:solidFill>
                </w14:textFill>
              </w:rPr>
            </w:pPr>
            <w:r>
              <w:rPr>
                <w:rFonts w:hint="eastAsia" w:cs="仿宋_GB2312"/>
                <w:bCs/>
                <w:color w:val="000000" w:themeColor="text1"/>
                <w:sz w:val="24"/>
                <w14:textFill>
                  <w14:solidFill>
                    <w14:schemeClr w14:val="tx1"/>
                  </w14:solidFill>
                </w14:textFill>
              </w:rPr>
              <w:t>2</w:t>
            </w:r>
          </w:p>
        </w:tc>
        <w:tc>
          <w:tcPr>
            <w:tcW w:w="713" w:type="pct"/>
            <w:noWrap/>
            <w:vAlign w:val="center"/>
          </w:tcPr>
          <w:p w14:paraId="390299F2">
            <w:pPr>
              <w:pStyle w:val="14"/>
              <w:spacing w:line="240" w:lineRule="auto"/>
              <w:ind w:firstLine="0" w:firstLineChars="0"/>
              <w:jc w:val="center"/>
              <w:rPr>
                <w:rFonts w:cs="仿宋_GB2312"/>
                <w:bCs/>
                <w:color w:val="000000" w:themeColor="text1"/>
                <w:sz w:val="24"/>
                <w14:textFill>
                  <w14:solidFill>
                    <w14:schemeClr w14:val="tx1"/>
                  </w14:solidFill>
                </w14:textFill>
              </w:rPr>
            </w:pPr>
            <w:r>
              <w:rPr>
                <w:rFonts w:hint="eastAsia" w:cs="仿宋_GB2312"/>
                <w:bCs/>
                <w:color w:val="000000" w:themeColor="text1"/>
                <w:sz w:val="24"/>
                <w14:textFill>
                  <w14:solidFill>
                    <w14:schemeClr w14:val="tx1"/>
                  </w14:solidFill>
                </w14:textFill>
              </w:rPr>
              <w:t>企业能力（16分）</w:t>
            </w:r>
          </w:p>
        </w:tc>
        <w:tc>
          <w:tcPr>
            <w:tcW w:w="3831" w:type="pct"/>
            <w:noWrap/>
            <w:vAlign w:val="center"/>
          </w:tcPr>
          <w:p w14:paraId="33D89B60">
            <w:pPr>
              <w:pStyle w:val="14"/>
              <w:spacing w:line="240" w:lineRule="auto"/>
              <w:ind w:firstLine="0" w:firstLineChars="0"/>
              <w:rPr>
                <w:rFonts w:cs="仿宋_GB2312"/>
                <w:bCs/>
                <w:color w:val="000000" w:themeColor="text1"/>
                <w:sz w:val="24"/>
                <w14:textFill>
                  <w14:solidFill>
                    <w14:schemeClr w14:val="tx1"/>
                  </w14:solidFill>
                </w14:textFill>
              </w:rPr>
            </w:pPr>
            <w:r>
              <w:rPr>
                <w:rFonts w:hint="eastAsia" w:cs="仿宋_GB2312"/>
                <w:bCs/>
                <w:color w:val="000000" w:themeColor="text1"/>
                <w:sz w:val="24"/>
                <w14:textFill>
                  <w14:solidFill>
                    <w14:schemeClr w14:val="tx1"/>
                  </w14:solidFill>
                </w14:textFill>
              </w:rPr>
              <w:t>1、供应商提供自任意一年的CNAS能力验证计划结果通知单，评审专家对所有供应商结果通知单中的总得分按从高到底进行排序，第一名得6分，第二名得3分，其余得1分，不提供不得分。（提供能力验证计划结果通知单复印件并加盖供应商公章）</w:t>
            </w:r>
          </w:p>
          <w:p w14:paraId="17CD9023">
            <w:pPr>
              <w:pStyle w:val="14"/>
              <w:spacing w:line="240" w:lineRule="auto"/>
              <w:ind w:firstLine="0" w:firstLineChars="0"/>
              <w:rPr>
                <w:rFonts w:cs="仿宋_GB2312"/>
                <w:bCs/>
                <w:color w:val="000000" w:themeColor="text1"/>
                <w:sz w:val="24"/>
                <w14:textFill>
                  <w14:solidFill>
                    <w14:schemeClr w14:val="tx1"/>
                  </w14:solidFill>
                </w14:textFill>
              </w:rPr>
            </w:pPr>
            <w:r>
              <w:rPr>
                <w:rFonts w:hint="eastAsia" w:cs="仿宋_GB2312"/>
                <w:bCs/>
                <w:color w:val="000000" w:themeColor="text1"/>
                <w:sz w:val="24"/>
                <w14:textFill>
                  <w14:solidFill>
                    <w14:schemeClr w14:val="tx1"/>
                  </w14:solidFill>
                </w14:textFill>
              </w:rPr>
              <w:t>2、供应商与信息安全等级保护关键技术国家工程实验室或分实验室有合作的得6分；没有不得分。（提供合作协议复印件并加盖供应商公章）。</w:t>
            </w:r>
          </w:p>
          <w:p w14:paraId="441F5586">
            <w:pPr>
              <w:pStyle w:val="14"/>
              <w:spacing w:line="240" w:lineRule="auto"/>
              <w:ind w:firstLine="0" w:firstLineChars="0"/>
              <w:rPr>
                <w:rFonts w:cs="仿宋_GB2312"/>
                <w:bCs/>
                <w:color w:val="000000" w:themeColor="text1"/>
                <w:sz w:val="24"/>
                <w14:textFill>
                  <w14:solidFill>
                    <w14:schemeClr w14:val="tx1"/>
                  </w14:solidFill>
                </w14:textFill>
              </w:rPr>
            </w:pPr>
            <w:r>
              <w:rPr>
                <w:rFonts w:hint="eastAsia" w:cs="仿宋_GB2312"/>
                <w:bCs/>
                <w:color w:val="000000" w:themeColor="text1"/>
                <w:sz w:val="24"/>
                <w14:textFill>
                  <w14:solidFill>
                    <w14:schemeClr w14:val="tx1"/>
                  </w14:solidFill>
                </w14:textFill>
              </w:rPr>
              <w:t>3、投标方近五年在国家网络安全等级保护工作协调小组办公室网站（</w:t>
            </w:r>
            <w:r>
              <w:rPr>
                <w:rFonts w:cs="仿宋_GB2312"/>
                <w:bCs/>
                <w:color w:val="000000" w:themeColor="text1"/>
                <w:sz w:val="24"/>
                <w14:textFill>
                  <w14:solidFill>
                    <w14:schemeClr w14:val="tx1"/>
                  </w14:solidFill>
                </w14:textFill>
              </w:rPr>
              <w:t>www.djbh.net</w:t>
            </w:r>
            <w:r>
              <w:rPr>
                <w:rFonts w:hint="eastAsia" w:cs="仿宋_GB2312"/>
                <w:bCs/>
                <w:color w:val="000000" w:themeColor="text1"/>
                <w:sz w:val="24"/>
                <w14:textFill>
                  <w14:solidFill>
                    <w14:schemeClr w14:val="tx1"/>
                  </w14:solidFill>
                </w14:textFill>
              </w:rPr>
              <w:t>）上无任何违规处罚、通报、责令整改等信息得4分，其余不得分。（提供在上述网站无违规处罚信息承诺函并加盖公章）</w:t>
            </w:r>
          </w:p>
        </w:tc>
      </w:tr>
      <w:tr w14:paraId="1B1C4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6" w:type="pct"/>
            <w:noWrap/>
            <w:vAlign w:val="center"/>
          </w:tcPr>
          <w:p w14:paraId="60C36A23">
            <w:pPr>
              <w:pStyle w:val="14"/>
              <w:spacing w:line="240" w:lineRule="auto"/>
              <w:ind w:firstLine="0" w:firstLineChars="0"/>
              <w:jc w:val="center"/>
              <w:rPr>
                <w:rFonts w:cs="仿宋_GB2312"/>
                <w:bCs/>
                <w:color w:val="000000" w:themeColor="text1"/>
                <w:sz w:val="24"/>
                <w14:textFill>
                  <w14:solidFill>
                    <w14:schemeClr w14:val="tx1"/>
                  </w14:solidFill>
                </w14:textFill>
              </w:rPr>
            </w:pPr>
            <w:r>
              <w:rPr>
                <w:rFonts w:hint="eastAsia" w:cs="仿宋_GB2312"/>
                <w:bCs/>
                <w:color w:val="000000" w:themeColor="text1"/>
                <w:sz w:val="24"/>
                <w14:textFill>
                  <w14:solidFill>
                    <w14:schemeClr w14:val="tx1"/>
                  </w14:solidFill>
                </w14:textFill>
              </w:rPr>
              <w:t>3</w:t>
            </w:r>
          </w:p>
        </w:tc>
        <w:tc>
          <w:tcPr>
            <w:tcW w:w="713" w:type="pct"/>
            <w:noWrap/>
            <w:vAlign w:val="center"/>
          </w:tcPr>
          <w:p w14:paraId="43CBA2DF">
            <w:pPr>
              <w:pStyle w:val="14"/>
              <w:spacing w:line="240" w:lineRule="auto"/>
              <w:ind w:firstLine="0" w:firstLineChars="0"/>
              <w:jc w:val="center"/>
              <w:rPr>
                <w:rFonts w:cs="仿宋_GB2312"/>
                <w:bCs/>
                <w:color w:val="000000" w:themeColor="text1"/>
                <w:sz w:val="24"/>
                <w14:textFill>
                  <w14:solidFill>
                    <w14:schemeClr w14:val="tx1"/>
                  </w14:solidFill>
                </w14:textFill>
              </w:rPr>
            </w:pPr>
            <w:r>
              <w:rPr>
                <w:rFonts w:hint="eastAsia" w:cs="仿宋_GB2312"/>
                <w:bCs/>
                <w:color w:val="000000" w:themeColor="text1"/>
                <w:sz w:val="24"/>
                <w14:textFill>
                  <w14:solidFill>
                    <w14:schemeClr w14:val="tx1"/>
                  </w14:solidFill>
                </w14:textFill>
              </w:rPr>
              <w:t>测评案例（9分）</w:t>
            </w:r>
          </w:p>
        </w:tc>
        <w:tc>
          <w:tcPr>
            <w:tcW w:w="3831" w:type="pct"/>
            <w:noWrap/>
            <w:vAlign w:val="center"/>
          </w:tcPr>
          <w:p w14:paraId="7634285D">
            <w:pPr>
              <w:pStyle w:val="14"/>
              <w:spacing w:line="240" w:lineRule="auto"/>
              <w:ind w:firstLine="0" w:firstLineChars="0"/>
              <w:rPr>
                <w:rFonts w:cs="仿宋_GB2312"/>
                <w:bCs/>
                <w:color w:val="000000" w:themeColor="text1"/>
                <w:sz w:val="24"/>
                <w14:textFill>
                  <w14:solidFill>
                    <w14:schemeClr w14:val="tx1"/>
                  </w14:solidFill>
                </w14:textFill>
              </w:rPr>
            </w:pPr>
            <w:r>
              <w:rPr>
                <w:rFonts w:hint="eastAsia" w:cs="仿宋_GB2312"/>
                <w:bCs/>
                <w:color w:val="000000" w:themeColor="text1"/>
                <w:sz w:val="24"/>
                <w14:textFill>
                  <w14:solidFill>
                    <w14:schemeClr w14:val="tx1"/>
                  </w14:solidFill>
                </w14:textFill>
              </w:rPr>
              <w:t>2022年1月1日至今等保测评案例合同，每个案例得3分，最高得9分。</w:t>
            </w:r>
          </w:p>
          <w:p w14:paraId="49FD7271">
            <w:pPr>
              <w:pStyle w:val="14"/>
              <w:spacing w:line="240" w:lineRule="auto"/>
              <w:ind w:firstLine="0" w:firstLineChars="0"/>
              <w:rPr>
                <w:rFonts w:cs="仿宋_GB2312"/>
                <w:bCs/>
                <w:color w:val="000000" w:themeColor="text1"/>
                <w:sz w:val="24"/>
                <w14:textFill>
                  <w14:solidFill>
                    <w14:schemeClr w14:val="tx1"/>
                  </w14:solidFill>
                </w14:textFill>
              </w:rPr>
            </w:pPr>
            <w:r>
              <w:rPr>
                <w:rFonts w:hint="eastAsia" w:cs="仿宋_GB2312"/>
                <w:bCs/>
                <w:color w:val="000000" w:themeColor="text1"/>
                <w:sz w:val="24"/>
                <w14:textFill>
                  <w14:solidFill>
                    <w14:schemeClr w14:val="tx1"/>
                  </w14:solidFill>
                </w14:textFill>
              </w:rPr>
              <w:t>提供合同复印件，不提供的不得分。</w:t>
            </w:r>
          </w:p>
        </w:tc>
      </w:tr>
      <w:tr w14:paraId="65295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6" w:type="pct"/>
            <w:noWrap/>
            <w:vAlign w:val="center"/>
          </w:tcPr>
          <w:p w14:paraId="25D8CF7B">
            <w:pPr>
              <w:pStyle w:val="14"/>
              <w:spacing w:line="240" w:lineRule="auto"/>
              <w:ind w:firstLine="0" w:firstLineChars="0"/>
              <w:jc w:val="center"/>
              <w:rPr>
                <w:rFonts w:cs="仿宋_GB2312"/>
                <w:bCs/>
                <w:color w:val="000000" w:themeColor="text1"/>
                <w:sz w:val="24"/>
                <w14:textFill>
                  <w14:solidFill>
                    <w14:schemeClr w14:val="tx1"/>
                  </w14:solidFill>
                </w14:textFill>
              </w:rPr>
            </w:pPr>
            <w:r>
              <w:rPr>
                <w:rFonts w:hint="eastAsia" w:cs="仿宋_GB2312"/>
                <w:bCs/>
                <w:color w:val="000000" w:themeColor="text1"/>
                <w:sz w:val="24"/>
                <w14:textFill>
                  <w14:solidFill>
                    <w14:schemeClr w14:val="tx1"/>
                  </w14:solidFill>
                </w14:textFill>
              </w:rPr>
              <w:t>4</w:t>
            </w:r>
          </w:p>
        </w:tc>
        <w:tc>
          <w:tcPr>
            <w:tcW w:w="713" w:type="pct"/>
            <w:noWrap/>
            <w:vAlign w:val="center"/>
          </w:tcPr>
          <w:p w14:paraId="099C766E">
            <w:pPr>
              <w:pStyle w:val="14"/>
              <w:spacing w:line="240" w:lineRule="auto"/>
              <w:ind w:firstLine="0" w:firstLineChars="0"/>
              <w:jc w:val="center"/>
              <w:rPr>
                <w:rFonts w:cs="仿宋_GB2312"/>
                <w:bCs/>
                <w:color w:val="000000" w:themeColor="text1"/>
                <w:sz w:val="24"/>
                <w14:textFill>
                  <w14:solidFill>
                    <w14:schemeClr w14:val="tx1"/>
                  </w14:solidFill>
                </w14:textFill>
              </w:rPr>
            </w:pPr>
            <w:r>
              <w:rPr>
                <w:rFonts w:hint="eastAsia" w:cs="仿宋_GB2312"/>
                <w:bCs/>
                <w:color w:val="000000" w:themeColor="text1"/>
                <w:sz w:val="24"/>
                <w14:textFill>
                  <w14:solidFill>
                    <w14:schemeClr w14:val="tx1"/>
                  </w14:solidFill>
                </w14:textFill>
              </w:rPr>
              <w:t>测评服务方案（15分）</w:t>
            </w:r>
          </w:p>
        </w:tc>
        <w:tc>
          <w:tcPr>
            <w:tcW w:w="3831" w:type="pct"/>
            <w:noWrap/>
            <w:vAlign w:val="center"/>
          </w:tcPr>
          <w:p w14:paraId="52781E25">
            <w:pPr>
              <w:pStyle w:val="14"/>
              <w:spacing w:line="240" w:lineRule="auto"/>
              <w:ind w:firstLine="0" w:firstLineChars="0"/>
              <w:rPr>
                <w:rFonts w:cs="仿宋_GB2312"/>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根据采购需求提供等级保护测评的服务方案，供应商能够详细描述信息系统现状，服务方案要科学性、合理性、全面性、可行性。</w:t>
            </w:r>
            <w:r>
              <w:rPr>
                <w:rFonts w:hint="eastAsia" w:cs="仿宋"/>
                <w:color w:val="000000" w:themeColor="text1"/>
                <w:sz w:val="24"/>
                <w14:textFill>
                  <w14:solidFill>
                    <w14:schemeClr w14:val="tx1"/>
                  </w14:solidFill>
                </w14:textFill>
              </w:rPr>
              <w:t>磋商小组对测评方案进行横向评比，排名第一的得15分，排名第二的得12分，排名第三的得8分，其余的全部得4分，不提供的不得分。</w:t>
            </w:r>
          </w:p>
        </w:tc>
      </w:tr>
      <w:tr w14:paraId="6AB90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6" w:type="pct"/>
            <w:noWrap/>
            <w:vAlign w:val="center"/>
          </w:tcPr>
          <w:p w14:paraId="7DE9076D">
            <w:pPr>
              <w:pStyle w:val="14"/>
              <w:spacing w:line="240" w:lineRule="auto"/>
              <w:ind w:firstLine="0" w:firstLineChars="0"/>
              <w:jc w:val="center"/>
              <w:rPr>
                <w:rFonts w:cs="仿宋_GB2312"/>
                <w:bCs/>
                <w:color w:val="000000" w:themeColor="text1"/>
                <w:sz w:val="24"/>
                <w14:textFill>
                  <w14:solidFill>
                    <w14:schemeClr w14:val="tx1"/>
                  </w14:solidFill>
                </w14:textFill>
              </w:rPr>
            </w:pPr>
            <w:r>
              <w:rPr>
                <w:rFonts w:hint="eastAsia" w:cs="仿宋_GB2312"/>
                <w:bCs/>
                <w:color w:val="000000" w:themeColor="text1"/>
                <w:sz w:val="24"/>
                <w14:textFill>
                  <w14:solidFill>
                    <w14:schemeClr w14:val="tx1"/>
                  </w14:solidFill>
                </w14:textFill>
              </w:rPr>
              <w:t>5</w:t>
            </w:r>
          </w:p>
        </w:tc>
        <w:tc>
          <w:tcPr>
            <w:tcW w:w="713" w:type="pct"/>
            <w:noWrap/>
            <w:vAlign w:val="center"/>
          </w:tcPr>
          <w:p w14:paraId="6FCEDC01">
            <w:pPr>
              <w:pStyle w:val="14"/>
              <w:spacing w:line="240" w:lineRule="auto"/>
              <w:ind w:firstLine="0" w:firstLineChars="0"/>
              <w:jc w:val="center"/>
              <w:rPr>
                <w:rFonts w:cs="仿宋_GB2312"/>
                <w:bCs/>
                <w:color w:val="000000" w:themeColor="text1"/>
                <w:sz w:val="24"/>
                <w14:textFill>
                  <w14:solidFill>
                    <w14:schemeClr w14:val="tx1"/>
                  </w14:solidFill>
                </w14:textFill>
              </w:rPr>
            </w:pPr>
            <w:r>
              <w:rPr>
                <w:rFonts w:hint="eastAsia" w:cs="仿宋_GB2312"/>
                <w:bCs/>
                <w:color w:val="000000" w:themeColor="text1"/>
                <w:sz w:val="24"/>
                <w14:textFill>
                  <w14:solidFill>
                    <w14:schemeClr w14:val="tx1"/>
                  </w14:solidFill>
                </w14:textFill>
              </w:rPr>
              <w:t>人员资质</w:t>
            </w:r>
          </w:p>
          <w:p w14:paraId="6DDAF27E">
            <w:pPr>
              <w:pStyle w:val="14"/>
              <w:spacing w:line="240" w:lineRule="auto"/>
              <w:ind w:firstLine="0" w:firstLineChars="0"/>
              <w:jc w:val="center"/>
              <w:rPr>
                <w:rFonts w:cs="仿宋_GB2312"/>
                <w:bCs/>
                <w:color w:val="000000" w:themeColor="text1"/>
                <w:sz w:val="24"/>
                <w14:textFill>
                  <w14:solidFill>
                    <w14:schemeClr w14:val="tx1"/>
                  </w14:solidFill>
                </w14:textFill>
              </w:rPr>
            </w:pPr>
            <w:r>
              <w:rPr>
                <w:rFonts w:hint="eastAsia" w:cs="仿宋_GB2312"/>
                <w:bCs/>
                <w:color w:val="000000" w:themeColor="text1"/>
                <w:sz w:val="24"/>
                <w14:textFill>
                  <w14:solidFill>
                    <w14:schemeClr w14:val="tx1"/>
                  </w14:solidFill>
                </w14:textFill>
              </w:rPr>
              <w:t>（18分）</w:t>
            </w:r>
          </w:p>
        </w:tc>
        <w:tc>
          <w:tcPr>
            <w:tcW w:w="3831" w:type="pct"/>
            <w:noWrap/>
            <w:vAlign w:val="center"/>
          </w:tcPr>
          <w:p w14:paraId="0395CDC7">
            <w:pPr>
              <w:pStyle w:val="14"/>
              <w:spacing w:line="240" w:lineRule="auto"/>
              <w:ind w:firstLine="0" w:firstLineChars="0"/>
              <w:rPr>
                <w:rFonts w:cs="仿宋_GB2312"/>
                <w:bCs/>
                <w:color w:val="000000" w:themeColor="text1"/>
                <w:sz w:val="24"/>
                <w14:textFill>
                  <w14:solidFill>
                    <w14:schemeClr w14:val="tx1"/>
                  </w14:solidFill>
                </w14:textFill>
              </w:rPr>
            </w:pPr>
            <w:r>
              <w:rPr>
                <w:rFonts w:hint="eastAsia" w:cs="仿宋_GB2312"/>
                <w:bCs/>
                <w:color w:val="000000" w:themeColor="text1"/>
                <w:sz w:val="24"/>
                <w14:textFill>
                  <w14:solidFill>
                    <w14:schemeClr w14:val="tx1"/>
                  </w14:solidFill>
                </w14:textFill>
              </w:rPr>
              <w:t>承担本次项目的项目团队人员具备：</w:t>
            </w:r>
          </w:p>
          <w:p w14:paraId="25040477">
            <w:pPr>
              <w:pStyle w:val="14"/>
              <w:spacing w:line="240" w:lineRule="auto"/>
              <w:ind w:firstLine="0" w:firstLineChars="0"/>
              <w:rPr>
                <w:rFonts w:cs="仿宋_GB2312"/>
                <w:bCs/>
                <w:color w:val="000000" w:themeColor="text1"/>
                <w:sz w:val="24"/>
                <w14:textFill>
                  <w14:solidFill>
                    <w14:schemeClr w14:val="tx1"/>
                  </w14:solidFill>
                </w14:textFill>
              </w:rPr>
            </w:pPr>
            <w:r>
              <w:rPr>
                <w:rFonts w:hint="eastAsia" w:cs="仿宋_GB2312"/>
                <w:bCs/>
                <w:color w:val="000000" w:themeColor="text1"/>
                <w:sz w:val="24"/>
                <w14:textFill>
                  <w14:solidFill>
                    <w14:schemeClr w14:val="tx1"/>
                  </w14:solidFill>
                </w14:textFill>
              </w:rPr>
              <w:t>1、本项目拟派团队的项目经理为高级测评师得3分，项目经理有CISP认证的得3分，</w:t>
            </w:r>
            <w:r>
              <w:rPr>
                <w:rFonts w:hint="eastAsia" w:cs="仿宋"/>
                <w:bCs/>
                <w:color w:val="000000" w:themeColor="text1"/>
                <w:sz w:val="24"/>
                <w14:textFill>
                  <w14:solidFill>
                    <w14:schemeClr w14:val="tx1"/>
                  </w14:solidFill>
                </w14:textFill>
              </w:rPr>
              <w:t>有国家重要信息系统保护人员证书（CIIP-T）的得3分，有网络安全技术权威专家（CompTIA Security+）证书的得3分</w:t>
            </w:r>
            <w:r>
              <w:rPr>
                <w:rFonts w:hint="eastAsia" w:cs="仿宋_GB2312"/>
                <w:bCs/>
                <w:color w:val="000000" w:themeColor="text1"/>
                <w:sz w:val="24"/>
                <w14:textFill>
                  <w14:solidFill>
                    <w14:schemeClr w14:val="tx1"/>
                  </w14:solidFill>
                </w14:textFill>
              </w:rPr>
              <w:t>；</w:t>
            </w:r>
          </w:p>
          <w:p w14:paraId="262C1369">
            <w:pPr>
              <w:pStyle w:val="14"/>
              <w:spacing w:line="240" w:lineRule="auto"/>
              <w:ind w:firstLine="0" w:firstLineChars="0"/>
              <w:rPr>
                <w:rFonts w:cs="仿宋_GB2312"/>
                <w:bCs/>
                <w:color w:val="000000" w:themeColor="text1"/>
                <w:sz w:val="24"/>
                <w14:textFill>
                  <w14:solidFill>
                    <w14:schemeClr w14:val="tx1"/>
                  </w14:solidFill>
                </w14:textFill>
              </w:rPr>
            </w:pPr>
            <w:r>
              <w:rPr>
                <w:rFonts w:hint="eastAsia" w:cs="仿宋_GB2312"/>
                <w:bCs/>
                <w:color w:val="000000" w:themeColor="text1"/>
                <w:sz w:val="24"/>
                <w14:textFill>
                  <w14:solidFill>
                    <w14:schemeClr w14:val="tx1"/>
                  </w14:solidFill>
                </w14:textFill>
              </w:rPr>
              <w:t>2、除项目经理外，本项目拟派项目组成员中持有ISG技能鉴定证书/参赛证书的得3分；</w:t>
            </w:r>
          </w:p>
          <w:p w14:paraId="03F1763E">
            <w:pPr>
              <w:pStyle w:val="14"/>
              <w:spacing w:line="240" w:lineRule="auto"/>
              <w:ind w:firstLine="0" w:firstLineChars="0"/>
              <w:rPr>
                <w:rFonts w:cs="仿宋_GB2312"/>
                <w:bCs/>
                <w:color w:val="000000" w:themeColor="text1"/>
                <w:sz w:val="24"/>
                <w14:textFill>
                  <w14:solidFill>
                    <w14:schemeClr w14:val="tx1"/>
                  </w14:solidFill>
                </w14:textFill>
              </w:rPr>
            </w:pPr>
            <w:r>
              <w:rPr>
                <w:rFonts w:hint="eastAsia" w:cs="仿宋_GB2312"/>
                <w:bCs/>
                <w:color w:val="000000" w:themeColor="text1"/>
                <w:sz w:val="24"/>
                <w14:textFill>
                  <w14:solidFill>
                    <w14:schemeClr w14:val="tx1"/>
                  </w14:solidFill>
                </w14:textFill>
              </w:rPr>
              <w:t>3、除项目经理外、本项目拟派项目组成员中持有</w:t>
            </w:r>
            <w:r>
              <w:fldChar w:fldCharType="begin"/>
            </w:r>
            <w:r>
              <w:instrText xml:space="preserve"> HYPERLINK "https://baike.baidu.com/item/%E4%BF%A1%E6%81%AF%E5%AE%89%E5%85%A8%E4%BF%9D%E9%9A%9C/0?fromModule=lemma_inlink" \t "_blank" </w:instrText>
            </w:r>
            <w:r>
              <w:fldChar w:fldCharType="separate"/>
            </w:r>
            <w:r>
              <w:rPr>
                <w:rFonts w:hint="eastAsia" w:cs="仿宋_GB2312"/>
                <w:bCs/>
                <w:color w:val="000000" w:themeColor="text1"/>
                <w:sz w:val="24"/>
                <w14:textFill>
                  <w14:solidFill>
                    <w14:schemeClr w14:val="tx1"/>
                  </w14:solidFill>
                </w14:textFill>
              </w:rPr>
              <w:t>信息安全保障</w:t>
            </w:r>
            <w:r>
              <w:rPr>
                <w:rFonts w:hint="eastAsia" w:cs="仿宋_GB2312"/>
                <w:bCs/>
                <w:color w:val="000000" w:themeColor="text1"/>
                <w:sz w:val="24"/>
                <w14:textFill>
                  <w14:solidFill>
                    <w14:schemeClr w14:val="tx1"/>
                  </w14:solidFill>
                </w14:textFill>
              </w:rPr>
              <w:fldChar w:fldCharType="end"/>
            </w:r>
            <w:r>
              <w:rPr>
                <w:rFonts w:hint="eastAsia" w:cs="仿宋_GB2312"/>
                <w:bCs/>
                <w:color w:val="000000" w:themeColor="text1"/>
                <w:sz w:val="24"/>
                <w14:textFill>
                  <w14:solidFill>
                    <w14:schemeClr w14:val="tx1"/>
                  </w14:solidFill>
                </w14:textFill>
              </w:rPr>
              <w:t>人员认证证书（CISAW）的得3分。</w:t>
            </w:r>
          </w:p>
          <w:p w14:paraId="6151ECDB">
            <w:pPr>
              <w:pStyle w:val="14"/>
              <w:spacing w:line="240" w:lineRule="auto"/>
              <w:ind w:firstLine="0" w:firstLineChars="0"/>
              <w:rPr>
                <w:rFonts w:cs="仿宋_GB2312"/>
                <w:bCs/>
                <w:color w:val="000000" w:themeColor="text1"/>
                <w:sz w:val="24"/>
                <w14:textFill>
                  <w14:solidFill>
                    <w14:schemeClr w14:val="tx1"/>
                  </w14:solidFill>
                </w14:textFill>
              </w:rPr>
            </w:pPr>
            <w:r>
              <w:rPr>
                <w:rFonts w:hint="eastAsia" w:cs="仿宋_GB2312"/>
                <w:bCs/>
                <w:color w:val="000000" w:themeColor="text1"/>
                <w:sz w:val="24"/>
                <w14:textFill>
                  <w14:solidFill>
                    <w14:schemeClr w14:val="tx1"/>
                  </w14:solidFill>
                </w14:textFill>
              </w:rPr>
              <w:t>备注：</w:t>
            </w:r>
          </w:p>
          <w:p w14:paraId="1EF88093">
            <w:pPr>
              <w:pStyle w:val="14"/>
              <w:spacing w:line="240" w:lineRule="auto"/>
              <w:ind w:firstLine="0" w:firstLineChars="0"/>
              <w:rPr>
                <w:rFonts w:cs="仿宋_GB2312"/>
                <w:bCs/>
                <w:color w:val="000000" w:themeColor="text1"/>
                <w:sz w:val="24"/>
                <w14:textFill>
                  <w14:solidFill>
                    <w14:schemeClr w14:val="tx1"/>
                  </w14:solidFill>
                </w14:textFill>
              </w:rPr>
            </w:pPr>
            <w:r>
              <w:rPr>
                <w:rFonts w:hint="eastAsia" w:cs="仿宋_GB2312"/>
                <w:bCs/>
                <w:color w:val="000000" w:themeColor="text1"/>
                <w:sz w:val="24"/>
                <w14:textFill>
                  <w14:solidFill>
                    <w14:schemeClr w14:val="tx1"/>
                  </w14:solidFill>
                </w14:textFill>
              </w:rPr>
              <w:t>1、以上人员提供相关证书复印件并加盖供应商公章；不提供的不得分。</w:t>
            </w:r>
          </w:p>
          <w:p w14:paraId="3E695A46">
            <w:pPr>
              <w:pStyle w:val="14"/>
              <w:spacing w:line="240" w:lineRule="auto"/>
              <w:ind w:firstLine="0" w:firstLineChars="0"/>
              <w:rPr>
                <w:rFonts w:cs="仿宋_GB2312"/>
                <w:bCs/>
                <w:color w:val="000000" w:themeColor="text1"/>
                <w:sz w:val="24"/>
                <w14:textFill>
                  <w14:solidFill>
                    <w14:schemeClr w14:val="tx1"/>
                  </w14:solidFill>
                </w14:textFill>
              </w:rPr>
            </w:pPr>
            <w:r>
              <w:rPr>
                <w:rFonts w:hint="eastAsia" w:cs="仿宋_GB2312"/>
                <w:bCs/>
                <w:color w:val="000000" w:themeColor="text1"/>
                <w:sz w:val="24"/>
                <w14:textFill>
                  <w14:solidFill>
                    <w14:schemeClr w14:val="tx1"/>
                  </w14:solidFill>
                </w14:textFill>
              </w:rPr>
              <w:t>2、项目成员人员须为本单位正式员工，提供近三个月社保部门出具的供应商为其缴纳养老保险缴纳证明材料并加盖单位公章。不提供的不得分。</w:t>
            </w:r>
          </w:p>
        </w:tc>
      </w:tr>
      <w:tr w14:paraId="1152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6" w:type="pct"/>
            <w:noWrap/>
            <w:vAlign w:val="center"/>
          </w:tcPr>
          <w:p w14:paraId="570A34B9">
            <w:pPr>
              <w:pStyle w:val="14"/>
              <w:spacing w:line="240" w:lineRule="auto"/>
              <w:ind w:firstLine="0" w:firstLineChars="0"/>
              <w:jc w:val="center"/>
              <w:rPr>
                <w:rFonts w:cs="仿宋_GB2312"/>
                <w:bCs/>
                <w:color w:val="000000" w:themeColor="text1"/>
                <w:sz w:val="24"/>
                <w14:textFill>
                  <w14:solidFill>
                    <w14:schemeClr w14:val="tx1"/>
                  </w14:solidFill>
                </w14:textFill>
              </w:rPr>
            </w:pPr>
            <w:r>
              <w:rPr>
                <w:rFonts w:hint="eastAsia" w:cs="仿宋_GB2312"/>
                <w:bCs/>
                <w:color w:val="000000" w:themeColor="text1"/>
                <w:sz w:val="24"/>
                <w14:textFill>
                  <w14:solidFill>
                    <w14:schemeClr w14:val="tx1"/>
                  </w14:solidFill>
                </w14:textFill>
              </w:rPr>
              <w:t>6</w:t>
            </w:r>
          </w:p>
        </w:tc>
        <w:tc>
          <w:tcPr>
            <w:tcW w:w="713" w:type="pct"/>
            <w:noWrap/>
            <w:vAlign w:val="center"/>
          </w:tcPr>
          <w:p w14:paraId="3D956EF4">
            <w:pPr>
              <w:pStyle w:val="14"/>
              <w:spacing w:line="240" w:lineRule="auto"/>
              <w:ind w:firstLine="0" w:firstLineChars="0"/>
              <w:jc w:val="center"/>
              <w:rPr>
                <w:rFonts w:cs="仿宋_GB2312"/>
                <w:bCs/>
                <w:color w:val="000000" w:themeColor="text1"/>
                <w:sz w:val="24"/>
                <w14:textFill>
                  <w14:solidFill>
                    <w14:schemeClr w14:val="tx1"/>
                  </w14:solidFill>
                </w14:textFill>
              </w:rPr>
            </w:pPr>
            <w:r>
              <w:rPr>
                <w:rFonts w:hint="eastAsia" w:cs="仿宋_GB2312"/>
                <w:bCs/>
                <w:color w:val="000000" w:themeColor="text1"/>
                <w:sz w:val="24"/>
                <w14:textFill>
                  <w14:solidFill>
                    <w14:schemeClr w14:val="tx1"/>
                  </w14:solidFill>
                </w14:textFill>
              </w:rPr>
              <w:t>应急响应能力（4分）</w:t>
            </w:r>
          </w:p>
        </w:tc>
        <w:tc>
          <w:tcPr>
            <w:tcW w:w="3831" w:type="pct"/>
            <w:noWrap/>
            <w:vAlign w:val="center"/>
          </w:tcPr>
          <w:p w14:paraId="28CE6700">
            <w:pPr>
              <w:pStyle w:val="14"/>
              <w:spacing w:line="240" w:lineRule="auto"/>
              <w:ind w:firstLine="0" w:firstLineChars="0"/>
              <w:rPr>
                <w:rFonts w:cs="仿宋_GB2312"/>
                <w:bCs/>
                <w:color w:val="000000" w:themeColor="text1"/>
                <w:sz w:val="24"/>
                <w14:textFill>
                  <w14:solidFill>
                    <w14:schemeClr w14:val="tx1"/>
                  </w14:solidFill>
                </w14:textFill>
              </w:rPr>
            </w:pPr>
            <w:r>
              <w:rPr>
                <w:rFonts w:hint="eastAsia" w:cs="仿宋_GB2312"/>
                <w:bCs/>
                <w:color w:val="000000" w:themeColor="text1"/>
                <w:sz w:val="24"/>
                <w14:textFill>
                  <w14:solidFill>
                    <w14:schemeClr w14:val="tx1"/>
                  </w14:solidFill>
                </w14:textFill>
              </w:rPr>
              <w:t>供应商具备网络安全事件应急响应服务能力，当发生安全事件时能1小时内到现场响应得4分，2小时内到现场响应得2分，超过2小时到现场响应不得分。提供应急响应承诺函，响应服务时间以投标企业注册地址至采购人地址主流导航显示时间为准。（提供截图并加盖公章）。</w:t>
            </w:r>
          </w:p>
        </w:tc>
      </w:tr>
    </w:tbl>
    <w:p w14:paraId="5D68C7AF">
      <w:pPr>
        <w:autoSpaceDE w:val="0"/>
        <w:autoSpaceDN w:val="0"/>
        <w:adjustRightInd w:val="0"/>
        <w:snapToGrid w:val="0"/>
        <w:spacing w:line="360" w:lineRule="auto"/>
        <w:ind w:firstLine="56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、价格分：30分</w:t>
      </w:r>
    </w:p>
    <w:p w14:paraId="17C1791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综合评分法中的价格分统一采用低价优先法计算，即满足磋商文件要求且最后报价最低的供应商的价格为磋商基准价，其价格分为满分。其他供应商的价格分统一按照下列公式计算：</w:t>
      </w:r>
    </w:p>
    <w:p w14:paraId="744F2C2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磋商报价得分=（磋商基准价/最后磋商报价）×30</w:t>
      </w:r>
    </w:p>
    <w:p w14:paraId="1C5D312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项目评审过程中，不得去掉最后报价中的最高报价和最低报价。</w:t>
      </w:r>
    </w:p>
    <w:p w14:paraId="53388856">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注：为避免供应商非理性报价、防范恶意低价谋取成交影响项目实施，采购人授权磋商小组在认为供应商最终报价明显低于其他实质响应供应商报价、有可能影响项目质量、难以诚信履约时，磋商小组要求供应商在评审现场要求的时间内提供书面说明，内容包括但不限于其最后报价与首次报价差额的原因、具体可落实环节和理由等。供应商不能按磋商小组要求书面说明报价合理性的，磋商小组将其磋商响应文件判定为无效响应。</w:t>
      </w:r>
    </w:p>
    <w:p w14:paraId="3E346BEE">
      <w:pPr>
        <w:pStyle w:val="3"/>
      </w:pPr>
      <w:r>
        <w:rPr>
          <w:rFonts w:hint="eastAsia"/>
        </w:rPr>
        <w:t>八、政府采购政策功能落实</w:t>
      </w:r>
    </w:p>
    <w:p w14:paraId="7C1D6877">
      <w:pPr>
        <w:spacing w:line="360" w:lineRule="auto"/>
        <w:ind w:left="210" w:leftChars="100" w:firstLine="560" w:firstLineChars="200"/>
        <w:rPr>
          <w:rFonts w:ascii="仿宋" w:hAnsi="仿宋" w:eastAsia="仿宋" w:cs="仿宋"/>
          <w:sz w:val="28"/>
          <w:szCs w:val="28"/>
        </w:rPr>
      </w:pPr>
      <w:r>
        <w:rPr>
          <w:rFonts w:hint="eastAsia" w:ascii="仿宋" w:hAnsi="仿宋" w:eastAsia="仿宋" w:cs="仿宋"/>
          <w:sz w:val="28"/>
          <w:szCs w:val="28"/>
        </w:rPr>
        <w:t>1.小微型企业价格扣除</w:t>
      </w:r>
    </w:p>
    <w:p w14:paraId="0F3DA9B9">
      <w:pPr>
        <w:spacing w:line="360" w:lineRule="auto"/>
        <w:ind w:left="210" w:leftChars="100" w:firstLine="560" w:firstLineChars="200"/>
        <w:rPr>
          <w:rFonts w:ascii="仿宋" w:hAnsi="仿宋" w:eastAsia="仿宋" w:cs="仿宋"/>
          <w:sz w:val="28"/>
          <w:szCs w:val="28"/>
        </w:rPr>
      </w:pPr>
      <w:r>
        <w:rPr>
          <w:rFonts w:hint="eastAsia" w:ascii="仿宋" w:hAnsi="仿宋" w:eastAsia="仿宋" w:cs="仿宋"/>
          <w:sz w:val="28"/>
          <w:szCs w:val="28"/>
        </w:rPr>
        <w:t>（1）本项目对小型和微型企业产品给予10%的扣除价格，用扣除后的价格参与评审。</w:t>
      </w:r>
    </w:p>
    <w:p w14:paraId="4BA4E7DC">
      <w:pPr>
        <w:spacing w:line="360" w:lineRule="auto"/>
        <w:ind w:left="210" w:leftChars="100" w:firstLine="560" w:firstLineChars="200"/>
        <w:rPr>
          <w:rFonts w:ascii="仿宋" w:hAnsi="仿宋" w:eastAsia="仿宋" w:cs="仿宋"/>
          <w:sz w:val="28"/>
          <w:szCs w:val="28"/>
        </w:rPr>
      </w:pPr>
      <w:r>
        <w:rPr>
          <w:rFonts w:hint="eastAsia" w:ascii="仿宋" w:hAnsi="仿宋" w:eastAsia="仿宋" w:cs="仿宋"/>
          <w:sz w:val="28"/>
          <w:szCs w:val="28"/>
        </w:rPr>
        <w:t>（2）供应商需按照《政府采购促进中小企业发展管理办法》（财库﹝2020﹞46 号）的规定提供相应的《中小企业声明函》。</w:t>
      </w:r>
    </w:p>
    <w:p w14:paraId="105FD1F8">
      <w:pPr>
        <w:spacing w:line="360" w:lineRule="auto"/>
        <w:ind w:left="210" w:leftChars="100" w:firstLine="560" w:firstLineChars="200"/>
        <w:rPr>
          <w:rFonts w:ascii="仿宋" w:hAnsi="仿宋" w:eastAsia="仿宋" w:cs="仿宋"/>
          <w:sz w:val="28"/>
          <w:szCs w:val="28"/>
        </w:rPr>
      </w:pPr>
      <w:r>
        <w:rPr>
          <w:rFonts w:hint="eastAsia" w:ascii="仿宋" w:hAnsi="仿宋" w:eastAsia="仿宋" w:cs="仿宋"/>
          <w:sz w:val="28"/>
          <w:szCs w:val="28"/>
        </w:rPr>
        <w:t>（3）企业标准请参照《关于印发中小企业划型标准规定的通知》（工信部联企业[2011]300号）文件规定自行填写。</w:t>
      </w:r>
    </w:p>
    <w:p w14:paraId="4706D1EA">
      <w:pPr>
        <w:spacing w:line="360" w:lineRule="auto"/>
        <w:ind w:left="210" w:leftChars="100" w:firstLine="560" w:firstLineChars="200"/>
        <w:rPr>
          <w:rFonts w:ascii="仿宋" w:hAnsi="仿宋" w:eastAsia="仿宋" w:cs="仿宋"/>
          <w:sz w:val="28"/>
          <w:szCs w:val="28"/>
        </w:rPr>
      </w:pPr>
      <w:r>
        <w:rPr>
          <w:rFonts w:hint="eastAsia" w:ascii="仿宋" w:hAnsi="仿宋" w:eastAsia="仿宋" w:cs="仿宋"/>
          <w:sz w:val="28"/>
          <w:szCs w:val="28"/>
        </w:rPr>
        <w:t>2.残疾人福利单位价格扣除</w:t>
      </w:r>
    </w:p>
    <w:p w14:paraId="6BAFC809">
      <w:pPr>
        <w:spacing w:line="360" w:lineRule="auto"/>
        <w:ind w:left="210" w:leftChars="100" w:firstLine="560" w:firstLineChars="200"/>
        <w:rPr>
          <w:rFonts w:ascii="仿宋" w:hAnsi="仿宋" w:eastAsia="仿宋" w:cs="仿宋"/>
          <w:sz w:val="28"/>
          <w:szCs w:val="28"/>
        </w:rPr>
      </w:pPr>
      <w:r>
        <w:rPr>
          <w:rFonts w:hint="eastAsia" w:ascii="仿宋" w:hAnsi="仿宋" w:eastAsia="仿宋" w:cs="仿宋"/>
          <w:sz w:val="28"/>
          <w:szCs w:val="28"/>
        </w:rPr>
        <w:t>（1）本项目对残疾人福利性单位，给予10%的价格扣除，用扣除后的价格参与评审。</w:t>
      </w:r>
    </w:p>
    <w:p w14:paraId="5199ECCA">
      <w:pPr>
        <w:spacing w:line="360" w:lineRule="auto"/>
        <w:ind w:left="210" w:leftChars="100" w:firstLine="560" w:firstLineChars="200"/>
        <w:rPr>
          <w:rFonts w:ascii="仿宋" w:hAnsi="仿宋" w:eastAsia="仿宋" w:cs="仿宋"/>
          <w:sz w:val="28"/>
          <w:szCs w:val="28"/>
        </w:rPr>
      </w:pPr>
      <w:r>
        <w:rPr>
          <w:rFonts w:hint="eastAsia" w:ascii="仿宋" w:hAnsi="仿宋" w:eastAsia="仿宋" w:cs="仿宋"/>
          <w:sz w:val="28"/>
          <w:szCs w:val="28"/>
        </w:rPr>
        <w:t>（2）残疾人福利单位需按照采购文件的要求提供《残疾人福利性单位声明函》。</w:t>
      </w:r>
    </w:p>
    <w:p w14:paraId="191DF467">
      <w:pPr>
        <w:spacing w:line="360" w:lineRule="auto"/>
        <w:ind w:left="210" w:leftChars="100" w:firstLine="560" w:firstLineChars="200"/>
        <w:rPr>
          <w:rFonts w:ascii="仿宋" w:hAnsi="仿宋" w:eastAsia="仿宋" w:cs="仿宋"/>
          <w:sz w:val="28"/>
          <w:szCs w:val="28"/>
        </w:rPr>
      </w:pPr>
      <w:r>
        <w:rPr>
          <w:rFonts w:hint="eastAsia" w:ascii="仿宋" w:hAnsi="仿宋" w:eastAsia="仿宋" w:cs="仿宋"/>
          <w:sz w:val="28"/>
          <w:szCs w:val="28"/>
        </w:rPr>
        <w:t>（3）残疾人福利单位标准请参照《关于促进残疾人就业政府采购政策的通知》（财库〔2017〕141号）。</w:t>
      </w:r>
    </w:p>
    <w:p w14:paraId="2D35BFED">
      <w:pPr>
        <w:spacing w:line="360" w:lineRule="auto"/>
        <w:ind w:left="210" w:leftChars="100" w:firstLine="560" w:firstLineChars="200"/>
        <w:rPr>
          <w:rFonts w:ascii="仿宋" w:hAnsi="仿宋" w:eastAsia="仿宋" w:cs="仿宋"/>
          <w:sz w:val="28"/>
          <w:szCs w:val="28"/>
        </w:rPr>
      </w:pPr>
      <w:r>
        <w:rPr>
          <w:rFonts w:hint="eastAsia" w:ascii="仿宋" w:hAnsi="仿宋" w:eastAsia="仿宋" w:cs="仿宋"/>
          <w:sz w:val="28"/>
          <w:szCs w:val="28"/>
        </w:rPr>
        <w:t>3.监狱和戒毒企业价格扣除</w:t>
      </w:r>
    </w:p>
    <w:p w14:paraId="0210BCE5">
      <w:pPr>
        <w:spacing w:line="360" w:lineRule="auto"/>
        <w:ind w:left="210" w:leftChars="100" w:firstLine="560" w:firstLineChars="200"/>
        <w:rPr>
          <w:rFonts w:ascii="仿宋" w:hAnsi="仿宋" w:eastAsia="仿宋" w:cs="仿宋"/>
          <w:sz w:val="28"/>
          <w:szCs w:val="28"/>
        </w:rPr>
      </w:pPr>
      <w:r>
        <w:rPr>
          <w:rFonts w:hint="eastAsia" w:ascii="仿宋" w:hAnsi="仿宋" w:eastAsia="仿宋" w:cs="仿宋"/>
          <w:sz w:val="28"/>
          <w:szCs w:val="28"/>
        </w:rPr>
        <w:t>（1）本项目对监狱和戒毒企业（简称监狱企业）给予10%的价格扣除，用扣除后的价格参与评审。</w:t>
      </w:r>
    </w:p>
    <w:p w14:paraId="572B4FD8">
      <w:pPr>
        <w:spacing w:line="360" w:lineRule="auto"/>
        <w:ind w:left="210" w:leftChars="100" w:firstLine="560" w:firstLineChars="200"/>
        <w:rPr>
          <w:rFonts w:ascii="仿宋" w:hAnsi="仿宋" w:eastAsia="仿宋" w:cs="仿宋"/>
          <w:sz w:val="28"/>
          <w:szCs w:val="28"/>
        </w:rPr>
      </w:pPr>
      <w:r>
        <w:rPr>
          <w:rFonts w:hint="eastAsia" w:ascii="仿宋" w:hAnsi="仿宋" w:eastAsia="仿宋" w:cs="仿宋"/>
          <w:sz w:val="28"/>
          <w:szCs w:val="28"/>
        </w:rPr>
        <w:t>（2）监狱企业参加政府采购活动时，需提供由省级以上监狱管理局、戒毒管理局(含新疆生产建设兵团)出具的属于监狱企业的证明文件。供应商如不提供上述证明文件，价格将不做相应扣除。</w:t>
      </w:r>
    </w:p>
    <w:p w14:paraId="33A2E338">
      <w:pPr>
        <w:spacing w:line="360" w:lineRule="auto"/>
        <w:ind w:left="210" w:leftChars="100" w:firstLine="560" w:firstLineChars="200"/>
        <w:rPr>
          <w:rFonts w:ascii="仿宋" w:hAnsi="仿宋" w:eastAsia="仿宋" w:cs="仿宋"/>
          <w:sz w:val="28"/>
          <w:szCs w:val="28"/>
        </w:rPr>
      </w:pPr>
      <w:r>
        <w:rPr>
          <w:rFonts w:hint="eastAsia" w:ascii="仿宋" w:hAnsi="仿宋" w:eastAsia="仿宋" w:cs="仿宋"/>
          <w:sz w:val="28"/>
          <w:szCs w:val="28"/>
        </w:rPr>
        <w:t>（3）监狱企业标准请参照《关于政府采购支持监狱企业发展有关问题的通知》（财库[2014]68号）。</w:t>
      </w:r>
    </w:p>
    <w:p w14:paraId="0AF3AC58">
      <w:pPr>
        <w:spacing w:line="360" w:lineRule="auto"/>
        <w:ind w:left="210" w:leftChars="100" w:firstLine="560" w:firstLineChars="200"/>
        <w:rPr>
          <w:rFonts w:ascii="仿宋" w:hAnsi="仿宋" w:eastAsia="仿宋" w:cs="仿宋"/>
          <w:sz w:val="28"/>
          <w:szCs w:val="28"/>
        </w:rPr>
      </w:pPr>
      <w:r>
        <w:rPr>
          <w:rFonts w:hint="eastAsia" w:ascii="仿宋" w:hAnsi="仿宋" w:eastAsia="仿宋" w:cs="仿宋"/>
          <w:sz w:val="28"/>
          <w:szCs w:val="28"/>
        </w:rPr>
        <w:t>4.残疾人福利单位、监狱企业属于小型、微型企业的，不重复享受政策。</w:t>
      </w:r>
    </w:p>
    <w:p w14:paraId="41276D02">
      <w:pPr>
        <w:spacing w:line="360" w:lineRule="auto"/>
        <w:ind w:left="210" w:leftChars="100" w:firstLine="560" w:firstLineChars="200"/>
        <w:rPr>
          <w:rFonts w:ascii="仿宋" w:hAnsi="仿宋" w:eastAsia="仿宋" w:cs="仿宋"/>
          <w:sz w:val="28"/>
          <w:szCs w:val="28"/>
        </w:rPr>
      </w:pPr>
      <w:r>
        <w:rPr>
          <w:rFonts w:hint="eastAsia" w:ascii="仿宋" w:hAnsi="仿宋" w:eastAsia="仿宋" w:cs="仿宋"/>
          <w:sz w:val="28"/>
          <w:szCs w:val="28"/>
        </w:rPr>
        <w:t>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用扣除后的价格参与评审。</w:t>
      </w:r>
    </w:p>
    <w:p w14:paraId="208DB2AE">
      <w:pPr>
        <w:pStyle w:val="14"/>
        <w:rPr>
          <w:color w:val="auto"/>
        </w:rPr>
      </w:pPr>
      <w:r>
        <w:rPr>
          <w:rFonts w:hint="eastAsia"/>
          <w:color w:val="auto"/>
        </w:rPr>
        <w:t>6.联合体各方均为小型、微型企业（残疾人福利单位、监狱企业）的，联合体享受上述同类价格扣除，用扣除后的价格参与评审。</w:t>
      </w:r>
    </w:p>
    <w:p w14:paraId="770C8597">
      <w:pPr>
        <w:pStyle w:val="3"/>
      </w:pPr>
      <w:r>
        <w:rPr>
          <w:rFonts w:hint="eastAsia"/>
        </w:rPr>
        <w:t>九、中标人的确定</w:t>
      </w:r>
    </w:p>
    <w:p w14:paraId="366DDD8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评委会汇总各评委评分后，推荐得分最高的供应商为中标供应商。如出现相同最高分，按投标报价低的推荐为中标供应商；如得分且投标报价相同的，由评委会根据技术指标优劣，优者推荐为中标供应商。评委会写出评标报告。</w:t>
      </w:r>
    </w:p>
    <w:p w14:paraId="2FD85EA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评委对中标供应商报价总表和明细表进行审核，应确保供应商投标报价是否前后一致、大小写金额是否一致、总价金额与单价汇总金额是否一致。对过高或过低报价的并作为中标供应商的，应重点审核报价明细表有否重大重复报价或漏项报价等情况，一经发现现场请中标供应商予以澄清，明显过错或不能澄清的，经超半数以上评委认定，有权取消供应商中标资格。</w:t>
      </w:r>
    </w:p>
    <w:p w14:paraId="1AB3377C">
      <w:pPr>
        <w:pStyle w:val="3"/>
      </w:pPr>
      <w:r>
        <w:rPr>
          <w:rFonts w:hint="eastAsia"/>
        </w:rPr>
        <w:t>十、其他注意事项</w:t>
      </w:r>
    </w:p>
    <w:p w14:paraId="6864403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1、在投标、开标时间，供应商不得向评委询问情况，不得进行旨在影响评标结果的活动。</w:t>
      </w:r>
    </w:p>
    <w:p w14:paraId="6900C30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2、评委会不得向供应商解释落标原因。</w:t>
      </w:r>
    </w:p>
    <w:p w14:paraId="5D474BE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3、在投标、评标过程中，如果供应商联合故意抬高报价或出现其他不正当行为，采购人有权中止投标或评标。</w:t>
      </w:r>
    </w:p>
    <w:p w14:paraId="1337744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4、凡在投标、开标过程中，采购人已提示是否存在异议的事项，供应商当时没有提出异议的，事后供应商不得针对上述事项提出质疑。</w:t>
      </w:r>
    </w:p>
    <w:p w14:paraId="517554DC">
      <w:pPr>
        <w:pStyle w:val="3"/>
      </w:pPr>
      <w:r>
        <w:rPr>
          <w:rFonts w:hint="eastAsia"/>
        </w:rPr>
        <w:t>十一、中标通知</w:t>
      </w:r>
    </w:p>
    <w:p w14:paraId="1D45602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中标结果在网站上公示</w:t>
      </w:r>
      <w:r>
        <w:rPr>
          <w:rFonts w:ascii="仿宋" w:hAnsi="仿宋" w:eastAsia="仿宋" w:cs="仿宋"/>
          <w:sz w:val="28"/>
          <w:szCs w:val="28"/>
        </w:rPr>
        <w:t>1</w:t>
      </w:r>
      <w:r>
        <w:rPr>
          <w:rFonts w:hint="eastAsia" w:ascii="仿宋" w:hAnsi="仿宋" w:eastAsia="仿宋" w:cs="仿宋"/>
          <w:sz w:val="28"/>
          <w:szCs w:val="28"/>
        </w:rPr>
        <w:t>个工作日。《中标通知书》一经发出，如采购单位改变中标结果，或者中标供应商放弃中标的，各自承担相应的法律责任。《中标通知书》是采购合同的组成部分。</w:t>
      </w:r>
    </w:p>
    <w:p w14:paraId="0987798A">
      <w:pPr>
        <w:pStyle w:val="14"/>
      </w:pPr>
      <w:r>
        <w:br w:type="page"/>
      </w:r>
    </w:p>
    <w:p w14:paraId="2D4E58C8">
      <w:pPr>
        <w:pStyle w:val="2"/>
      </w:pPr>
      <w:bookmarkStart w:id="10" w:name="_Toc178167496"/>
      <w:bookmarkStart w:id="11" w:name="_Toc99106006"/>
      <w:r>
        <w:rPr>
          <w:rFonts w:hint="eastAsia"/>
        </w:rPr>
        <w:t>第五章 合同签订与验收付款</w:t>
      </w:r>
      <w:bookmarkEnd w:id="10"/>
      <w:bookmarkEnd w:id="11"/>
    </w:p>
    <w:p w14:paraId="31B0CC9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一、中标供应商在接到《中标通知书》后</w:t>
      </w:r>
      <w:r>
        <w:rPr>
          <w:rFonts w:ascii="仿宋" w:hAnsi="仿宋" w:eastAsia="仿宋" w:cs="仿宋"/>
          <w:sz w:val="28"/>
          <w:szCs w:val="28"/>
        </w:rPr>
        <w:t>5</w:t>
      </w:r>
      <w:r>
        <w:rPr>
          <w:rFonts w:hint="eastAsia" w:ascii="仿宋" w:hAnsi="仿宋" w:eastAsia="仿宋" w:cs="仿宋"/>
          <w:sz w:val="28"/>
          <w:szCs w:val="28"/>
        </w:rPr>
        <w:t>个工作日内和采购单位签订合同。合同签订后中标供应商方可履约，否则引起的一切后果由中标人自行承担。合同一式两份（采购单位、供应商各一份）。所签合同不得对采购文件作实质性修改。采购单位不得向中标供应商提出不合理的要求作为签订合同的条件，不得与中标供应商私下订立背离采购文件实质性内容的协议。</w:t>
      </w:r>
    </w:p>
    <w:p w14:paraId="66A5B82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w:t>
      </w:r>
      <w:bookmarkStart w:id="12" w:name="OLE_LINK1"/>
      <w:bookmarkStart w:id="13" w:name="OLE_LINK2"/>
      <w:r>
        <w:rPr>
          <w:rFonts w:hint="eastAsia" w:ascii="仿宋" w:hAnsi="仿宋" w:eastAsia="仿宋" w:cs="仿宋"/>
          <w:sz w:val="28"/>
          <w:szCs w:val="28"/>
        </w:rPr>
        <w:t>采购单位按合同约定积极配合中标供应商履约，中标供应商履约到位后，请以书面形式向采购单位提出验收申请，采购单位接到申请后原则上在5个工作日内及时组织相关专业技术人员，必要时邀请采购人、质检等部门共同参与验收，并出具验收报告，验收合格的原则上5个工作日内支付相应款项。</w:t>
      </w:r>
    </w:p>
    <w:p w14:paraId="7E97E28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采购单位故意推迟项目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14:paraId="23DA2DC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中标供应商出现违约情形，应当及时纠正或补偿；造成损失的，按合同约定追究违约责任；发现有假冒、伪劣、走私产品、商业贿赂等违法情形的，应由采购单位移交工商、质监、公安等行政执法部门依法查处。</w:t>
      </w:r>
    </w:p>
    <w:p w14:paraId="041A47B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五、不响应付款方式的，视同无效投标处理。</w:t>
      </w:r>
    </w:p>
    <w:p w14:paraId="7F3E01F5">
      <w:pPr>
        <w:pStyle w:val="14"/>
        <w:rPr>
          <w:lang w:val="zh-CN"/>
        </w:rPr>
      </w:pPr>
      <w:r>
        <w:rPr>
          <w:rFonts w:hint="eastAsia"/>
        </w:rPr>
        <w:t>提交测评报告后,采购人于10个工作日内一次性支付合同金额</w:t>
      </w:r>
      <w:r>
        <w:rPr>
          <w:rFonts w:hint="eastAsia"/>
          <w:kern w:val="0"/>
        </w:rPr>
        <w:t>。</w:t>
      </w:r>
      <w:r>
        <w:rPr>
          <w:rFonts w:hint="eastAsia"/>
        </w:rPr>
        <w:t>款项由采购人按相关财务支付规定办理支付手续。不得故意拖延支付时间。</w:t>
      </w:r>
      <w:bookmarkEnd w:id="12"/>
      <w:bookmarkEnd w:id="13"/>
    </w:p>
    <w:p w14:paraId="08DE02FA">
      <w:pPr>
        <w:pStyle w:val="2"/>
      </w:pPr>
      <w:bookmarkStart w:id="14" w:name="_Toc99106007"/>
      <w:bookmarkStart w:id="15" w:name="_Toc178167497"/>
      <w:r>
        <w:rPr>
          <w:rFonts w:hint="eastAsia"/>
        </w:rPr>
        <w:t>第六章 质疑提出和处理</w:t>
      </w:r>
      <w:bookmarkEnd w:id="14"/>
      <w:bookmarkEnd w:id="15"/>
    </w:p>
    <w:p w14:paraId="4824E4B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一、质疑的提出</w:t>
      </w:r>
    </w:p>
    <w:p w14:paraId="4A68488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1、质疑人必须是直接参加本次招标活动的当事人。</w:t>
      </w:r>
    </w:p>
    <w:p w14:paraId="1DB263E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领取招标文件的供应商应根据第二部分“投标须知”中“第一款”“第1项”的约定提出；投标文件接收截止后，供应商未进行投标登记的，不能就投标文件接收截止后的招标过程、中标结果提出质疑；在开标评标过程中，凡主持人或评委明确提出须由供应商确认的事项，供应商当场无异议的，事后不得提出质疑。</w:t>
      </w:r>
    </w:p>
    <w:p w14:paraId="5FAEF24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559250F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14:paraId="6938B0C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对不能提供相关佐证材料的、涉及商业秘密的、非书面形式的、非送达的、匿名的《质疑函》将不予受理。</w:t>
      </w:r>
    </w:p>
    <w:p w14:paraId="3EE3949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相关佐证材料要具备客观性、关联性、合法性，无法查实的（如宣传册、媒体报道、猜测、推理等）不能作为佐证材料。</w:t>
      </w:r>
    </w:p>
    <w:p w14:paraId="3BC8692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采购人、采购单位不负责搜集相关佐证材料等工作。</w:t>
      </w:r>
    </w:p>
    <w:p w14:paraId="1277DB0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二、《质疑函》的受理和回复</w:t>
      </w:r>
    </w:p>
    <w:p w14:paraId="1B19B8A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1、《质疑函》须由质疑人的法定代表人或参加本次招标授权人送达采购单位和采购人。</w:t>
      </w:r>
    </w:p>
    <w:p w14:paraId="44CD280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对符合提出质疑要求的，采购单位和采购人签收并出具《质疑受理通知书》。在处理过程中，发现需要质疑人进一步补充相关佐证材料的，请质疑人在规定的时间内提供，质疑回复时间相应顺延。质疑人不能按时提供相关佐证材料的，视同放弃质疑。</w:t>
      </w:r>
    </w:p>
    <w:p w14:paraId="0D861E3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3、对不符合提出质疑要求的，出具《质疑退回通知书》并提出相关补充材料要求，质疑人未在规定的时间内提供补充佐证材料的，视同放弃质疑。</w:t>
      </w:r>
    </w:p>
    <w:p w14:paraId="6D42E7B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4、采购单位、采购人负责将质疑人提出的质疑相关材料提供给相关专家或评委审核，并将审核意见回复质疑人。</w:t>
      </w:r>
    </w:p>
    <w:p w14:paraId="3AC15F3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必要时，可向被质疑人转发《质疑函》及相关佐证材料。被质疑人应当在要求的时间内，以书面形式作出说明，并提交相关证据。被质疑人在规定时间内，无正当理由未提交相关证据的，视同放弃说明权利，认可被质疑事项。</w:t>
      </w:r>
    </w:p>
    <w:p w14:paraId="276E3F6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5、因质疑情况复杂，组织论证或审查时间较长的，采购单位、采购人以书面形式通知质疑人，可适当延长质疑回复处理时间。</w:t>
      </w:r>
    </w:p>
    <w:p w14:paraId="4B8359B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三、质疑处理</w:t>
      </w:r>
    </w:p>
    <w:p w14:paraId="0916832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1、质疑成立的处理。采购人终止采购，并建议有关部门给相关当事人予以处理。</w:t>
      </w:r>
    </w:p>
    <w:p w14:paraId="3FB21A5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2、质疑不成立的处理。</w:t>
      </w:r>
    </w:p>
    <w:p w14:paraId="2EA8D3F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1）质疑人书面《申请撤回质疑函》的，不作违约处理。</w:t>
      </w:r>
    </w:p>
    <w:p w14:paraId="1DD8A79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2）质疑人在规定的时间内不配合进行质疑调查处理的，按自动撤回《质疑函》处理。</w:t>
      </w:r>
    </w:p>
    <w:p w14:paraId="1BA10A5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3）质疑人不按《质疑函》格式就提出质疑的，作违约处理。采购人有权收取其保证金的10%作为违约金；同时，视情列入不良供应商名单。</w:t>
      </w:r>
    </w:p>
    <w:p w14:paraId="0C15987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质疑人虽提供了相关佐证材料，但不能证明其质疑成立的，采购人请质疑人补充相关佐证材料，仍不能证明其质疑成立的，作违约处理。采购人有权收取其保证金的50%作为违约金；同时，列入不良供应商名单。</w:t>
      </w:r>
    </w:p>
    <w:p w14:paraId="3386312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5）质疑人不能提供相关佐证材料的，采购人已指出，质疑人仍然坚持提出质疑的，作违约处理。采购人有权收取其保证金的100%作为违约金；取消相应会员资格6个月，同时，列入不良供应商名单。</w:t>
      </w:r>
    </w:p>
    <w:p w14:paraId="3E18293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对明显有违背事实的、经相关专家或评委认定无依据的、经其他供应商举证无依据的质疑，作违约处理，采购人有权取消其会员资格，收取其保证金的100%作为违约金，列入不良供应商名单；同时，对其中每一项不成立的质疑给予质疑人1年内禁入由采购人组织的政府采购活动的违约处理，依次类推；视情在南通市公共资源交易网及省、国家级相关媒体予以披露。</w:t>
      </w:r>
    </w:p>
    <w:p w14:paraId="3FF1F57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7）质疑人承担使用虚假材料或恶意方式质疑的法律责任。</w:t>
      </w:r>
    </w:p>
    <w:p w14:paraId="406322A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无佐证材料的举报作违约处理。供应商不得进行不提供相关佐证材料（含无法查实的如宣传册、媒体报道、猜测、推理等）向有关部门的举报，否则作违约处理。采购人有权取消其相应的会员资格，同时对其在1至3年内禁入由采购人组织的政府采购活动的违约处理。</w:t>
      </w:r>
    </w:p>
    <w:p w14:paraId="36348E7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五、投诉不成立的作违约处理。供应商进行质疑后，采购人回复质疑不成立，供应商仍进行投诉的，并最终投诉不成立的，作违约处理。采购人有权取消其相应的会员资格，同时对其在1至3年内禁入由采购人组织的政府采购活动的违约处理。</w:t>
      </w:r>
    </w:p>
    <w:p w14:paraId="194A87D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六、《质疑函》、《质疑回复函》，质疑、举报、投诉不成立的等相关情况，视情在南通市公共资源交易网及省、国家级等相关媒体予以披露。并建议相关政府采购机构对该供应商同步实施1至3年内禁入。</w:t>
      </w:r>
    </w:p>
    <w:p w14:paraId="5B49C1FB">
      <w:pPr>
        <w:widowControl/>
        <w:spacing w:line="360" w:lineRule="auto"/>
        <w:jc w:val="left"/>
        <w:rPr>
          <w:rFonts w:ascii="仿宋" w:hAnsi="仿宋" w:eastAsia="仿宋" w:cs="仿宋"/>
          <w:sz w:val="28"/>
          <w:szCs w:val="28"/>
        </w:rPr>
      </w:pPr>
      <w:r>
        <w:rPr>
          <w:rFonts w:ascii="仿宋" w:hAnsi="仿宋" w:eastAsia="仿宋" w:cs="仿宋"/>
          <w:sz w:val="28"/>
          <w:szCs w:val="28"/>
        </w:rPr>
        <w:br w:type="page"/>
      </w:r>
    </w:p>
    <w:p w14:paraId="37A39E97">
      <w:pPr>
        <w:pStyle w:val="2"/>
      </w:pPr>
      <w:bookmarkStart w:id="16" w:name="_Toc178167498"/>
      <w:bookmarkStart w:id="17" w:name="_Toc99106008"/>
      <w:r>
        <w:rPr>
          <w:rFonts w:hint="eastAsia"/>
        </w:rPr>
        <w:t>第七章 投标文件组成</w:t>
      </w:r>
      <w:bookmarkEnd w:id="16"/>
      <w:bookmarkEnd w:id="17"/>
    </w:p>
    <w:p w14:paraId="1B07C99F">
      <w:pPr>
        <w:spacing w:line="360" w:lineRule="auto"/>
        <w:ind w:firstLine="560" w:firstLineChars="200"/>
        <w:rPr>
          <w:rFonts w:ascii="仿宋" w:hAnsi="仿宋" w:eastAsia="仿宋" w:cs="仿宋"/>
          <w:sz w:val="28"/>
          <w:szCs w:val="28"/>
        </w:rPr>
      </w:pPr>
      <w:bookmarkStart w:id="18" w:name="_Toc167781240"/>
      <w:r>
        <w:rPr>
          <w:rFonts w:hint="eastAsia" w:ascii="仿宋" w:hAnsi="仿宋" w:eastAsia="仿宋" w:cs="仿宋"/>
          <w:sz w:val="28"/>
          <w:szCs w:val="28"/>
        </w:rPr>
        <w:t>投标文件由资格审查证明材料、商务技术文件、报价文件三部分组成。</w:t>
      </w:r>
    </w:p>
    <w:p w14:paraId="14CE862C">
      <w:pPr>
        <w:spacing w:line="360" w:lineRule="auto"/>
        <w:ind w:firstLine="560" w:firstLineChars="200"/>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一</w:t>
      </w:r>
      <w:r>
        <w:rPr>
          <w:rFonts w:ascii="仿宋" w:hAnsi="仿宋" w:eastAsia="仿宋" w:cs="仿宋"/>
          <w:sz w:val="28"/>
          <w:szCs w:val="28"/>
        </w:rPr>
        <w:t>）</w:t>
      </w:r>
      <w:r>
        <w:rPr>
          <w:rFonts w:hint="eastAsia" w:ascii="仿宋" w:hAnsi="仿宋" w:eastAsia="仿宋" w:cs="仿宋"/>
          <w:sz w:val="28"/>
          <w:szCs w:val="28"/>
        </w:rPr>
        <w:t>资格审查文件（一份正本和二份副本）</w:t>
      </w:r>
    </w:p>
    <w:p w14:paraId="51FDFC4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1、营业执照复印件；</w:t>
      </w:r>
    </w:p>
    <w:p w14:paraId="17C530A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2、法定代表人授权委托书及本人身份证复印件（见附件）；</w:t>
      </w:r>
    </w:p>
    <w:p w14:paraId="02E7405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3、提供符合《政府采购法》第二十二条要求的承诺函（见附件）；</w:t>
      </w:r>
    </w:p>
    <w:p w14:paraId="7C9D329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w:t>
      </w:r>
      <w:r>
        <w:rPr>
          <w:rFonts w:hint="eastAsia" w:ascii="仿宋" w:hAnsi="仿宋" w:eastAsia="仿宋" w:cs="仿宋"/>
          <w:sz w:val="28"/>
          <w:szCs w:val="28"/>
        </w:rPr>
        <w:t>投标承诺书（见附件）；</w:t>
      </w:r>
    </w:p>
    <w:p w14:paraId="35AB6A0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5、中小企业声明函（或残疾人福利性单位声明函或监狱企业的证明，格式见附件）。</w:t>
      </w:r>
    </w:p>
    <w:p w14:paraId="0C1094B3">
      <w:pPr>
        <w:spacing w:line="360" w:lineRule="auto"/>
        <w:ind w:firstLine="560" w:firstLineChars="200"/>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二</w:t>
      </w:r>
      <w:r>
        <w:rPr>
          <w:rFonts w:ascii="仿宋" w:hAnsi="仿宋" w:eastAsia="仿宋" w:cs="仿宋"/>
          <w:sz w:val="28"/>
          <w:szCs w:val="28"/>
        </w:rPr>
        <w:t>）</w:t>
      </w:r>
      <w:r>
        <w:rPr>
          <w:rFonts w:hint="eastAsia" w:ascii="仿宋" w:hAnsi="仿宋" w:eastAsia="仿宋" w:cs="仿宋"/>
          <w:sz w:val="28"/>
          <w:szCs w:val="28"/>
        </w:rPr>
        <w:t>商务技术文件（不得出现报价）（一份正本和二份副本）</w:t>
      </w:r>
    </w:p>
    <w:p w14:paraId="732542EF">
      <w:pPr>
        <w:spacing w:line="360" w:lineRule="auto"/>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、竞争性磋商响应函（见附件）；</w:t>
      </w:r>
    </w:p>
    <w:p w14:paraId="7785B59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2、商务部分正负偏离表（见附件）；</w:t>
      </w:r>
    </w:p>
    <w:p w14:paraId="5F948246">
      <w:pPr>
        <w:spacing w:line="360" w:lineRule="auto"/>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、技术部分正负偏离表（见附件）；</w:t>
      </w:r>
    </w:p>
    <w:p w14:paraId="5F56B39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4、技术服务方案、货物（服务）清单。具有项目、数量、品牌、型号、配置性能等；</w:t>
      </w:r>
    </w:p>
    <w:p w14:paraId="1C345A8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5、为方便评委评审，请供应商按评审办法中所涉及的事项顺序进行编制，可以补充相关材料；</w:t>
      </w:r>
    </w:p>
    <w:p w14:paraId="1F80FEF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6、评审办法中未涉及的事项，供应商认为需要提交的其他资料。</w:t>
      </w:r>
    </w:p>
    <w:p w14:paraId="32C276D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w:t>
      </w:r>
      <w:r>
        <w:rPr>
          <w:rFonts w:hint="eastAsia" w:ascii="仿宋" w:hAnsi="仿宋" w:eastAsia="仿宋" w:cs="仿宋"/>
          <w:bCs/>
          <w:sz w:val="28"/>
          <w:szCs w:val="28"/>
        </w:rPr>
        <w:t>报价文件（</w:t>
      </w:r>
      <w:r>
        <w:rPr>
          <w:rFonts w:hint="eastAsia" w:ascii="仿宋" w:hAnsi="仿宋" w:eastAsia="仿宋" w:cs="仿宋"/>
          <w:b/>
          <w:bCs/>
          <w:sz w:val="28"/>
          <w:szCs w:val="28"/>
        </w:rPr>
        <w:t>不得出现在资格审查文件和商务技术文件中）</w:t>
      </w:r>
      <w:r>
        <w:rPr>
          <w:rFonts w:hint="eastAsia" w:ascii="仿宋" w:hAnsi="仿宋" w:eastAsia="仿宋" w:cs="仿宋"/>
          <w:sz w:val="28"/>
          <w:szCs w:val="28"/>
        </w:rPr>
        <w:t>（一份正本和二份副本）</w:t>
      </w:r>
    </w:p>
    <w:p w14:paraId="6954FA0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1、投标报价总表（见附件）；</w:t>
      </w:r>
    </w:p>
    <w:p w14:paraId="7C08D10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2、投标报价明细表（格式自拟）；</w:t>
      </w:r>
    </w:p>
    <w:p w14:paraId="79480EB9">
      <w:pPr>
        <w:keepNext/>
        <w:keepLines/>
        <w:spacing w:before="156" w:after="156" w:line="360" w:lineRule="auto"/>
        <w:jc w:val="left"/>
        <w:outlineLvl w:val="0"/>
        <w:rPr>
          <w:rFonts w:ascii="仿宋" w:hAnsi="仿宋" w:eastAsia="仿宋" w:cs="仿宋"/>
          <w:b/>
          <w:bCs/>
          <w:kern w:val="44"/>
          <w:sz w:val="32"/>
          <w:szCs w:val="32"/>
        </w:rPr>
      </w:pPr>
      <w:bookmarkStart w:id="19" w:name="_Toc178167499"/>
      <w:r>
        <w:rPr>
          <w:rFonts w:hint="eastAsia" w:ascii="仿宋" w:hAnsi="仿宋" w:eastAsia="仿宋" w:cs="仿宋"/>
          <w:b/>
          <w:bCs/>
          <w:kern w:val="44"/>
          <w:sz w:val="32"/>
          <w:szCs w:val="32"/>
        </w:rPr>
        <w:t>附件</w:t>
      </w:r>
      <w:bookmarkEnd w:id="18"/>
      <w:bookmarkEnd w:id="19"/>
    </w:p>
    <w:p w14:paraId="5C69C1EC">
      <w:pPr>
        <w:rPr>
          <w:rFonts w:ascii="仿宋" w:hAnsi="仿宋" w:eastAsia="仿宋"/>
        </w:rPr>
      </w:pPr>
    </w:p>
    <w:p w14:paraId="6041582B">
      <w:pPr>
        <w:rPr>
          <w:rFonts w:ascii="仿宋" w:hAnsi="仿宋" w:eastAsia="仿宋"/>
        </w:rPr>
      </w:pPr>
    </w:p>
    <w:p w14:paraId="45E056DE">
      <w:pPr>
        <w:keepNext/>
        <w:keepLines/>
        <w:spacing w:before="156" w:after="156" w:line="416" w:lineRule="auto"/>
        <w:ind w:firstLine="562"/>
        <w:jc w:val="center"/>
        <w:outlineLvl w:val="1"/>
        <w:rPr>
          <w:rFonts w:ascii="仿宋" w:hAnsi="仿宋" w:eastAsia="仿宋" w:cs="仿宋"/>
          <w:b/>
          <w:bCs/>
          <w:sz w:val="28"/>
          <w:szCs w:val="28"/>
        </w:rPr>
      </w:pPr>
      <w:r>
        <w:rPr>
          <w:rFonts w:hint="eastAsia" w:ascii="仿宋" w:hAnsi="仿宋" w:eastAsia="仿宋" w:cs="仿宋"/>
          <w:b/>
          <w:bCs/>
          <w:sz w:val="28"/>
          <w:szCs w:val="28"/>
        </w:rPr>
        <w:t>一、法定代表人身份证明书</w:t>
      </w:r>
    </w:p>
    <w:p w14:paraId="4A71560B">
      <w:pPr>
        <w:widowControl/>
        <w:spacing w:line="360" w:lineRule="auto"/>
        <w:ind w:firstLine="560" w:firstLineChars="200"/>
        <w:jc w:val="left"/>
        <w:rPr>
          <w:rFonts w:ascii="仿宋" w:hAnsi="仿宋" w:eastAsia="仿宋"/>
          <w:sz w:val="28"/>
          <w:szCs w:val="28"/>
          <w:u w:val="single"/>
        </w:rPr>
      </w:pPr>
    </w:p>
    <w:p w14:paraId="78FEC433">
      <w:pPr>
        <w:widowControl/>
        <w:spacing w:line="360" w:lineRule="auto"/>
        <w:ind w:firstLine="840" w:firstLineChars="3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 xml:space="preserve"> 先生/女士：现任我单位</w:t>
      </w:r>
      <w:r>
        <w:rPr>
          <w:rFonts w:hint="eastAsia" w:ascii="仿宋" w:hAnsi="仿宋" w:eastAsia="仿宋"/>
          <w:sz w:val="28"/>
          <w:szCs w:val="28"/>
          <w:u w:val="single"/>
        </w:rPr>
        <w:t xml:space="preserve">      </w:t>
      </w:r>
      <w:r>
        <w:rPr>
          <w:rFonts w:hint="eastAsia" w:ascii="仿宋" w:hAnsi="仿宋" w:eastAsia="仿宋"/>
          <w:sz w:val="28"/>
          <w:szCs w:val="28"/>
        </w:rPr>
        <w:t>职务，为法定代表人，特此证明。</w:t>
      </w:r>
    </w:p>
    <w:p w14:paraId="60B9E16B">
      <w:pPr>
        <w:widowControl/>
        <w:spacing w:line="360" w:lineRule="auto"/>
        <w:ind w:firstLine="840" w:firstLineChars="300"/>
        <w:jc w:val="left"/>
        <w:rPr>
          <w:rFonts w:ascii="仿宋" w:hAnsi="仿宋" w:eastAsia="仿宋"/>
          <w:sz w:val="28"/>
          <w:szCs w:val="28"/>
        </w:rPr>
      </w:pPr>
      <w:r>
        <w:rPr>
          <w:rFonts w:hint="eastAsia" w:ascii="仿宋" w:hAnsi="仿宋" w:eastAsia="仿宋"/>
          <w:sz w:val="28"/>
          <w:szCs w:val="28"/>
        </w:rPr>
        <w:t>身份证号码：</w:t>
      </w:r>
      <w:r>
        <w:rPr>
          <w:rFonts w:hint="eastAsia" w:ascii="仿宋" w:hAnsi="仿宋" w:eastAsia="仿宋"/>
          <w:sz w:val="28"/>
          <w:szCs w:val="28"/>
          <w:u w:val="single"/>
        </w:rPr>
        <w:t xml:space="preserve">                    </w:t>
      </w:r>
    </w:p>
    <w:p w14:paraId="5609C0AD">
      <w:pPr>
        <w:widowControl/>
        <w:spacing w:line="360" w:lineRule="auto"/>
        <w:jc w:val="left"/>
        <w:rPr>
          <w:rFonts w:ascii="仿宋" w:hAnsi="仿宋" w:eastAsia="仿宋"/>
          <w:sz w:val="28"/>
          <w:szCs w:val="28"/>
        </w:rPr>
      </w:pPr>
    </w:p>
    <w:p w14:paraId="4F31A1E3">
      <w:pPr>
        <w:widowControl/>
        <w:spacing w:line="360" w:lineRule="auto"/>
        <w:ind w:firstLine="840" w:firstLineChars="300"/>
        <w:jc w:val="left"/>
        <w:rPr>
          <w:rFonts w:ascii="仿宋" w:hAnsi="仿宋" w:eastAsia="仿宋"/>
          <w:sz w:val="28"/>
          <w:szCs w:val="28"/>
        </w:rPr>
      </w:pPr>
      <w:r>
        <w:rPr>
          <w:rFonts w:hint="eastAsia" w:ascii="仿宋" w:hAnsi="仿宋" w:eastAsia="仿宋"/>
          <w:sz w:val="28"/>
          <w:szCs w:val="28"/>
        </w:rPr>
        <w:t>注：提供法定代表人的身份证复印件并加盖公章</w:t>
      </w:r>
    </w:p>
    <w:p w14:paraId="3E1C50AA">
      <w:pPr>
        <w:spacing w:line="360" w:lineRule="auto"/>
        <w:ind w:firstLine="560"/>
        <w:rPr>
          <w:rFonts w:ascii="仿宋" w:hAnsi="仿宋" w:eastAsia="仿宋"/>
          <w:szCs w:val="24"/>
        </w:rPr>
      </w:pPr>
    </w:p>
    <w:p w14:paraId="5F4F635F">
      <w:pPr>
        <w:spacing w:line="360" w:lineRule="auto"/>
        <w:ind w:firstLine="560"/>
        <w:rPr>
          <w:rFonts w:ascii="仿宋" w:hAnsi="仿宋" w:eastAsia="仿宋"/>
          <w:szCs w:val="24"/>
        </w:rPr>
      </w:pPr>
    </w:p>
    <w:p w14:paraId="03A416A5">
      <w:pPr>
        <w:spacing w:line="360" w:lineRule="auto"/>
        <w:ind w:firstLine="560"/>
        <w:rPr>
          <w:rFonts w:ascii="仿宋" w:hAnsi="仿宋" w:eastAsia="仿宋"/>
          <w:szCs w:val="24"/>
        </w:rPr>
      </w:pPr>
    </w:p>
    <w:p w14:paraId="49057755">
      <w:pPr>
        <w:spacing w:line="360" w:lineRule="auto"/>
        <w:ind w:firstLine="560"/>
        <w:rPr>
          <w:rFonts w:ascii="仿宋" w:hAnsi="仿宋" w:eastAsia="仿宋"/>
          <w:szCs w:val="24"/>
        </w:rPr>
      </w:pPr>
    </w:p>
    <w:p w14:paraId="71BFC4FA">
      <w:pPr>
        <w:spacing w:line="360" w:lineRule="auto"/>
        <w:ind w:firstLine="560"/>
        <w:rPr>
          <w:rFonts w:ascii="仿宋" w:hAnsi="仿宋" w:eastAsia="仿宋"/>
          <w:szCs w:val="24"/>
        </w:rPr>
      </w:pPr>
    </w:p>
    <w:p w14:paraId="64F4A780">
      <w:pPr>
        <w:spacing w:line="360" w:lineRule="auto"/>
        <w:ind w:firstLine="560"/>
        <w:rPr>
          <w:rFonts w:ascii="仿宋" w:hAnsi="仿宋" w:eastAsia="仿宋"/>
          <w:szCs w:val="24"/>
        </w:rPr>
      </w:pPr>
    </w:p>
    <w:p w14:paraId="18CABCEF">
      <w:pPr>
        <w:spacing w:line="360" w:lineRule="auto"/>
        <w:ind w:firstLine="560"/>
        <w:rPr>
          <w:rFonts w:ascii="仿宋" w:hAnsi="仿宋" w:eastAsia="仿宋"/>
          <w:szCs w:val="24"/>
        </w:rPr>
      </w:pPr>
    </w:p>
    <w:p w14:paraId="34BED1BA">
      <w:pPr>
        <w:spacing w:line="360" w:lineRule="auto"/>
        <w:ind w:firstLine="560"/>
        <w:rPr>
          <w:rFonts w:ascii="仿宋" w:hAnsi="仿宋" w:eastAsia="仿宋"/>
          <w:szCs w:val="24"/>
        </w:rPr>
      </w:pPr>
    </w:p>
    <w:p w14:paraId="17808931">
      <w:pPr>
        <w:spacing w:line="360" w:lineRule="auto"/>
        <w:ind w:firstLine="560"/>
        <w:rPr>
          <w:rFonts w:ascii="仿宋" w:hAnsi="仿宋" w:eastAsia="仿宋"/>
          <w:szCs w:val="24"/>
        </w:rPr>
      </w:pPr>
    </w:p>
    <w:p w14:paraId="391BCE41">
      <w:pPr>
        <w:spacing w:line="360" w:lineRule="auto"/>
        <w:ind w:firstLine="560"/>
        <w:rPr>
          <w:rFonts w:ascii="仿宋" w:hAnsi="仿宋" w:eastAsia="仿宋"/>
          <w:szCs w:val="24"/>
        </w:rPr>
      </w:pPr>
    </w:p>
    <w:p w14:paraId="7AC468F4">
      <w:pPr>
        <w:widowControl/>
        <w:ind w:firstLine="562"/>
        <w:jc w:val="left"/>
        <w:rPr>
          <w:rFonts w:ascii="仿宋" w:hAnsi="仿宋" w:eastAsia="仿宋" w:cs="仿宋"/>
          <w:b/>
          <w:bCs/>
          <w:sz w:val="28"/>
          <w:szCs w:val="28"/>
        </w:rPr>
      </w:pPr>
      <w:r>
        <w:rPr>
          <w:rFonts w:ascii="仿宋" w:hAnsi="仿宋" w:eastAsia="仿宋" w:cs="仿宋"/>
          <w:b/>
          <w:bCs/>
          <w:sz w:val="28"/>
          <w:szCs w:val="28"/>
        </w:rPr>
        <w:br w:type="page"/>
      </w:r>
    </w:p>
    <w:p w14:paraId="5BFB5492">
      <w:pPr>
        <w:keepNext/>
        <w:keepLines/>
        <w:spacing w:before="156" w:after="156" w:line="416" w:lineRule="auto"/>
        <w:ind w:firstLine="562"/>
        <w:jc w:val="center"/>
        <w:outlineLvl w:val="1"/>
        <w:rPr>
          <w:rFonts w:ascii="仿宋" w:hAnsi="仿宋" w:eastAsia="仿宋" w:cs="仿宋"/>
          <w:b/>
          <w:bCs/>
          <w:sz w:val="28"/>
          <w:szCs w:val="28"/>
        </w:rPr>
      </w:pPr>
      <w:r>
        <w:rPr>
          <w:rFonts w:hint="eastAsia" w:ascii="仿宋" w:hAnsi="仿宋" w:eastAsia="仿宋" w:cs="仿宋"/>
          <w:b/>
          <w:bCs/>
          <w:sz w:val="28"/>
          <w:szCs w:val="28"/>
        </w:rPr>
        <w:t>二、法定代表人授权委托书</w:t>
      </w:r>
    </w:p>
    <w:p w14:paraId="53E84FA9">
      <w:pPr>
        <w:widowControl/>
        <w:spacing w:line="360" w:lineRule="auto"/>
        <w:ind w:firstLine="560" w:firstLineChars="200"/>
        <w:jc w:val="left"/>
        <w:rPr>
          <w:rFonts w:ascii="仿宋" w:hAnsi="仿宋" w:eastAsia="仿宋"/>
          <w:sz w:val="28"/>
          <w:szCs w:val="28"/>
        </w:rPr>
      </w:pPr>
    </w:p>
    <w:p w14:paraId="1244F272">
      <w:pPr>
        <w:widowControl/>
        <w:spacing w:line="360" w:lineRule="auto"/>
        <w:ind w:left="105" w:leftChars="50" w:firstLine="420" w:firstLineChars="150"/>
        <w:rPr>
          <w:rFonts w:ascii="仿宋" w:hAnsi="仿宋" w:eastAsia="仿宋"/>
          <w:sz w:val="28"/>
          <w:szCs w:val="28"/>
        </w:rPr>
      </w:pPr>
      <w:r>
        <w:rPr>
          <w:rFonts w:hint="eastAsia" w:ascii="仿宋" w:hAnsi="仿宋" w:eastAsia="仿宋"/>
          <w:sz w:val="28"/>
          <w:szCs w:val="28"/>
        </w:rPr>
        <w:t>本授权书声明：</w:t>
      </w:r>
      <w:r>
        <w:rPr>
          <w:rFonts w:hint="eastAsia" w:ascii="仿宋" w:hAnsi="仿宋" w:eastAsia="仿宋"/>
          <w:sz w:val="28"/>
          <w:szCs w:val="28"/>
          <w:u w:val="single"/>
        </w:rPr>
        <w:t xml:space="preserve">             </w:t>
      </w:r>
      <w:r>
        <w:rPr>
          <w:rFonts w:hint="eastAsia" w:ascii="仿宋" w:hAnsi="仿宋" w:eastAsia="仿宋"/>
          <w:sz w:val="28"/>
          <w:szCs w:val="28"/>
        </w:rPr>
        <w:t>（供应商名称）授权</w:t>
      </w:r>
      <w:r>
        <w:rPr>
          <w:rFonts w:hint="eastAsia" w:ascii="仿宋" w:hAnsi="仿宋" w:eastAsia="仿宋"/>
          <w:sz w:val="28"/>
          <w:szCs w:val="28"/>
          <w:u w:val="single"/>
        </w:rPr>
        <w:t xml:space="preserve">        </w:t>
      </w:r>
      <w:r>
        <w:rPr>
          <w:rFonts w:hint="eastAsia" w:ascii="仿宋" w:hAnsi="仿宋" w:eastAsia="仿宋"/>
          <w:sz w:val="28"/>
          <w:szCs w:val="28"/>
        </w:rPr>
        <w:t>（被授权人的姓名）为我方就</w:t>
      </w:r>
      <w:r>
        <w:rPr>
          <w:rFonts w:hint="eastAsia" w:ascii="仿宋" w:hAnsi="仿宋" w:eastAsia="仿宋"/>
          <w:sz w:val="28"/>
          <w:szCs w:val="28"/>
          <w:u w:val="single"/>
        </w:rPr>
        <w:t xml:space="preserve">                    </w:t>
      </w:r>
      <w:r>
        <w:rPr>
          <w:rFonts w:hint="eastAsia" w:ascii="仿宋" w:hAnsi="仿宋" w:eastAsia="仿宋"/>
          <w:sz w:val="28"/>
          <w:szCs w:val="28"/>
        </w:rPr>
        <w:t>采购活动的合法代理人，以本公司名义全权处理一切与该项目采购有关的事务。</w:t>
      </w:r>
    </w:p>
    <w:p w14:paraId="7A15B00A">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本授权书于</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日起生效，特此声明。</w:t>
      </w:r>
    </w:p>
    <w:p w14:paraId="2D0F6B6A">
      <w:pPr>
        <w:widowControl/>
        <w:spacing w:line="360" w:lineRule="auto"/>
        <w:ind w:firstLine="560" w:firstLineChars="200"/>
        <w:jc w:val="left"/>
        <w:rPr>
          <w:rFonts w:ascii="仿宋" w:hAnsi="仿宋" w:eastAsia="仿宋"/>
          <w:sz w:val="28"/>
          <w:szCs w:val="28"/>
        </w:rPr>
      </w:pPr>
    </w:p>
    <w:p w14:paraId="43989E0B">
      <w:pPr>
        <w:widowControl/>
        <w:spacing w:line="360" w:lineRule="auto"/>
        <w:ind w:firstLine="560" w:firstLineChars="200"/>
        <w:jc w:val="left"/>
        <w:rPr>
          <w:rFonts w:ascii="仿宋" w:hAnsi="仿宋" w:eastAsia="仿宋"/>
          <w:sz w:val="28"/>
          <w:szCs w:val="28"/>
          <w:u w:val="single"/>
        </w:rPr>
      </w:pPr>
      <w:r>
        <w:rPr>
          <w:rFonts w:hint="eastAsia" w:ascii="仿宋" w:hAnsi="仿宋" w:eastAsia="仿宋"/>
          <w:sz w:val="28"/>
          <w:szCs w:val="28"/>
        </w:rPr>
        <w:t>法定代表人（签字或盖章）：</w:t>
      </w:r>
      <w:r>
        <w:rPr>
          <w:rFonts w:hint="eastAsia" w:ascii="仿宋" w:hAnsi="仿宋" w:eastAsia="仿宋"/>
          <w:sz w:val="28"/>
          <w:szCs w:val="28"/>
          <w:u w:val="single"/>
        </w:rPr>
        <w:t xml:space="preserve">    </w:t>
      </w:r>
    </w:p>
    <w:p w14:paraId="50F3F259">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授权人（签字）：               </w:t>
      </w:r>
    </w:p>
    <w:p w14:paraId="39A51ED1">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单位名称：</w:t>
      </w:r>
      <w:r>
        <w:rPr>
          <w:rFonts w:hint="eastAsia" w:ascii="仿宋" w:hAnsi="仿宋" w:eastAsia="仿宋"/>
          <w:sz w:val="28"/>
          <w:szCs w:val="28"/>
          <w:u w:val="single"/>
        </w:rPr>
        <w:t xml:space="preserve">      </w:t>
      </w:r>
    </w:p>
    <w:p w14:paraId="0E9C13A4">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授权单位盖章：</w:t>
      </w:r>
      <w:r>
        <w:rPr>
          <w:rFonts w:hint="eastAsia" w:ascii="仿宋" w:hAnsi="仿宋" w:eastAsia="仿宋"/>
          <w:sz w:val="28"/>
          <w:szCs w:val="28"/>
          <w:u w:val="single"/>
        </w:rPr>
        <w:t xml:space="preserve"> </w:t>
      </w:r>
    </w:p>
    <w:p w14:paraId="14AA3AA5">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单位名称：</w:t>
      </w:r>
      <w:r>
        <w:rPr>
          <w:rFonts w:hint="eastAsia" w:ascii="仿宋" w:hAnsi="仿宋" w:eastAsia="仿宋"/>
          <w:sz w:val="28"/>
          <w:szCs w:val="28"/>
          <w:u w:val="single"/>
        </w:rPr>
        <w:t xml:space="preserve">     </w:t>
      </w:r>
    </w:p>
    <w:p w14:paraId="61988B08">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xml:space="preserve">   </w:t>
      </w:r>
    </w:p>
    <w:p w14:paraId="341A8980">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p>
    <w:p w14:paraId="7919B3EF">
      <w:pPr>
        <w:widowControl/>
        <w:spacing w:line="360" w:lineRule="auto"/>
        <w:jc w:val="left"/>
        <w:rPr>
          <w:rFonts w:ascii="仿宋" w:hAnsi="仿宋" w:eastAsia="仿宋"/>
          <w:sz w:val="28"/>
          <w:szCs w:val="28"/>
        </w:rPr>
      </w:pPr>
    </w:p>
    <w:p w14:paraId="6A18E01E">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附：被授权人身份证复印件证明</w:t>
      </w:r>
    </w:p>
    <w:p w14:paraId="575AC852">
      <w:pPr>
        <w:spacing w:line="360" w:lineRule="auto"/>
        <w:ind w:firstLine="560"/>
        <w:rPr>
          <w:rFonts w:ascii="仿宋" w:hAnsi="仿宋" w:eastAsia="仿宋"/>
          <w:sz w:val="28"/>
          <w:szCs w:val="28"/>
        </w:rPr>
      </w:pPr>
    </w:p>
    <w:p w14:paraId="50C3E16E">
      <w:pPr>
        <w:widowControl/>
        <w:spacing w:line="360" w:lineRule="auto"/>
        <w:jc w:val="left"/>
        <w:rPr>
          <w:rFonts w:ascii="仿宋" w:hAnsi="仿宋" w:eastAsia="仿宋" w:cs="仿宋"/>
          <w:sz w:val="28"/>
          <w:szCs w:val="28"/>
        </w:rPr>
      </w:pPr>
      <w:r>
        <w:rPr>
          <w:rFonts w:hint="eastAsia" w:ascii="仿宋" w:hAnsi="仿宋" w:eastAsia="仿宋" w:cs="仿宋"/>
          <w:sz w:val="28"/>
          <w:szCs w:val="28"/>
        </w:rPr>
        <w:br w:type="page"/>
      </w:r>
    </w:p>
    <w:p w14:paraId="05AC2B88">
      <w:pPr>
        <w:keepNext/>
        <w:keepLines/>
        <w:spacing w:before="156" w:after="156" w:line="416" w:lineRule="auto"/>
        <w:ind w:firstLine="562"/>
        <w:jc w:val="center"/>
        <w:outlineLvl w:val="1"/>
        <w:rPr>
          <w:rFonts w:ascii="仿宋" w:hAnsi="仿宋" w:eastAsia="仿宋" w:cs="仿宋"/>
          <w:b/>
          <w:bCs/>
          <w:sz w:val="28"/>
          <w:szCs w:val="28"/>
        </w:rPr>
      </w:pPr>
      <w:r>
        <w:rPr>
          <w:rFonts w:hint="eastAsia" w:ascii="仿宋" w:hAnsi="仿宋" w:eastAsia="仿宋" w:cs="仿宋"/>
          <w:b/>
          <w:bCs/>
          <w:sz w:val="28"/>
          <w:szCs w:val="28"/>
        </w:rPr>
        <w:t>三、符合《政府采购法》第二十二条要求的承诺函</w:t>
      </w:r>
    </w:p>
    <w:p w14:paraId="390EA978">
      <w:pPr>
        <w:spacing w:line="360" w:lineRule="auto"/>
        <w:ind w:firstLine="600"/>
        <w:rPr>
          <w:rFonts w:ascii="仿宋" w:hAnsi="仿宋" w:eastAsia="仿宋" w:cs="仿宋"/>
          <w:kern w:val="0"/>
          <w:sz w:val="30"/>
          <w:szCs w:val="30"/>
        </w:rPr>
      </w:pPr>
    </w:p>
    <w:p w14:paraId="028828C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p>
    <w:p w14:paraId="3C90248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我单位承诺符合《政府采购法》第二十二条之规定：具有独立承担民事责任的能力；具有良好的商业信誉和健全的财务会计制度；具有履行合同所必需的设备和专业技术能力；有依法缴纳税收和社会保障资金的良好记录，参加政府活动前三年内，在经营活动中没有重大违纪记录。</w:t>
      </w:r>
    </w:p>
    <w:p w14:paraId="00D5C2D6">
      <w:pPr>
        <w:spacing w:line="360" w:lineRule="auto"/>
        <w:ind w:firstLine="560" w:firstLineChars="200"/>
        <w:rPr>
          <w:rFonts w:ascii="仿宋" w:hAnsi="仿宋" w:eastAsia="仿宋" w:cs="仿宋"/>
          <w:sz w:val="28"/>
          <w:szCs w:val="28"/>
        </w:rPr>
      </w:pPr>
    </w:p>
    <w:p w14:paraId="23A03EEC">
      <w:pPr>
        <w:spacing w:line="360" w:lineRule="auto"/>
        <w:ind w:firstLine="560" w:firstLineChars="200"/>
        <w:rPr>
          <w:rFonts w:ascii="仿宋" w:hAnsi="仿宋" w:eastAsia="仿宋" w:cs="仿宋"/>
          <w:sz w:val="28"/>
          <w:szCs w:val="28"/>
        </w:rPr>
      </w:pPr>
    </w:p>
    <w:p w14:paraId="559A9988">
      <w:pPr>
        <w:spacing w:line="360" w:lineRule="auto"/>
        <w:ind w:firstLine="560" w:firstLineChars="200"/>
        <w:rPr>
          <w:rFonts w:ascii="仿宋" w:hAnsi="仿宋" w:eastAsia="仿宋" w:cs="仿宋"/>
          <w:sz w:val="28"/>
          <w:szCs w:val="28"/>
        </w:rPr>
      </w:pPr>
    </w:p>
    <w:p w14:paraId="2700EBC9">
      <w:pPr>
        <w:spacing w:line="360" w:lineRule="auto"/>
        <w:ind w:firstLine="560" w:firstLineChars="200"/>
        <w:rPr>
          <w:rFonts w:ascii="仿宋" w:hAnsi="仿宋" w:eastAsia="仿宋" w:cs="仿宋"/>
          <w:sz w:val="28"/>
          <w:szCs w:val="28"/>
        </w:rPr>
      </w:pPr>
    </w:p>
    <w:p w14:paraId="6962331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               法定代表人或被委托授权人（签字或盖章）：</w:t>
      </w:r>
    </w:p>
    <w:p w14:paraId="774E0417">
      <w:pPr>
        <w:spacing w:line="360" w:lineRule="auto"/>
        <w:ind w:firstLine="560" w:firstLineChars="200"/>
        <w:rPr>
          <w:rFonts w:ascii="仿宋" w:hAnsi="仿宋" w:eastAsia="仿宋" w:cs="仿宋"/>
          <w:sz w:val="28"/>
          <w:szCs w:val="28"/>
        </w:rPr>
      </w:pPr>
    </w:p>
    <w:p w14:paraId="06FFDC4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（投标供应商）公章：</w:t>
      </w:r>
    </w:p>
    <w:p w14:paraId="20B2FF7E">
      <w:pPr>
        <w:spacing w:line="360" w:lineRule="auto"/>
        <w:ind w:firstLine="560" w:firstLineChars="200"/>
        <w:rPr>
          <w:rFonts w:ascii="仿宋" w:hAnsi="仿宋" w:eastAsia="仿宋" w:cs="仿宋"/>
          <w:sz w:val="28"/>
          <w:szCs w:val="28"/>
        </w:rPr>
      </w:pPr>
    </w:p>
    <w:p w14:paraId="0E003AE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                                   年</w:t>
      </w:r>
      <w:r>
        <w:rPr>
          <w:rFonts w:hint="eastAsia" w:ascii="仿宋" w:hAnsi="仿宋" w:eastAsia="仿宋" w:cs="仿宋"/>
          <w:sz w:val="28"/>
          <w:szCs w:val="28"/>
        </w:rPr>
        <w:tab/>
      </w:r>
      <w:r>
        <w:rPr>
          <w:rFonts w:hint="eastAsia" w:ascii="仿宋" w:hAnsi="仿宋" w:eastAsia="仿宋" w:cs="仿宋"/>
          <w:sz w:val="28"/>
          <w:szCs w:val="28"/>
        </w:rPr>
        <w:t xml:space="preserve">  月 </w:t>
      </w:r>
      <w:r>
        <w:rPr>
          <w:rFonts w:hint="eastAsia" w:ascii="仿宋" w:hAnsi="仿宋" w:eastAsia="仿宋" w:cs="仿宋"/>
          <w:sz w:val="28"/>
          <w:szCs w:val="28"/>
        </w:rPr>
        <w:tab/>
      </w:r>
      <w:r>
        <w:rPr>
          <w:rFonts w:ascii="仿宋" w:hAnsi="仿宋" w:eastAsia="仿宋" w:cs="仿宋"/>
          <w:sz w:val="28"/>
          <w:szCs w:val="28"/>
        </w:rPr>
        <w:t xml:space="preserve"> </w:t>
      </w:r>
      <w:r>
        <w:rPr>
          <w:rFonts w:hint="eastAsia" w:ascii="仿宋" w:hAnsi="仿宋" w:eastAsia="仿宋" w:cs="仿宋"/>
          <w:sz w:val="28"/>
          <w:szCs w:val="28"/>
        </w:rPr>
        <w:t>日</w:t>
      </w:r>
    </w:p>
    <w:p w14:paraId="39DF5C65">
      <w:pPr>
        <w:spacing w:line="360" w:lineRule="auto"/>
        <w:rPr>
          <w:rFonts w:ascii="仿宋" w:hAnsi="仿宋" w:eastAsia="仿宋" w:cs="仿宋"/>
          <w:sz w:val="28"/>
          <w:szCs w:val="28"/>
        </w:rPr>
      </w:pPr>
    </w:p>
    <w:p w14:paraId="48E8714C">
      <w:pPr>
        <w:widowControl/>
        <w:spacing w:line="360" w:lineRule="auto"/>
        <w:jc w:val="left"/>
        <w:rPr>
          <w:rFonts w:ascii="仿宋" w:hAnsi="仿宋" w:eastAsia="仿宋" w:cs="仿宋"/>
          <w:sz w:val="28"/>
          <w:szCs w:val="28"/>
        </w:rPr>
      </w:pPr>
      <w:r>
        <w:rPr>
          <w:rFonts w:hint="eastAsia" w:ascii="仿宋" w:hAnsi="仿宋" w:eastAsia="仿宋" w:cs="仿宋"/>
          <w:sz w:val="28"/>
          <w:szCs w:val="28"/>
        </w:rPr>
        <w:br w:type="page"/>
      </w:r>
    </w:p>
    <w:p w14:paraId="184F4BF3">
      <w:pPr>
        <w:keepNext/>
        <w:keepLines/>
        <w:spacing w:before="156" w:after="156" w:line="416" w:lineRule="auto"/>
        <w:ind w:firstLine="562"/>
        <w:jc w:val="center"/>
        <w:outlineLvl w:val="1"/>
        <w:rPr>
          <w:rFonts w:ascii="仿宋" w:hAnsi="仿宋" w:eastAsia="仿宋" w:cs="仿宋"/>
          <w:bCs/>
          <w:sz w:val="28"/>
          <w:szCs w:val="28"/>
        </w:rPr>
      </w:pPr>
      <w:r>
        <w:rPr>
          <w:rFonts w:hint="eastAsia" w:ascii="仿宋" w:hAnsi="仿宋" w:eastAsia="仿宋" w:cs="仿宋"/>
          <w:b/>
          <w:bCs/>
          <w:sz w:val="28"/>
          <w:szCs w:val="28"/>
        </w:rPr>
        <w:t>四、投标承诺书</w:t>
      </w:r>
    </w:p>
    <w:p w14:paraId="35216CDD">
      <w:pPr>
        <w:spacing w:line="360" w:lineRule="auto"/>
        <w:rPr>
          <w:rFonts w:ascii="仿宋" w:hAnsi="仿宋" w:eastAsia="仿宋" w:cs="仿宋"/>
          <w:sz w:val="28"/>
          <w:szCs w:val="28"/>
        </w:rPr>
      </w:pPr>
      <w:r>
        <w:rPr>
          <w:rFonts w:hint="eastAsia" w:ascii="仿宋" w:hAnsi="仿宋" w:eastAsia="仿宋" w:cs="仿宋"/>
          <w:sz w:val="28"/>
          <w:szCs w:val="28"/>
        </w:rPr>
        <w:t>招标方名称：</w:t>
      </w:r>
    </w:p>
    <w:p w14:paraId="5E5A2DF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（投标单位全称）授权（姓  名）（职  务）为全权代表，参加</w:t>
      </w:r>
      <w:r>
        <w:rPr>
          <w:rFonts w:hint="eastAsia" w:ascii="仿宋" w:hAnsi="仿宋" w:eastAsia="仿宋" w:cs="仿宋"/>
          <w:color w:val="FF0000"/>
          <w:sz w:val="28"/>
          <w:szCs w:val="28"/>
        </w:rPr>
        <w:t>（项目名称）</w:t>
      </w:r>
      <w:r>
        <w:rPr>
          <w:rFonts w:hint="eastAsia" w:ascii="仿宋" w:hAnsi="仿宋" w:eastAsia="仿宋" w:cs="仿宋"/>
          <w:sz w:val="28"/>
          <w:szCs w:val="28"/>
        </w:rPr>
        <w:t>招标的有关活动，并宣布同意如下：</w:t>
      </w:r>
    </w:p>
    <w:p w14:paraId="44A2CBE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1．我方愿意按照招标文件的全部要求进行投标（投标内容及价格以投标文件为准）。</w:t>
      </w:r>
    </w:p>
    <w:p w14:paraId="34752EF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2．我方完全理解并同意放弃对招标文件有不明及误解的权利。</w:t>
      </w:r>
    </w:p>
    <w:p w14:paraId="0E978F9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3．我方将按招标文件的规定履行合同责任和义务。</w:t>
      </w:r>
    </w:p>
    <w:p w14:paraId="676CC09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4．如果我方在投标有效期内撤回投标，投标保证金将被贵方没收。</w:t>
      </w:r>
    </w:p>
    <w:p w14:paraId="5224484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5．我方同意提供按照贵方可能要求的与其投标有关的一切数据或资料。</w:t>
      </w:r>
    </w:p>
    <w:p w14:paraId="54F692B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6．我方的投标书自开标后60天内有效</w:t>
      </w:r>
    </w:p>
    <w:p w14:paraId="1266F05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7．与本投标有关的一切往来通讯请寄：</w:t>
      </w:r>
    </w:p>
    <w:p w14:paraId="121EF12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地址：　　　　　　　　　　　　　邮编：</w:t>
      </w:r>
    </w:p>
    <w:p w14:paraId="4815495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电话：　　　　　　　　　　　　　传真：</w:t>
      </w:r>
    </w:p>
    <w:p w14:paraId="73AA897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授权委托人签字：　　　　　　　　职务：</w:t>
      </w:r>
    </w:p>
    <w:p w14:paraId="70682FF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投标单位：（加盖单位公章）</w:t>
      </w:r>
    </w:p>
    <w:p w14:paraId="6804BDEA">
      <w:pPr>
        <w:spacing w:line="360" w:lineRule="auto"/>
        <w:ind w:firstLine="560" w:firstLineChars="200"/>
        <w:rPr>
          <w:rFonts w:ascii="仿宋" w:hAnsi="仿宋" w:eastAsia="仿宋" w:cs="仿宋"/>
          <w:color w:val="000000"/>
          <w:sz w:val="28"/>
          <w:szCs w:val="28"/>
        </w:rPr>
      </w:pPr>
      <w:r>
        <w:rPr>
          <w:rFonts w:hint="eastAsia" w:ascii="仿宋" w:hAnsi="仿宋" w:eastAsia="仿宋" w:cs="仿宋"/>
          <w:sz w:val="28"/>
          <w:szCs w:val="28"/>
        </w:rPr>
        <w:t>日期：        年     月      日　　</w:t>
      </w:r>
    </w:p>
    <w:p w14:paraId="18F6BA36">
      <w:pPr>
        <w:spacing w:line="360" w:lineRule="auto"/>
        <w:ind w:firstLine="560"/>
        <w:rPr>
          <w:rFonts w:ascii="仿宋" w:hAnsi="仿宋" w:eastAsia="仿宋"/>
          <w:szCs w:val="24"/>
        </w:rPr>
      </w:pPr>
    </w:p>
    <w:p w14:paraId="4C527B4A">
      <w:pPr>
        <w:spacing w:line="360" w:lineRule="auto"/>
        <w:ind w:firstLine="560"/>
        <w:rPr>
          <w:rFonts w:ascii="仿宋" w:hAnsi="仿宋" w:eastAsia="仿宋"/>
          <w:szCs w:val="24"/>
        </w:rPr>
      </w:pPr>
    </w:p>
    <w:p w14:paraId="13509F46">
      <w:pPr>
        <w:spacing w:line="360" w:lineRule="auto"/>
        <w:ind w:firstLine="560"/>
        <w:rPr>
          <w:rFonts w:ascii="仿宋" w:hAnsi="仿宋" w:eastAsia="仿宋"/>
          <w:szCs w:val="24"/>
        </w:rPr>
      </w:pPr>
    </w:p>
    <w:p w14:paraId="16FB0EA8">
      <w:pPr>
        <w:widowControl/>
        <w:ind w:firstLine="562"/>
        <w:jc w:val="left"/>
        <w:rPr>
          <w:rFonts w:ascii="仿宋" w:hAnsi="仿宋" w:eastAsia="仿宋" w:cs="仿宋"/>
          <w:b/>
          <w:bCs/>
          <w:sz w:val="28"/>
          <w:szCs w:val="28"/>
        </w:rPr>
      </w:pPr>
      <w:r>
        <w:rPr>
          <w:rFonts w:ascii="仿宋" w:hAnsi="仿宋" w:eastAsia="仿宋" w:cs="仿宋"/>
          <w:b/>
          <w:bCs/>
          <w:sz w:val="28"/>
          <w:szCs w:val="28"/>
        </w:rPr>
        <w:br w:type="page"/>
      </w:r>
    </w:p>
    <w:p w14:paraId="386E0EC9">
      <w:pPr>
        <w:keepNext/>
        <w:keepLines/>
        <w:spacing w:before="156" w:after="156" w:line="416" w:lineRule="auto"/>
        <w:ind w:firstLine="562"/>
        <w:jc w:val="center"/>
        <w:outlineLvl w:val="1"/>
        <w:rPr>
          <w:rFonts w:ascii="仿宋" w:hAnsi="仿宋" w:eastAsia="仿宋" w:cs="仿宋"/>
          <w:b/>
          <w:bCs/>
          <w:sz w:val="28"/>
          <w:szCs w:val="28"/>
        </w:rPr>
      </w:pPr>
      <w:r>
        <w:rPr>
          <w:rFonts w:hint="eastAsia" w:ascii="仿宋" w:hAnsi="仿宋" w:eastAsia="仿宋" w:cs="仿宋"/>
          <w:b/>
          <w:bCs/>
          <w:sz w:val="28"/>
          <w:szCs w:val="28"/>
        </w:rPr>
        <w:t>五</w:t>
      </w:r>
      <w:r>
        <w:rPr>
          <w:rFonts w:ascii="仿宋" w:hAnsi="仿宋" w:eastAsia="仿宋" w:cs="仿宋"/>
          <w:b/>
          <w:bCs/>
          <w:sz w:val="28"/>
          <w:szCs w:val="28"/>
        </w:rPr>
        <w:t>、</w:t>
      </w:r>
      <w:r>
        <w:rPr>
          <w:rFonts w:hint="eastAsia" w:ascii="仿宋" w:hAnsi="仿宋" w:eastAsia="仿宋" w:cs="仿宋"/>
          <w:b/>
          <w:bCs/>
          <w:sz w:val="28"/>
          <w:szCs w:val="28"/>
        </w:rPr>
        <w:t>中小企业声明函（工程、服务）</w:t>
      </w:r>
    </w:p>
    <w:p w14:paraId="713A00FF">
      <w:pPr>
        <w:spacing w:line="360" w:lineRule="auto"/>
        <w:ind w:firstLine="560" w:firstLineChars="200"/>
        <w:rPr>
          <w:rFonts w:ascii="仿宋" w:hAnsi="仿宋" w:eastAsia="仿宋" w:cs="仿宋"/>
          <w:sz w:val="28"/>
          <w:szCs w:val="28"/>
          <w:lang w:bidi="zh-CN"/>
        </w:rPr>
      </w:pPr>
      <w:r>
        <w:rPr>
          <w:rFonts w:hint="eastAsia" w:ascii="仿宋" w:hAnsi="仿宋" w:eastAsia="仿宋" w:cs="仿宋"/>
          <w:sz w:val="28"/>
          <w:szCs w:val="28"/>
          <w:lang w:bidi="zh-CN"/>
        </w:rPr>
        <w:t>本公司（联合体）郑重声明，根据《政府采购促进中小企业发展管理办法》（财库﹝2020﹞46 号）的规定，本公司（联合体）参加</w:t>
      </w:r>
      <w:r>
        <w:rPr>
          <w:rFonts w:hint="eastAsia" w:ascii="仿宋" w:hAnsi="仿宋" w:eastAsia="仿宋" w:cs="仿宋"/>
          <w:sz w:val="28"/>
          <w:szCs w:val="28"/>
          <w:u w:val="single"/>
          <w:lang w:bidi="zh-CN"/>
        </w:rPr>
        <w:t>（单位名称）</w:t>
      </w:r>
      <w:r>
        <w:rPr>
          <w:rFonts w:hint="eastAsia" w:ascii="仿宋" w:hAnsi="仿宋" w:eastAsia="仿宋" w:cs="仿宋"/>
          <w:sz w:val="28"/>
          <w:szCs w:val="28"/>
          <w:lang w:bidi="zh-CN"/>
        </w:rPr>
        <w:t>的</w:t>
      </w:r>
      <w:r>
        <w:rPr>
          <w:rFonts w:hint="eastAsia" w:ascii="仿宋" w:hAnsi="仿宋" w:eastAsia="仿宋" w:cs="仿宋"/>
          <w:sz w:val="28"/>
          <w:szCs w:val="28"/>
          <w:u w:val="single"/>
          <w:lang w:bidi="zh-CN"/>
        </w:rPr>
        <w:t>（项目名称）</w:t>
      </w:r>
      <w:r>
        <w:rPr>
          <w:rFonts w:hint="eastAsia" w:ascii="仿宋" w:hAnsi="仿宋" w:eastAsia="仿宋" w:cs="仿宋"/>
          <w:sz w:val="28"/>
          <w:szCs w:val="28"/>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59451785">
      <w:pPr>
        <w:spacing w:line="360" w:lineRule="auto"/>
        <w:ind w:firstLine="560" w:firstLineChars="200"/>
        <w:rPr>
          <w:rFonts w:ascii="仿宋" w:hAnsi="仿宋" w:eastAsia="仿宋" w:cs="仿宋"/>
          <w:sz w:val="28"/>
          <w:szCs w:val="28"/>
          <w:lang w:bidi="zh-CN"/>
        </w:rPr>
      </w:pPr>
      <w:r>
        <w:rPr>
          <w:rFonts w:hint="eastAsia" w:ascii="仿宋" w:hAnsi="仿宋" w:eastAsia="仿宋" w:cs="仿宋"/>
          <w:sz w:val="28"/>
          <w:szCs w:val="28"/>
          <w:lang w:bidi="zh-CN"/>
        </w:rPr>
        <w:t>1.</w:t>
      </w:r>
      <w:r>
        <w:rPr>
          <w:rFonts w:hint="eastAsia" w:ascii="仿宋" w:hAnsi="仿宋" w:eastAsia="仿宋" w:cs="仿宋"/>
          <w:sz w:val="28"/>
          <w:szCs w:val="28"/>
          <w:u w:val="single"/>
          <w:lang w:bidi="zh-CN"/>
        </w:rPr>
        <w:t>（标的名称）</w:t>
      </w:r>
      <w:r>
        <w:rPr>
          <w:rFonts w:hint="eastAsia" w:ascii="仿宋" w:hAnsi="仿宋" w:eastAsia="仿宋" w:cs="仿宋"/>
          <w:sz w:val="28"/>
          <w:szCs w:val="28"/>
          <w:lang w:bidi="zh-CN"/>
        </w:rPr>
        <w:t>，属于（</w:t>
      </w:r>
      <w:r>
        <w:rPr>
          <w:rFonts w:hint="eastAsia" w:ascii="仿宋" w:hAnsi="仿宋" w:eastAsia="仿宋" w:cs="仿宋"/>
          <w:sz w:val="28"/>
          <w:szCs w:val="28"/>
          <w:u w:val="single"/>
          <w:lang w:bidi="zh-CN"/>
        </w:rPr>
        <w:t>采购文件中明确的所属行业）</w:t>
      </w:r>
      <w:r>
        <w:rPr>
          <w:rFonts w:hint="eastAsia" w:ascii="仿宋" w:hAnsi="仿宋" w:eastAsia="仿宋" w:cs="仿宋"/>
          <w:sz w:val="28"/>
          <w:szCs w:val="28"/>
          <w:lang w:bidi="zh-CN"/>
        </w:rPr>
        <w:t>；承建（</w:t>
      </w:r>
      <w:r>
        <w:rPr>
          <w:rFonts w:hint="eastAsia" w:ascii="仿宋" w:hAnsi="仿宋" w:eastAsia="仿宋" w:cs="仿宋"/>
          <w:sz w:val="28"/>
          <w:szCs w:val="28"/>
        </w:rPr>
        <w:t>承接</w:t>
      </w:r>
      <w:r>
        <w:rPr>
          <w:rFonts w:hint="eastAsia" w:ascii="仿宋" w:hAnsi="仿宋" w:eastAsia="仿宋" w:cs="仿宋"/>
          <w:sz w:val="28"/>
          <w:szCs w:val="28"/>
          <w:lang w:bidi="zh-CN"/>
        </w:rPr>
        <w:t>）企业为</w:t>
      </w:r>
      <w:r>
        <w:rPr>
          <w:rFonts w:hint="eastAsia" w:ascii="仿宋" w:hAnsi="仿宋" w:eastAsia="仿宋" w:cs="仿宋"/>
          <w:sz w:val="28"/>
          <w:szCs w:val="28"/>
          <w:u w:val="single"/>
          <w:lang w:bidi="zh-CN"/>
        </w:rPr>
        <w:t>（企业名称）</w:t>
      </w:r>
      <w:r>
        <w:rPr>
          <w:rFonts w:hint="eastAsia" w:ascii="仿宋" w:hAnsi="仿宋" w:eastAsia="仿宋" w:cs="仿宋"/>
          <w:sz w:val="28"/>
          <w:szCs w:val="28"/>
          <w:lang w:bidi="zh-CN"/>
        </w:rPr>
        <w:t>，从业人员</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人，营业收入为</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万元，资产总额为</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万元，属于</w:t>
      </w:r>
      <w:r>
        <w:rPr>
          <w:rFonts w:hint="eastAsia" w:ascii="仿宋" w:hAnsi="仿宋" w:eastAsia="仿宋" w:cs="仿宋"/>
          <w:sz w:val="28"/>
          <w:szCs w:val="28"/>
          <w:u w:val="single"/>
          <w:lang w:bidi="zh-CN"/>
        </w:rPr>
        <w:t>（中型企业、小型企业、微型企业）</w:t>
      </w:r>
      <w:r>
        <w:rPr>
          <w:rFonts w:hint="eastAsia" w:ascii="仿宋" w:hAnsi="仿宋" w:eastAsia="仿宋" w:cs="仿宋"/>
          <w:sz w:val="28"/>
          <w:szCs w:val="28"/>
          <w:lang w:bidi="zh-CN"/>
        </w:rPr>
        <w:t>；</w:t>
      </w:r>
    </w:p>
    <w:p w14:paraId="4AA41DE9">
      <w:pPr>
        <w:spacing w:line="360" w:lineRule="auto"/>
        <w:ind w:firstLine="560" w:firstLineChars="200"/>
        <w:rPr>
          <w:rFonts w:ascii="仿宋" w:hAnsi="仿宋" w:eastAsia="仿宋" w:cs="仿宋"/>
          <w:sz w:val="28"/>
          <w:szCs w:val="28"/>
          <w:lang w:bidi="zh-CN"/>
        </w:rPr>
      </w:pPr>
      <w:r>
        <w:rPr>
          <w:rFonts w:hint="eastAsia" w:ascii="仿宋" w:hAnsi="仿宋" w:eastAsia="仿宋" w:cs="仿宋"/>
          <w:sz w:val="28"/>
          <w:szCs w:val="28"/>
          <w:lang w:bidi="zh-CN"/>
        </w:rPr>
        <w:t>2.</w:t>
      </w:r>
      <w:r>
        <w:rPr>
          <w:rFonts w:hint="eastAsia" w:ascii="仿宋" w:hAnsi="仿宋" w:eastAsia="仿宋" w:cs="仿宋"/>
          <w:sz w:val="28"/>
          <w:szCs w:val="28"/>
          <w:u w:val="single"/>
          <w:lang w:bidi="zh-CN"/>
        </w:rPr>
        <w:t>（标的名称）</w:t>
      </w:r>
      <w:r>
        <w:rPr>
          <w:rFonts w:hint="eastAsia" w:ascii="仿宋" w:hAnsi="仿宋" w:eastAsia="仿宋" w:cs="仿宋"/>
          <w:sz w:val="28"/>
          <w:szCs w:val="28"/>
          <w:lang w:bidi="zh-CN"/>
        </w:rPr>
        <w:t>，属于（</w:t>
      </w:r>
      <w:r>
        <w:rPr>
          <w:rFonts w:hint="eastAsia" w:ascii="仿宋" w:hAnsi="仿宋" w:eastAsia="仿宋" w:cs="仿宋"/>
          <w:sz w:val="28"/>
          <w:szCs w:val="28"/>
          <w:u w:val="single"/>
          <w:lang w:bidi="zh-CN"/>
        </w:rPr>
        <w:t>采购文件中明确的所属行业）</w:t>
      </w:r>
      <w:r>
        <w:rPr>
          <w:rFonts w:hint="eastAsia" w:ascii="仿宋" w:hAnsi="仿宋" w:eastAsia="仿宋" w:cs="仿宋"/>
          <w:sz w:val="28"/>
          <w:szCs w:val="28"/>
          <w:lang w:bidi="zh-CN"/>
        </w:rPr>
        <w:t>；承建（</w:t>
      </w:r>
      <w:r>
        <w:rPr>
          <w:rFonts w:hint="eastAsia" w:ascii="仿宋" w:hAnsi="仿宋" w:eastAsia="仿宋" w:cs="仿宋"/>
          <w:sz w:val="28"/>
          <w:szCs w:val="28"/>
        </w:rPr>
        <w:t>承接</w:t>
      </w:r>
      <w:r>
        <w:rPr>
          <w:rFonts w:hint="eastAsia" w:ascii="仿宋" w:hAnsi="仿宋" w:eastAsia="仿宋" w:cs="仿宋"/>
          <w:sz w:val="28"/>
          <w:szCs w:val="28"/>
          <w:lang w:bidi="zh-CN"/>
        </w:rPr>
        <w:t>）企业为</w:t>
      </w:r>
      <w:r>
        <w:rPr>
          <w:rFonts w:hint="eastAsia" w:ascii="仿宋" w:hAnsi="仿宋" w:eastAsia="仿宋" w:cs="仿宋"/>
          <w:sz w:val="28"/>
          <w:szCs w:val="28"/>
          <w:u w:val="single"/>
          <w:lang w:bidi="zh-CN"/>
        </w:rPr>
        <w:t>（企业名称）</w:t>
      </w:r>
      <w:r>
        <w:rPr>
          <w:rFonts w:hint="eastAsia" w:ascii="仿宋" w:hAnsi="仿宋" w:eastAsia="仿宋" w:cs="仿宋"/>
          <w:sz w:val="28"/>
          <w:szCs w:val="28"/>
          <w:lang w:bidi="zh-CN"/>
        </w:rPr>
        <w:t>，从业人员</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人，营业收入为</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万元，资产总额为</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万元，属于</w:t>
      </w:r>
      <w:r>
        <w:rPr>
          <w:rFonts w:hint="eastAsia" w:ascii="仿宋" w:hAnsi="仿宋" w:eastAsia="仿宋" w:cs="仿宋"/>
          <w:sz w:val="28"/>
          <w:szCs w:val="28"/>
          <w:u w:val="single"/>
          <w:lang w:bidi="zh-CN"/>
        </w:rPr>
        <w:t>（中型企业、小型企业、微型企业）</w:t>
      </w:r>
      <w:r>
        <w:rPr>
          <w:rFonts w:hint="eastAsia" w:ascii="仿宋" w:hAnsi="仿宋" w:eastAsia="仿宋" w:cs="仿宋"/>
          <w:sz w:val="28"/>
          <w:szCs w:val="28"/>
          <w:lang w:bidi="zh-CN"/>
        </w:rPr>
        <w:t>；</w:t>
      </w:r>
    </w:p>
    <w:p w14:paraId="151C5042">
      <w:pPr>
        <w:spacing w:line="360" w:lineRule="auto"/>
        <w:ind w:firstLine="560" w:firstLineChars="200"/>
        <w:rPr>
          <w:rFonts w:ascii="仿宋" w:hAnsi="仿宋" w:eastAsia="仿宋" w:cs="仿宋"/>
          <w:sz w:val="28"/>
          <w:szCs w:val="28"/>
          <w:lang w:bidi="zh-CN"/>
        </w:rPr>
      </w:pPr>
      <w:r>
        <w:rPr>
          <w:rFonts w:hint="eastAsia" w:ascii="仿宋" w:hAnsi="仿宋" w:eastAsia="仿宋" w:cs="仿宋"/>
          <w:sz w:val="28"/>
          <w:szCs w:val="28"/>
          <w:lang w:bidi="zh-CN"/>
        </w:rPr>
        <w:t>……</w:t>
      </w:r>
    </w:p>
    <w:p w14:paraId="7A3FBAEE">
      <w:pPr>
        <w:spacing w:line="360" w:lineRule="auto"/>
        <w:ind w:firstLine="560" w:firstLineChars="200"/>
        <w:rPr>
          <w:rFonts w:ascii="仿宋" w:hAnsi="仿宋" w:eastAsia="仿宋" w:cs="仿宋"/>
          <w:sz w:val="28"/>
          <w:szCs w:val="28"/>
          <w:lang w:bidi="zh-CN"/>
        </w:rPr>
      </w:pPr>
      <w:r>
        <w:rPr>
          <w:rFonts w:hint="eastAsia" w:ascii="仿宋" w:hAnsi="仿宋" w:eastAsia="仿宋" w:cs="仿宋"/>
          <w:sz w:val="28"/>
          <w:szCs w:val="28"/>
          <w:lang w:bidi="zh-CN"/>
        </w:rPr>
        <w:t>以上企业，不属于大企业的分支机构，不存在控股股东为大</w:t>
      </w:r>
      <w:r>
        <w:rPr>
          <w:rFonts w:hint="eastAsia" w:ascii="仿宋" w:hAnsi="仿宋" w:eastAsia="仿宋" w:cs="仿宋"/>
          <w:sz w:val="28"/>
          <w:szCs w:val="28"/>
        </w:rPr>
        <w:t>企业</w:t>
      </w:r>
      <w:r>
        <w:rPr>
          <w:rFonts w:hint="eastAsia" w:ascii="仿宋" w:hAnsi="仿宋" w:eastAsia="仿宋" w:cs="仿宋"/>
          <w:sz w:val="28"/>
          <w:szCs w:val="28"/>
          <w:lang w:bidi="zh-CN"/>
        </w:rPr>
        <w:t>的情形，也不存在与大企业的负责人为同一人的情形。</w:t>
      </w:r>
    </w:p>
    <w:p w14:paraId="79F33D2F">
      <w:pPr>
        <w:spacing w:line="360" w:lineRule="auto"/>
        <w:ind w:firstLine="560" w:firstLineChars="200"/>
        <w:rPr>
          <w:rFonts w:ascii="仿宋" w:hAnsi="仿宋" w:eastAsia="仿宋" w:cs="仿宋"/>
          <w:sz w:val="28"/>
          <w:szCs w:val="28"/>
          <w:lang w:bidi="zh-CN"/>
        </w:rPr>
      </w:pPr>
      <w:r>
        <w:rPr>
          <w:rFonts w:hint="eastAsia" w:ascii="仿宋" w:hAnsi="仿宋" w:eastAsia="仿宋" w:cs="仿宋"/>
          <w:sz w:val="28"/>
          <w:szCs w:val="28"/>
          <w:lang w:bidi="zh-CN"/>
        </w:rPr>
        <w:t>本企业对上述声明内容的真实性负责。如有虚假，将依法承担相应责任。</w:t>
      </w:r>
    </w:p>
    <w:p w14:paraId="037F36AE">
      <w:pPr>
        <w:spacing w:line="360" w:lineRule="auto"/>
        <w:ind w:firstLine="560" w:firstLineChars="200"/>
        <w:rPr>
          <w:rFonts w:ascii="仿宋" w:hAnsi="仿宋" w:eastAsia="仿宋" w:cs="仿宋"/>
          <w:sz w:val="28"/>
          <w:szCs w:val="28"/>
          <w:lang w:bidi="zh-CN"/>
        </w:rPr>
      </w:pPr>
      <w:r>
        <w:rPr>
          <w:rFonts w:hint="eastAsia" w:ascii="仿宋" w:hAnsi="仿宋" w:eastAsia="仿宋" w:cs="仿宋"/>
          <w:sz w:val="28"/>
          <w:szCs w:val="28"/>
          <w:lang w:bidi="zh-CN"/>
        </w:rPr>
        <w:t>企业名称（盖章）：</w:t>
      </w:r>
    </w:p>
    <w:p w14:paraId="42615567">
      <w:pPr>
        <w:spacing w:line="360" w:lineRule="auto"/>
        <w:ind w:firstLine="560" w:firstLineChars="200"/>
        <w:rPr>
          <w:rFonts w:ascii="仿宋" w:hAnsi="仿宋" w:eastAsia="仿宋" w:cs="仿宋"/>
          <w:sz w:val="28"/>
          <w:szCs w:val="28"/>
          <w:lang w:bidi="zh-CN"/>
        </w:rPr>
      </w:pPr>
      <w:r>
        <w:rPr>
          <w:rFonts w:hint="eastAsia" w:ascii="仿宋" w:hAnsi="仿宋" w:eastAsia="仿宋" w:cs="仿宋"/>
          <w:sz w:val="28"/>
          <w:szCs w:val="28"/>
          <w:lang w:bidi="zh-CN"/>
        </w:rPr>
        <w:t>日期：</w:t>
      </w:r>
    </w:p>
    <w:p w14:paraId="3C942CB8">
      <w:pPr>
        <w:spacing w:line="360" w:lineRule="auto"/>
        <w:ind w:firstLine="600" w:firstLineChars="200"/>
        <w:rPr>
          <w:rFonts w:ascii="仿宋" w:hAnsi="仿宋" w:eastAsia="仿宋" w:cs="仿宋"/>
          <w:sz w:val="30"/>
          <w:szCs w:val="30"/>
        </w:rPr>
        <w:sectPr>
          <w:footerReference r:id="rId3" w:type="default"/>
          <w:pgSz w:w="11906" w:h="16838"/>
          <w:pgMar w:top="1418" w:right="1474" w:bottom="1418" w:left="1474" w:header="851" w:footer="907" w:gutter="0"/>
          <w:cols w:space="720" w:num="1"/>
          <w:titlePg/>
          <w:docGrid w:type="lines" w:linePitch="312" w:charSpace="0"/>
        </w:sectPr>
      </w:pPr>
    </w:p>
    <w:p w14:paraId="0AD6295F">
      <w:pPr>
        <w:keepNext/>
        <w:keepLines/>
        <w:spacing w:before="156" w:after="156" w:line="416" w:lineRule="auto"/>
        <w:ind w:firstLine="562"/>
        <w:jc w:val="center"/>
        <w:outlineLvl w:val="1"/>
        <w:rPr>
          <w:rFonts w:ascii="仿宋" w:hAnsi="仿宋" w:eastAsia="仿宋" w:cs="仿宋"/>
          <w:b/>
          <w:bCs/>
          <w:sz w:val="28"/>
          <w:szCs w:val="28"/>
        </w:rPr>
      </w:pPr>
      <w:r>
        <w:rPr>
          <w:rFonts w:hint="eastAsia" w:ascii="仿宋" w:hAnsi="仿宋" w:eastAsia="仿宋" w:cs="仿宋"/>
          <w:b/>
          <w:bCs/>
          <w:sz w:val="28"/>
          <w:szCs w:val="28"/>
        </w:rPr>
        <w:t>六</w:t>
      </w:r>
      <w:r>
        <w:rPr>
          <w:rFonts w:ascii="仿宋" w:hAnsi="仿宋" w:eastAsia="仿宋" w:cs="仿宋"/>
          <w:b/>
          <w:bCs/>
          <w:sz w:val="28"/>
          <w:szCs w:val="28"/>
        </w:rPr>
        <w:t>、</w:t>
      </w:r>
      <w:r>
        <w:rPr>
          <w:rFonts w:hint="eastAsia" w:ascii="仿宋" w:hAnsi="仿宋" w:eastAsia="仿宋" w:cs="仿宋"/>
          <w:b/>
          <w:bCs/>
          <w:sz w:val="28"/>
          <w:szCs w:val="28"/>
        </w:rPr>
        <w:t>残疾人福利性单位声明函</w:t>
      </w:r>
    </w:p>
    <w:p w14:paraId="54FDC9A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仿宋" w:hAnsi="仿宋" w:eastAsia="仿宋" w:cs="仿宋"/>
          <w:sz w:val="28"/>
          <w:szCs w:val="28"/>
          <w:u w:val="single"/>
        </w:rPr>
        <w:t xml:space="preserve">       </w:t>
      </w:r>
      <w:r>
        <w:rPr>
          <w:rFonts w:hint="eastAsia" w:ascii="仿宋" w:hAnsi="仿宋" w:eastAsia="仿宋" w:cs="仿宋"/>
          <w:sz w:val="28"/>
          <w:szCs w:val="28"/>
        </w:rPr>
        <w:t>项目采购活动提供本单位制造的货物（由本单位承担工程/提供服务），或者提供其他残疾人福利性单位制造的货物（不包括使用非残疾人福利性单位注册商标的货物）。</w:t>
      </w:r>
    </w:p>
    <w:p w14:paraId="272EB31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14:paraId="459A1B0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（备注：1、供应商如不提供此声明函，价格将不做相应扣除。2、中标人为残疾人福利单位的，此声明函将随中标结果同时公告，接受社会监督）</w:t>
      </w:r>
    </w:p>
    <w:p w14:paraId="440BBDED">
      <w:pPr>
        <w:spacing w:line="360" w:lineRule="auto"/>
        <w:ind w:firstLine="584" w:firstLineChars="200"/>
        <w:rPr>
          <w:rFonts w:ascii="仿宋" w:hAnsi="仿宋" w:eastAsia="仿宋" w:cs="仿宋"/>
          <w:spacing w:val="6"/>
          <w:sz w:val="28"/>
          <w:szCs w:val="28"/>
        </w:rPr>
      </w:pPr>
    </w:p>
    <w:p w14:paraId="1181F389">
      <w:pPr>
        <w:spacing w:line="360" w:lineRule="auto"/>
        <w:ind w:firstLine="584" w:firstLineChars="200"/>
        <w:rPr>
          <w:rFonts w:ascii="仿宋" w:hAnsi="仿宋" w:eastAsia="仿宋" w:cs="仿宋"/>
          <w:spacing w:val="6"/>
          <w:sz w:val="28"/>
          <w:szCs w:val="28"/>
        </w:rPr>
      </w:pPr>
    </w:p>
    <w:p w14:paraId="4168785B">
      <w:pPr>
        <w:spacing w:line="360" w:lineRule="auto"/>
        <w:ind w:firstLine="584" w:firstLineChars="200"/>
        <w:rPr>
          <w:rFonts w:ascii="仿宋" w:hAnsi="仿宋" w:eastAsia="仿宋" w:cs="仿宋"/>
          <w:spacing w:val="6"/>
          <w:sz w:val="28"/>
          <w:szCs w:val="28"/>
        </w:rPr>
      </w:pPr>
    </w:p>
    <w:p w14:paraId="5FDE0DA1">
      <w:pPr>
        <w:spacing w:line="360" w:lineRule="auto"/>
        <w:ind w:firstLine="584" w:firstLineChars="200"/>
        <w:rPr>
          <w:rFonts w:ascii="仿宋" w:hAnsi="仿宋" w:eastAsia="仿宋" w:cs="仿宋"/>
          <w:spacing w:val="6"/>
          <w:sz w:val="28"/>
          <w:szCs w:val="28"/>
        </w:rPr>
      </w:pPr>
    </w:p>
    <w:p w14:paraId="64BDB9C5">
      <w:pPr>
        <w:spacing w:line="360" w:lineRule="auto"/>
        <w:ind w:firstLine="584" w:firstLineChars="200"/>
        <w:rPr>
          <w:rFonts w:ascii="仿宋" w:hAnsi="仿宋" w:eastAsia="仿宋" w:cs="仿宋"/>
          <w:sz w:val="28"/>
          <w:szCs w:val="28"/>
        </w:rPr>
      </w:pPr>
      <w:r>
        <w:rPr>
          <w:rFonts w:hint="eastAsia" w:ascii="仿宋" w:hAnsi="仿宋" w:eastAsia="仿宋" w:cs="仿宋"/>
          <w:spacing w:val="6"/>
          <w:sz w:val="28"/>
          <w:szCs w:val="28"/>
        </w:rPr>
        <w:t xml:space="preserve">             </w:t>
      </w:r>
      <w:r>
        <w:rPr>
          <w:rFonts w:hint="eastAsia" w:ascii="仿宋" w:hAnsi="仿宋" w:eastAsia="仿宋" w:cs="仿宋"/>
          <w:sz w:val="28"/>
          <w:szCs w:val="28"/>
        </w:rPr>
        <w:t xml:space="preserve">           供应商全称（盖章）：</w:t>
      </w:r>
    </w:p>
    <w:p w14:paraId="5D8CA41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              日  期：</w:t>
      </w:r>
    </w:p>
    <w:p w14:paraId="777EF06C">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br w:type="page"/>
      </w:r>
    </w:p>
    <w:p w14:paraId="5BDA4DAD">
      <w:pPr>
        <w:keepNext/>
        <w:keepLines/>
        <w:spacing w:before="156" w:after="156" w:line="416" w:lineRule="auto"/>
        <w:ind w:firstLine="562"/>
        <w:jc w:val="center"/>
        <w:outlineLvl w:val="1"/>
        <w:rPr>
          <w:rFonts w:ascii="仿宋" w:hAnsi="仿宋" w:eastAsia="仿宋" w:cs="仿宋"/>
          <w:b/>
          <w:bCs/>
          <w:sz w:val="28"/>
          <w:szCs w:val="28"/>
        </w:rPr>
      </w:pPr>
      <w:r>
        <w:rPr>
          <w:rFonts w:hint="eastAsia" w:ascii="仿宋" w:hAnsi="仿宋" w:eastAsia="仿宋" w:cs="仿宋"/>
          <w:b/>
          <w:bCs/>
          <w:sz w:val="28"/>
          <w:szCs w:val="28"/>
        </w:rPr>
        <w:t>七</w:t>
      </w:r>
      <w:r>
        <w:rPr>
          <w:rFonts w:ascii="仿宋" w:hAnsi="仿宋" w:eastAsia="仿宋" w:cs="仿宋"/>
          <w:b/>
          <w:bCs/>
          <w:sz w:val="28"/>
          <w:szCs w:val="28"/>
        </w:rPr>
        <w:t>、</w:t>
      </w:r>
      <w:r>
        <w:rPr>
          <w:rFonts w:hint="eastAsia" w:ascii="仿宋" w:hAnsi="仿宋" w:eastAsia="仿宋" w:cs="仿宋"/>
          <w:b/>
          <w:bCs/>
          <w:sz w:val="28"/>
          <w:szCs w:val="28"/>
        </w:rPr>
        <w:t>监狱和戒毒企业证明材料</w:t>
      </w:r>
    </w:p>
    <w:p w14:paraId="60E2DC28">
      <w:pPr>
        <w:snapToGrid w:val="0"/>
        <w:spacing w:line="420" w:lineRule="exact"/>
        <w:ind w:firstLine="531" w:firstLineChars="177"/>
        <w:rPr>
          <w:rFonts w:ascii="仿宋" w:hAnsi="仿宋" w:eastAsia="仿宋" w:cs="仿宋"/>
          <w:sz w:val="30"/>
          <w:szCs w:val="30"/>
        </w:rPr>
      </w:pPr>
    </w:p>
    <w:p w14:paraId="7A24E376">
      <w:pPr>
        <w:snapToGrid w:val="0"/>
        <w:spacing w:line="420" w:lineRule="exact"/>
        <w:ind w:firstLine="498" w:firstLineChars="177"/>
        <w:rPr>
          <w:rFonts w:ascii="仿宋" w:hAnsi="仿宋" w:eastAsia="仿宋" w:cs="仿宋"/>
          <w:b/>
          <w:sz w:val="28"/>
          <w:szCs w:val="28"/>
        </w:rPr>
      </w:pPr>
      <w:r>
        <w:rPr>
          <w:rFonts w:hint="eastAsia" w:ascii="仿宋" w:hAnsi="仿宋" w:eastAsia="仿宋" w:cs="仿宋"/>
          <w:b/>
          <w:sz w:val="28"/>
          <w:szCs w:val="28"/>
        </w:rPr>
        <w:t>（格式自拟）</w:t>
      </w:r>
    </w:p>
    <w:p w14:paraId="74372C83">
      <w:pPr>
        <w:snapToGrid w:val="0"/>
        <w:spacing w:line="420" w:lineRule="exact"/>
        <w:ind w:firstLine="495" w:firstLineChars="177"/>
        <w:rPr>
          <w:rFonts w:ascii="仿宋" w:hAnsi="仿宋" w:eastAsia="仿宋" w:cs="仿宋"/>
          <w:sz w:val="28"/>
          <w:szCs w:val="28"/>
        </w:rPr>
      </w:pPr>
    </w:p>
    <w:p w14:paraId="03B3872B">
      <w:pPr>
        <w:snapToGrid w:val="0"/>
        <w:spacing w:line="420" w:lineRule="exact"/>
        <w:ind w:firstLine="660" w:firstLineChars="236"/>
        <w:rPr>
          <w:rFonts w:ascii="仿宋" w:hAnsi="仿宋" w:eastAsia="仿宋" w:cs="仿宋"/>
          <w:sz w:val="28"/>
          <w:szCs w:val="28"/>
        </w:rPr>
      </w:pPr>
      <w:r>
        <w:rPr>
          <w:rFonts w:hint="eastAsia" w:ascii="仿宋" w:hAnsi="仿宋" w:eastAsia="仿宋" w:cs="仿宋"/>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19552D8D">
      <w:pPr>
        <w:keepNext/>
        <w:keepLines/>
        <w:spacing w:before="156" w:after="156" w:line="416" w:lineRule="auto"/>
        <w:ind w:firstLine="640"/>
        <w:jc w:val="center"/>
        <w:outlineLvl w:val="1"/>
        <w:rPr>
          <w:rFonts w:ascii="仿宋" w:hAnsi="仿宋" w:eastAsia="仿宋" w:cs="仿宋"/>
          <w:b/>
          <w:bCs/>
          <w:sz w:val="28"/>
          <w:szCs w:val="28"/>
        </w:rPr>
      </w:pPr>
      <w:r>
        <w:rPr>
          <w:rFonts w:ascii="仿宋" w:hAnsi="仿宋" w:eastAsia="仿宋"/>
          <w:sz w:val="32"/>
          <w:szCs w:val="32"/>
        </w:rPr>
        <w:br w:type="page"/>
      </w:r>
      <w:r>
        <w:rPr>
          <w:rFonts w:hint="eastAsia" w:ascii="仿宋" w:hAnsi="仿宋" w:eastAsia="仿宋" w:cs="仿宋"/>
          <w:b/>
          <w:bCs/>
          <w:sz w:val="28"/>
          <w:szCs w:val="28"/>
        </w:rPr>
        <w:t>八、竞争性磋商响应函</w:t>
      </w:r>
    </w:p>
    <w:p w14:paraId="73C14526">
      <w:pPr>
        <w:spacing w:line="480" w:lineRule="exact"/>
        <w:rPr>
          <w:rFonts w:ascii="仿宋" w:hAnsi="仿宋" w:eastAsia="仿宋" w:cs="仿宋"/>
          <w:sz w:val="28"/>
          <w:szCs w:val="28"/>
        </w:rPr>
      </w:pPr>
      <w:r>
        <w:rPr>
          <w:rFonts w:hint="eastAsia" w:ascii="仿宋" w:hAnsi="仿宋" w:eastAsia="仿宋" w:cs="仿宋"/>
          <w:sz w:val="28"/>
          <w:szCs w:val="28"/>
          <w:u w:val="single"/>
        </w:rPr>
        <w:t>致    （采购人）    ：</w:t>
      </w:r>
    </w:p>
    <w:p w14:paraId="5886B538">
      <w:pPr>
        <w:pStyle w:val="8"/>
        <w:shd w:val="clear" w:color="auto" w:fill="FFFFFF"/>
        <w:wordWrap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根据贵方的</w:t>
      </w:r>
      <w:r>
        <w:rPr>
          <w:rFonts w:hint="eastAsia" w:ascii="仿宋" w:hAnsi="仿宋" w:eastAsia="仿宋" w:cs="仿宋"/>
          <w:sz w:val="28"/>
          <w:szCs w:val="28"/>
          <w:u w:val="single"/>
        </w:rPr>
        <w:t xml:space="preserve">        （竞争性磋商项目名称和项目编号）</w:t>
      </w:r>
      <w:r>
        <w:rPr>
          <w:rFonts w:hint="eastAsia" w:ascii="仿宋" w:hAnsi="仿宋" w:eastAsia="仿宋" w:cs="仿宋"/>
          <w:sz w:val="28"/>
          <w:szCs w:val="28"/>
        </w:rPr>
        <w:t>磋商文件，正式授权下述签字人</w:t>
      </w:r>
      <w:r>
        <w:rPr>
          <w:rFonts w:hint="eastAsia" w:ascii="仿宋" w:hAnsi="仿宋" w:eastAsia="仿宋" w:cs="仿宋"/>
          <w:sz w:val="28"/>
          <w:szCs w:val="28"/>
          <w:u w:val="single"/>
        </w:rPr>
        <w:t xml:space="preserve">         (姓名和职务)</w:t>
      </w:r>
      <w:r>
        <w:rPr>
          <w:rFonts w:hint="eastAsia" w:ascii="仿宋" w:hAnsi="仿宋" w:eastAsia="仿宋" w:cs="仿宋"/>
          <w:sz w:val="28"/>
          <w:szCs w:val="28"/>
        </w:rPr>
        <w:t>代表我方</w:t>
      </w:r>
      <w:r>
        <w:rPr>
          <w:rFonts w:hint="eastAsia" w:ascii="仿宋" w:hAnsi="仿宋" w:eastAsia="仿宋" w:cs="仿宋"/>
          <w:sz w:val="28"/>
          <w:szCs w:val="28"/>
          <w:u w:val="single"/>
        </w:rPr>
        <w:t xml:space="preserve">         （供应商的名称）</w:t>
      </w:r>
      <w:r>
        <w:rPr>
          <w:rFonts w:hint="eastAsia" w:ascii="仿宋" w:hAnsi="仿宋" w:eastAsia="仿宋" w:cs="仿宋"/>
          <w:sz w:val="28"/>
          <w:szCs w:val="28"/>
        </w:rPr>
        <w:t>，全权处理本次项目磋商采购的有关事宜。</w:t>
      </w:r>
    </w:p>
    <w:p w14:paraId="42E30D45">
      <w:pPr>
        <w:pStyle w:val="8"/>
        <w:shd w:val="clear" w:color="auto" w:fill="FFFFFF"/>
        <w:wordWrap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据此函，</w:t>
      </w:r>
      <w:r>
        <w:rPr>
          <w:rFonts w:hint="eastAsia" w:ascii="仿宋" w:hAnsi="仿宋" w:eastAsia="仿宋" w:cs="仿宋"/>
          <w:sz w:val="28"/>
          <w:szCs w:val="28"/>
          <w:u w:val="single"/>
        </w:rPr>
        <w:t xml:space="preserve">       （签字人姓名）</w:t>
      </w:r>
      <w:r>
        <w:rPr>
          <w:rFonts w:hint="eastAsia" w:ascii="仿宋" w:hAnsi="仿宋" w:eastAsia="仿宋" w:cs="仿宋"/>
          <w:sz w:val="28"/>
          <w:szCs w:val="28"/>
        </w:rPr>
        <w:t>兹宣布同意如下：</w:t>
      </w:r>
    </w:p>
    <w:p w14:paraId="1B80E76F">
      <w:pPr>
        <w:pStyle w:val="8"/>
        <w:shd w:val="clear" w:color="auto" w:fill="FFFFFF"/>
        <w:wordWrap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1.按磋商文件规定的各项要求，向买方提供所需货物、服务。</w:t>
      </w:r>
    </w:p>
    <w:p w14:paraId="3B3B5F39">
      <w:pPr>
        <w:pStyle w:val="8"/>
        <w:shd w:val="clear" w:color="auto" w:fill="FFFFFF"/>
        <w:wordWrap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2.我们已详细审核全部磋商文件及其有效补充文件，我们知道必须放弃提出含糊不清或误解问题的权利。</w:t>
      </w:r>
    </w:p>
    <w:p w14:paraId="6FC0D5A3">
      <w:pPr>
        <w:pStyle w:val="8"/>
        <w:shd w:val="clear" w:color="auto" w:fill="FFFFFF"/>
        <w:wordWrap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3.我们同意从规定的响应文件接收截止时间起遵循本响应文件，并在规定的磋商、有效期期满之前均具有约束力。</w:t>
      </w:r>
    </w:p>
    <w:p w14:paraId="53D0B670">
      <w:pPr>
        <w:pStyle w:val="8"/>
        <w:shd w:val="clear" w:color="auto" w:fill="FFFFFF"/>
        <w:wordWrap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4.同意向贵方提供贵方可能另外要求的与磋商采购有关的任何证据或资料，并保证我方已提供和将要提供的文件是真实的、准确的。</w:t>
      </w:r>
    </w:p>
    <w:p w14:paraId="08F3DA01">
      <w:pPr>
        <w:pStyle w:val="8"/>
        <w:shd w:val="clear" w:color="auto" w:fill="FFFFFF"/>
        <w:wordWrap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5.一旦我方成交，我方将根据磋商文件的规定，严格履行合同的责任和义务，并保证在磋商文件规定的时间完成项目，交付买方验收、使用。</w:t>
      </w:r>
    </w:p>
    <w:p w14:paraId="0DFF20BF">
      <w:pPr>
        <w:pStyle w:val="8"/>
        <w:shd w:val="clear" w:color="auto" w:fill="FFFFFF"/>
        <w:wordWrap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6.遵守磋商文件中要求的收费项目和标准。</w:t>
      </w:r>
    </w:p>
    <w:p w14:paraId="0F9804B3">
      <w:pPr>
        <w:pStyle w:val="8"/>
        <w:shd w:val="clear" w:color="auto" w:fill="FFFFFF"/>
        <w:wordWrap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7.与本磋商采购有关的正式通讯地址为：</w:t>
      </w:r>
    </w:p>
    <w:p w14:paraId="55F8FB2D">
      <w:pPr>
        <w:widowControl/>
        <w:shd w:val="clear" w:color="auto" w:fill="FFFFFF"/>
        <w:wordWrap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 xml:space="preserve">：            </w:t>
      </w:r>
    </w:p>
    <w:p w14:paraId="4BC8D75F">
      <w:pPr>
        <w:widowControl/>
        <w:shd w:val="clear" w:color="auto" w:fill="FFFFFF"/>
        <w:wordWrap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邮编</w:t>
      </w:r>
      <w:r>
        <w:rPr>
          <w:rFonts w:hint="eastAsia" w:ascii="仿宋" w:hAnsi="仿宋" w:eastAsia="仿宋" w:cs="仿宋"/>
          <w:kern w:val="0"/>
          <w:sz w:val="28"/>
          <w:szCs w:val="28"/>
          <w:u w:val="single"/>
        </w:rPr>
        <w:t xml:space="preserve">：            </w:t>
      </w:r>
    </w:p>
    <w:p w14:paraId="72FB322C">
      <w:pPr>
        <w:widowControl/>
        <w:shd w:val="clear" w:color="auto" w:fill="FFFFFF"/>
        <w:wordWrap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电话</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14:paraId="29C0B9F2">
      <w:pPr>
        <w:widowControl/>
        <w:shd w:val="clear" w:color="auto" w:fill="FFFFFF"/>
        <w:wordWrap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传真</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14:paraId="61AA4B69">
      <w:pPr>
        <w:widowControl/>
        <w:shd w:val="clear" w:color="auto" w:fill="FFFFFF"/>
        <w:wordWrap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供应商开户行</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14:paraId="5D1BD475">
      <w:pPr>
        <w:widowControl/>
        <w:shd w:val="clear" w:color="auto" w:fill="FFFFFF"/>
        <w:wordWrap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账户</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14:paraId="0FB27A21">
      <w:pPr>
        <w:widowControl/>
        <w:shd w:val="clear" w:color="auto" w:fill="FFFFFF"/>
        <w:wordWrap w:val="0"/>
        <w:spacing w:line="480" w:lineRule="exact"/>
        <w:jc w:val="left"/>
        <w:rPr>
          <w:rFonts w:ascii="仿宋" w:hAnsi="仿宋" w:eastAsia="仿宋" w:cs="仿宋"/>
          <w:kern w:val="0"/>
          <w:sz w:val="28"/>
          <w:szCs w:val="28"/>
        </w:rPr>
      </w:pPr>
    </w:p>
    <w:p w14:paraId="4D03ED80">
      <w:pPr>
        <w:kinsoku w:val="0"/>
        <w:topLinePunct/>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供应商：（盖章）             </w:t>
      </w:r>
    </w:p>
    <w:p w14:paraId="2ABB131B">
      <w:pPr>
        <w:kinsoku w:val="0"/>
        <w:topLinePunct/>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法定代表人或被授权人（签字或盖章）：</w:t>
      </w:r>
    </w:p>
    <w:p w14:paraId="65D8B0D9">
      <w:pPr>
        <w:kinsoku w:val="0"/>
        <w:topLinePunct/>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日期：</w:t>
      </w:r>
    </w:p>
    <w:p w14:paraId="45055DF5">
      <w:pPr>
        <w:pStyle w:val="14"/>
      </w:pPr>
    </w:p>
    <w:p w14:paraId="79F253C5">
      <w:pPr>
        <w:keepNext/>
        <w:keepLines/>
        <w:spacing w:before="156" w:after="156" w:line="416" w:lineRule="auto"/>
        <w:ind w:firstLine="562"/>
        <w:jc w:val="center"/>
        <w:outlineLvl w:val="1"/>
        <w:rPr>
          <w:rFonts w:ascii="仿宋" w:hAnsi="仿宋" w:eastAsia="仿宋" w:cs="仿宋"/>
          <w:bCs/>
          <w:sz w:val="28"/>
          <w:szCs w:val="28"/>
        </w:rPr>
      </w:pPr>
      <w:r>
        <w:rPr>
          <w:rFonts w:hint="eastAsia" w:ascii="仿宋" w:hAnsi="仿宋" w:eastAsia="仿宋" w:cs="仿宋"/>
          <w:b/>
          <w:bCs/>
          <w:sz w:val="28"/>
          <w:szCs w:val="28"/>
        </w:rPr>
        <w:t>九、正负偏离表</w:t>
      </w:r>
    </w:p>
    <w:p w14:paraId="6084AF9D">
      <w:pPr>
        <w:spacing w:before="156" w:beforeLines="50" w:after="156" w:afterLines="50" w:line="360" w:lineRule="auto"/>
        <w:ind w:firstLine="562"/>
        <w:rPr>
          <w:rFonts w:ascii="仿宋" w:hAnsi="仿宋" w:eastAsia="仿宋" w:cs="仿宋"/>
          <w:b/>
          <w:sz w:val="28"/>
          <w:szCs w:val="28"/>
        </w:rPr>
      </w:pPr>
    </w:p>
    <w:p w14:paraId="5D520E66">
      <w:pPr>
        <w:spacing w:line="360" w:lineRule="auto"/>
        <w:jc w:val="center"/>
        <w:rPr>
          <w:rFonts w:ascii="仿宋" w:hAnsi="仿宋" w:eastAsia="仿宋" w:cs="仿宋"/>
          <w:sz w:val="28"/>
          <w:szCs w:val="28"/>
          <w:lang w:val="zh-CN"/>
        </w:rPr>
      </w:pPr>
      <w:r>
        <w:rPr>
          <w:rFonts w:hint="eastAsia" w:ascii="仿宋" w:hAnsi="仿宋" w:eastAsia="仿宋" w:cs="仿宋"/>
          <w:sz w:val="28"/>
          <w:szCs w:val="28"/>
          <w:lang w:val="zh-CN"/>
        </w:rPr>
        <w:t>商务部分正负偏离表</w:t>
      </w:r>
    </w:p>
    <w:tbl>
      <w:tblPr>
        <w:tblStyle w:val="9"/>
        <w:tblW w:w="9424" w:type="dxa"/>
        <w:jc w:val="center"/>
        <w:tblLayout w:type="fixed"/>
        <w:tblCellMar>
          <w:top w:w="0" w:type="dxa"/>
          <w:left w:w="10" w:type="dxa"/>
          <w:bottom w:w="0" w:type="dxa"/>
          <w:right w:w="10" w:type="dxa"/>
        </w:tblCellMar>
      </w:tblPr>
      <w:tblGrid>
        <w:gridCol w:w="758"/>
        <w:gridCol w:w="1404"/>
        <w:gridCol w:w="2916"/>
        <w:gridCol w:w="1298"/>
        <w:gridCol w:w="1942"/>
        <w:gridCol w:w="1106"/>
      </w:tblGrid>
      <w:tr w14:paraId="4074E6C1">
        <w:tblPrEx>
          <w:tblCellMar>
            <w:top w:w="0" w:type="dxa"/>
            <w:left w:w="10" w:type="dxa"/>
            <w:bottom w:w="0" w:type="dxa"/>
            <w:right w:w="10" w:type="dxa"/>
          </w:tblCellMar>
        </w:tblPrEx>
        <w:trPr>
          <w:trHeight w:val="284" w:hRule="atLeast"/>
          <w:jc w:val="center"/>
        </w:trPr>
        <w:tc>
          <w:tcPr>
            <w:tcW w:w="6376" w:type="dxa"/>
            <w:gridSpan w:val="4"/>
            <w:tcBorders>
              <w:bottom w:val="single" w:color="auto" w:sz="4" w:space="0"/>
            </w:tcBorders>
            <w:vAlign w:val="center"/>
          </w:tcPr>
          <w:p w14:paraId="2FFF3C44">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项目名称：</w:t>
            </w:r>
          </w:p>
        </w:tc>
        <w:tc>
          <w:tcPr>
            <w:tcW w:w="3048" w:type="dxa"/>
            <w:gridSpan w:val="2"/>
            <w:tcBorders>
              <w:bottom w:val="single" w:color="auto" w:sz="4" w:space="0"/>
            </w:tcBorders>
            <w:vAlign w:val="center"/>
          </w:tcPr>
          <w:p w14:paraId="6DB7D50B">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 xml:space="preserve">项目编号： </w:t>
            </w:r>
          </w:p>
        </w:tc>
      </w:tr>
      <w:tr w14:paraId="05EB6625">
        <w:tblPrEx>
          <w:tblCellMar>
            <w:top w:w="0" w:type="dxa"/>
            <w:left w:w="10" w:type="dxa"/>
            <w:bottom w:w="0" w:type="dxa"/>
            <w:right w:w="10" w:type="dxa"/>
          </w:tblCellMar>
        </w:tblPrEx>
        <w:trPr>
          <w:trHeight w:val="284"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5FC55958">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序号</w:t>
            </w:r>
          </w:p>
        </w:tc>
        <w:tc>
          <w:tcPr>
            <w:tcW w:w="1404" w:type="dxa"/>
            <w:tcBorders>
              <w:top w:val="single" w:color="auto" w:sz="4" w:space="0"/>
              <w:left w:val="single" w:color="auto" w:sz="4" w:space="0"/>
              <w:bottom w:val="single" w:color="auto" w:sz="4" w:space="0"/>
              <w:right w:val="single" w:color="auto" w:sz="4" w:space="0"/>
            </w:tcBorders>
            <w:vAlign w:val="center"/>
          </w:tcPr>
          <w:p w14:paraId="31018001">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招标文件</w:t>
            </w:r>
          </w:p>
          <w:p w14:paraId="21986395">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条目号</w:t>
            </w:r>
          </w:p>
        </w:tc>
        <w:tc>
          <w:tcPr>
            <w:tcW w:w="2916" w:type="dxa"/>
            <w:tcBorders>
              <w:top w:val="single" w:color="auto" w:sz="4" w:space="0"/>
              <w:left w:val="single" w:color="auto" w:sz="4" w:space="0"/>
              <w:bottom w:val="single" w:color="auto" w:sz="4" w:space="0"/>
              <w:right w:val="single" w:color="auto" w:sz="4" w:space="0"/>
            </w:tcBorders>
            <w:vAlign w:val="center"/>
          </w:tcPr>
          <w:p w14:paraId="6E310DF6">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招标要求规格</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6AF19777">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投标响应</w:t>
            </w:r>
          </w:p>
        </w:tc>
        <w:tc>
          <w:tcPr>
            <w:tcW w:w="1106" w:type="dxa"/>
            <w:tcBorders>
              <w:top w:val="single" w:color="auto" w:sz="4" w:space="0"/>
              <w:left w:val="single" w:color="auto" w:sz="4" w:space="0"/>
              <w:bottom w:val="single" w:color="auto" w:sz="4" w:space="0"/>
              <w:right w:val="single" w:color="auto" w:sz="4" w:space="0"/>
            </w:tcBorders>
            <w:vAlign w:val="center"/>
          </w:tcPr>
          <w:p w14:paraId="514CAF3C">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偏离</w:t>
            </w:r>
          </w:p>
        </w:tc>
      </w:tr>
      <w:tr w14:paraId="7846D8E5">
        <w:tblPrEx>
          <w:tblCellMar>
            <w:top w:w="0" w:type="dxa"/>
            <w:left w:w="10" w:type="dxa"/>
            <w:bottom w:w="0" w:type="dxa"/>
            <w:right w:w="10" w:type="dxa"/>
          </w:tblCellMar>
        </w:tblPrEx>
        <w:trPr>
          <w:trHeight w:val="284"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32BA48A6">
            <w:pPr>
              <w:spacing w:line="360" w:lineRule="auto"/>
              <w:rPr>
                <w:rFonts w:ascii="仿宋" w:hAnsi="仿宋" w:eastAsia="仿宋" w:cs="仿宋"/>
                <w:sz w:val="28"/>
                <w:szCs w:val="28"/>
                <w:lang w:val="zh-CN"/>
              </w:rPr>
            </w:pPr>
          </w:p>
        </w:tc>
        <w:tc>
          <w:tcPr>
            <w:tcW w:w="1404" w:type="dxa"/>
            <w:tcBorders>
              <w:top w:val="single" w:color="auto" w:sz="4" w:space="0"/>
              <w:left w:val="single" w:color="auto" w:sz="4" w:space="0"/>
              <w:bottom w:val="single" w:color="auto" w:sz="4" w:space="0"/>
              <w:right w:val="single" w:color="auto" w:sz="4" w:space="0"/>
            </w:tcBorders>
            <w:vAlign w:val="center"/>
          </w:tcPr>
          <w:p w14:paraId="2F81CC6A">
            <w:pPr>
              <w:spacing w:line="360" w:lineRule="auto"/>
              <w:rPr>
                <w:rFonts w:ascii="仿宋" w:hAnsi="仿宋" w:eastAsia="仿宋" w:cs="仿宋"/>
                <w:sz w:val="28"/>
                <w:szCs w:val="28"/>
                <w:lang w:val="zh-CN"/>
              </w:rPr>
            </w:pPr>
          </w:p>
        </w:tc>
        <w:tc>
          <w:tcPr>
            <w:tcW w:w="2916" w:type="dxa"/>
            <w:tcBorders>
              <w:top w:val="single" w:color="auto" w:sz="4" w:space="0"/>
              <w:left w:val="single" w:color="auto" w:sz="4" w:space="0"/>
              <w:bottom w:val="single" w:color="auto" w:sz="4" w:space="0"/>
              <w:right w:val="single" w:color="auto" w:sz="4" w:space="0"/>
            </w:tcBorders>
            <w:vAlign w:val="center"/>
          </w:tcPr>
          <w:p w14:paraId="218BDC9F">
            <w:pPr>
              <w:spacing w:line="360" w:lineRule="auto"/>
              <w:rPr>
                <w:rFonts w:ascii="仿宋" w:hAnsi="仿宋" w:eastAsia="仿宋" w:cs="仿宋"/>
                <w:sz w:val="28"/>
                <w:szCs w:val="28"/>
                <w:lang w:val="zh-CN"/>
              </w:rPr>
            </w:pP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0D9B78A3">
            <w:pPr>
              <w:spacing w:line="360" w:lineRule="auto"/>
              <w:rPr>
                <w:rFonts w:ascii="仿宋" w:hAnsi="仿宋" w:eastAsia="仿宋" w:cs="仿宋"/>
                <w:sz w:val="28"/>
                <w:szCs w:val="28"/>
                <w:lang w:val="zh-CN"/>
              </w:rPr>
            </w:pPr>
          </w:p>
        </w:tc>
        <w:tc>
          <w:tcPr>
            <w:tcW w:w="1106" w:type="dxa"/>
            <w:tcBorders>
              <w:top w:val="single" w:color="auto" w:sz="4" w:space="0"/>
              <w:left w:val="single" w:color="auto" w:sz="4" w:space="0"/>
              <w:bottom w:val="single" w:color="auto" w:sz="4" w:space="0"/>
              <w:right w:val="single" w:color="auto" w:sz="4" w:space="0"/>
            </w:tcBorders>
            <w:vAlign w:val="center"/>
          </w:tcPr>
          <w:p w14:paraId="206FB386">
            <w:pPr>
              <w:spacing w:line="360" w:lineRule="auto"/>
              <w:rPr>
                <w:rFonts w:ascii="仿宋" w:hAnsi="仿宋" w:eastAsia="仿宋" w:cs="仿宋"/>
                <w:sz w:val="28"/>
                <w:szCs w:val="28"/>
                <w:lang w:val="zh-CN"/>
              </w:rPr>
            </w:pPr>
          </w:p>
        </w:tc>
      </w:tr>
      <w:tr w14:paraId="735F573A">
        <w:tblPrEx>
          <w:tblCellMar>
            <w:top w:w="0" w:type="dxa"/>
            <w:left w:w="10" w:type="dxa"/>
            <w:bottom w:w="0" w:type="dxa"/>
            <w:right w:w="10" w:type="dxa"/>
          </w:tblCellMar>
        </w:tblPrEx>
        <w:trPr>
          <w:trHeight w:val="284"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50FBB264">
            <w:pPr>
              <w:spacing w:line="360" w:lineRule="auto"/>
              <w:rPr>
                <w:rFonts w:ascii="仿宋" w:hAnsi="仿宋" w:eastAsia="仿宋" w:cs="仿宋"/>
                <w:sz w:val="28"/>
                <w:szCs w:val="28"/>
                <w:lang w:val="zh-CN"/>
              </w:rPr>
            </w:pPr>
          </w:p>
        </w:tc>
        <w:tc>
          <w:tcPr>
            <w:tcW w:w="1404" w:type="dxa"/>
            <w:tcBorders>
              <w:top w:val="single" w:color="auto" w:sz="4" w:space="0"/>
              <w:left w:val="single" w:color="auto" w:sz="4" w:space="0"/>
              <w:bottom w:val="single" w:color="auto" w:sz="4" w:space="0"/>
              <w:right w:val="single" w:color="auto" w:sz="4" w:space="0"/>
            </w:tcBorders>
            <w:vAlign w:val="center"/>
          </w:tcPr>
          <w:p w14:paraId="62F78111">
            <w:pPr>
              <w:spacing w:line="360" w:lineRule="auto"/>
              <w:rPr>
                <w:rFonts w:ascii="仿宋" w:hAnsi="仿宋" w:eastAsia="仿宋" w:cs="仿宋"/>
                <w:sz w:val="28"/>
                <w:szCs w:val="28"/>
                <w:lang w:val="zh-CN"/>
              </w:rPr>
            </w:pPr>
          </w:p>
        </w:tc>
        <w:tc>
          <w:tcPr>
            <w:tcW w:w="2916" w:type="dxa"/>
            <w:tcBorders>
              <w:top w:val="single" w:color="auto" w:sz="4" w:space="0"/>
              <w:left w:val="single" w:color="auto" w:sz="4" w:space="0"/>
              <w:bottom w:val="single" w:color="auto" w:sz="4" w:space="0"/>
              <w:right w:val="single" w:color="auto" w:sz="4" w:space="0"/>
            </w:tcBorders>
            <w:vAlign w:val="center"/>
          </w:tcPr>
          <w:p w14:paraId="4C1F41BE">
            <w:pPr>
              <w:spacing w:line="360" w:lineRule="auto"/>
              <w:rPr>
                <w:rFonts w:ascii="仿宋" w:hAnsi="仿宋" w:eastAsia="仿宋" w:cs="仿宋"/>
                <w:sz w:val="28"/>
                <w:szCs w:val="28"/>
                <w:lang w:val="zh-CN"/>
              </w:rPr>
            </w:pP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6629E452">
            <w:pPr>
              <w:spacing w:line="360" w:lineRule="auto"/>
              <w:rPr>
                <w:rFonts w:ascii="仿宋" w:hAnsi="仿宋" w:eastAsia="仿宋" w:cs="仿宋"/>
                <w:sz w:val="28"/>
                <w:szCs w:val="28"/>
                <w:lang w:val="zh-CN"/>
              </w:rPr>
            </w:pPr>
          </w:p>
        </w:tc>
        <w:tc>
          <w:tcPr>
            <w:tcW w:w="1106" w:type="dxa"/>
            <w:tcBorders>
              <w:top w:val="single" w:color="auto" w:sz="4" w:space="0"/>
              <w:left w:val="single" w:color="auto" w:sz="4" w:space="0"/>
              <w:bottom w:val="single" w:color="auto" w:sz="4" w:space="0"/>
              <w:right w:val="single" w:color="auto" w:sz="4" w:space="0"/>
            </w:tcBorders>
            <w:vAlign w:val="center"/>
          </w:tcPr>
          <w:p w14:paraId="702916DF">
            <w:pPr>
              <w:spacing w:line="360" w:lineRule="auto"/>
              <w:rPr>
                <w:rFonts w:ascii="仿宋" w:hAnsi="仿宋" w:eastAsia="仿宋" w:cs="仿宋"/>
                <w:sz w:val="28"/>
                <w:szCs w:val="28"/>
                <w:lang w:val="zh-CN"/>
              </w:rPr>
            </w:pPr>
          </w:p>
        </w:tc>
      </w:tr>
      <w:tr w14:paraId="5EC6F3D2">
        <w:tblPrEx>
          <w:tblCellMar>
            <w:top w:w="0" w:type="dxa"/>
            <w:left w:w="10" w:type="dxa"/>
            <w:bottom w:w="0" w:type="dxa"/>
            <w:right w:w="10" w:type="dxa"/>
          </w:tblCellMar>
        </w:tblPrEx>
        <w:trPr>
          <w:trHeight w:val="284"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2BA253C4">
            <w:pPr>
              <w:spacing w:line="360" w:lineRule="auto"/>
              <w:rPr>
                <w:rFonts w:ascii="仿宋" w:hAnsi="仿宋" w:eastAsia="仿宋" w:cs="仿宋"/>
                <w:sz w:val="28"/>
                <w:szCs w:val="28"/>
                <w:lang w:val="zh-CN"/>
              </w:rPr>
            </w:pPr>
          </w:p>
        </w:tc>
        <w:tc>
          <w:tcPr>
            <w:tcW w:w="1404" w:type="dxa"/>
            <w:tcBorders>
              <w:top w:val="single" w:color="auto" w:sz="4" w:space="0"/>
              <w:left w:val="single" w:color="auto" w:sz="4" w:space="0"/>
              <w:bottom w:val="single" w:color="auto" w:sz="4" w:space="0"/>
              <w:right w:val="single" w:color="auto" w:sz="4" w:space="0"/>
            </w:tcBorders>
            <w:vAlign w:val="center"/>
          </w:tcPr>
          <w:p w14:paraId="0D745E3F">
            <w:pPr>
              <w:spacing w:line="360" w:lineRule="auto"/>
              <w:rPr>
                <w:rFonts w:ascii="仿宋" w:hAnsi="仿宋" w:eastAsia="仿宋" w:cs="仿宋"/>
                <w:sz w:val="28"/>
                <w:szCs w:val="28"/>
                <w:lang w:val="zh-CN"/>
              </w:rPr>
            </w:pPr>
          </w:p>
        </w:tc>
        <w:tc>
          <w:tcPr>
            <w:tcW w:w="2916" w:type="dxa"/>
            <w:tcBorders>
              <w:top w:val="single" w:color="auto" w:sz="4" w:space="0"/>
              <w:left w:val="single" w:color="auto" w:sz="4" w:space="0"/>
              <w:bottom w:val="single" w:color="auto" w:sz="4" w:space="0"/>
              <w:right w:val="single" w:color="auto" w:sz="4" w:space="0"/>
            </w:tcBorders>
            <w:vAlign w:val="center"/>
          </w:tcPr>
          <w:p w14:paraId="44505AC6">
            <w:pPr>
              <w:spacing w:line="360" w:lineRule="auto"/>
              <w:rPr>
                <w:rFonts w:ascii="仿宋" w:hAnsi="仿宋" w:eastAsia="仿宋" w:cs="仿宋"/>
                <w:sz w:val="28"/>
                <w:szCs w:val="28"/>
                <w:lang w:val="zh-CN"/>
              </w:rPr>
            </w:pP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59B72722">
            <w:pPr>
              <w:spacing w:line="360" w:lineRule="auto"/>
              <w:rPr>
                <w:rFonts w:ascii="仿宋" w:hAnsi="仿宋" w:eastAsia="仿宋" w:cs="仿宋"/>
                <w:sz w:val="28"/>
                <w:szCs w:val="28"/>
                <w:lang w:val="zh-CN"/>
              </w:rPr>
            </w:pPr>
          </w:p>
        </w:tc>
        <w:tc>
          <w:tcPr>
            <w:tcW w:w="1106" w:type="dxa"/>
            <w:tcBorders>
              <w:top w:val="single" w:color="auto" w:sz="4" w:space="0"/>
              <w:left w:val="single" w:color="auto" w:sz="4" w:space="0"/>
              <w:bottom w:val="single" w:color="auto" w:sz="4" w:space="0"/>
              <w:right w:val="single" w:color="auto" w:sz="4" w:space="0"/>
            </w:tcBorders>
            <w:vAlign w:val="center"/>
          </w:tcPr>
          <w:p w14:paraId="62652EF2">
            <w:pPr>
              <w:spacing w:line="360" w:lineRule="auto"/>
              <w:rPr>
                <w:rFonts w:ascii="仿宋" w:hAnsi="仿宋" w:eastAsia="仿宋" w:cs="仿宋"/>
                <w:sz w:val="28"/>
                <w:szCs w:val="28"/>
                <w:lang w:val="zh-CN"/>
              </w:rPr>
            </w:pPr>
          </w:p>
        </w:tc>
      </w:tr>
    </w:tbl>
    <w:p w14:paraId="1184AD70">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说明：此表行数不够填写，请自行增加。</w:t>
      </w:r>
    </w:p>
    <w:p w14:paraId="29FE559D">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投标人名称:（盖章）</w:t>
      </w:r>
    </w:p>
    <w:p w14:paraId="1D273D28">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法定代表人或授权委托人：（签字）</w:t>
      </w:r>
    </w:p>
    <w:p w14:paraId="0561E833">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日期：</w:t>
      </w:r>
    </w:p>
    <w:p w14:paraId="181596A4">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填制正负偏离表，完全响应的，请以空白表列示。不完全响应的，必须在偏离表中列示；列示不全的，视同故意隐瞒。</w:t>
      </w:r>
    </w:p>
    <w:p w14:paraId="0F40C834">
      <w:pPr>
        <w:spacing w:before="156" w:beforeLines="50" w:after="156" w:afterLines="50" w:line="360" w:lineRule="auto"/>
        <w:rPr>
          <w:rFonts w:ascii="仿宋" w:hAnsi="仿宋" w:eastAsia="仿宋" w:cs="仿宋"/>
          <w:sz w:val="28"/>
          <w:szCs w:val="28"/>
          <w:lang w:val="zh-CN"/>
        </w:rPr>
      </w:pPr>
      <w:r>
        <w:rPr>
          <w:rFonts w:hint="eastAsia" w:ascii="仿宋" w:hAnsi="仿宋" w:eastAsia="仿宋" w:cs="仿宋"/>
          <w:sz w:val="28"/>
          <w:szCs w:val="28"/>
          <w:lang w:val="zh-CN"/>
        </w:rPr>
        <w:br w:type="page"/>
      </w:r>
    </w:p>
    <w:p w14:paraId="434D3654">
      <w:pPr>
        <w:spacing w:line="360" w:lineRule="auto"/>
        <w:jc w:val="center"/>
        <w:rPr>
          <w:rFonts w:ascii="仿宋" w:hAnsi="仿宋" w:eastAsia="仿宋" w:cs="仿宋"/>
          <w:sz w:val="28"/>
          <w:szCs w:val="28"/>
          <w:lang w:val="zh-CN"/>
        </w:rPr>
      </w:pPr>
      <w:r>
        <w:rPr>
          <w:rFonts w:hint="eastAsia" w:ascii="仿宋" w:hAnsi="仿宋" w:eastAsia="仿宋" w:cs="仿宋"/>
          <w:sz w:val="28"/>
          <w:szCs w:val="28"/>
          <w:lang w:val="zh-CN"/>
        </w:rPr>
        <w:t>技术部分正负偏离表</w:t>
      </w:r>
    </w:p>
    <w:p w14:paraId="0429FA47">
      <w:pPr>
        <w:spacing w:before="156" w:beforeLines="50" w:after="156" w:afterLines="50" w:line="360" w:lineRule="auto"/>
        <w:rPr>
          <w:rFonts w:ascii="仿宋" w:hAnsi="仿宋" w:eastAsia="仿宋" w:cs="仿宋"/>
          <w:sz w:val="28"/>
          <w:szCs w:val="28"/>
          <w:lang w:val="zh-CN"/>
        </w:rPr>
      </w:pPr>
    </w:p>
    <w:tbl>
      <w:tblPr>
        <w:tblStyle w:val="9"/>
        <w:tblW w:w="9424" w:type="dxa"/>
        <w:jc w:val="center"/>
        <w:tblLayout w:type="fixed"/>
        <w:tblCellMar>
          <w:top w:w="0" w:type="dxa"/>
          <w:left w:w="10" w:type="dxa"/>
          <w:bottom w:w="0" w:type="dxa"/>
          <w:right w:w="10" w:type="dxa"/>
        </w:tblCellMar>
      </w:tblPr>
      <w:tblGrid>
        <w:gridCol w:w="758"/>
        <w:gridCol w:w="1404"/>
        <w:gridCol w:w="2916"/>
        <w:gridCol w:w="1298"/>
        <w:gridCol w:w="1942"/>
        <w:gridCol w:w="1106"/>
      </w:tblGrid>
      <w:tr w14:paraId="6B53A509">
        <w:tblPrEx>
          <w:tblCellMar>
            <w:top w:w="0" w:type="dxa"/>
            <w:left w:w="10" w:type="dxa"/>
            <w:bottom w:w="0" w:type="dxa"/>
            <w:right w:w="10" w:type="dxa"/>
          </w:tblCellMar>
        </w:tblPrEx>
        <w:trPr>
          <w:trHeight w:val="284" w:hRule="atLeast"/>
          <w:jc w:val="center"/>
        </w:trPr>
        <w:tc>
          <w:tcPr>
            <w:tcW w:w="6376" w:type="dxa"/>
            <w:gridSpan w:val="4"/>
            <w:tcBorders>
              <w:bottom w:val="single" w:color="auto" w:sz="4" w:space="0"/>
            </w:tcBorders>
            <w:vAlign w:val="center"/>
          </w:tcPr>
          <w:p w14:paraId="59732D63">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项目名称：</w:t>
            </w:r>
          </w:p>
        </w:tc>
        <w:tc>
          <w:tcPr>
            <w:tcW w:w="3048" w:type="dxa"/>
            <w:gridSpan w:val="2"/>
            <w:tcBorders>
              <w:bottom w:val="single" w:color="auto" w:sz="4" w:space="0"/>
            </w:tcBorders>
            <w:vAlign w:val="center"/>
          </w:tcPr>
          <w:p w14:paraId="32A126A0">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 xml:space="preserve">项目编号： </w:t>
            </w:r>
          </w:p>
        </w:tc>
      </w:tr>
      <w:tr w14:paraId="43B4D2AC">
        <w:tblPrEx>
          <w:tblCellMar>
            <w:top w:w="0" w:type="dxa"/>
            <w:left w:w="10" w:type="dxa"/>
            <w:bottom w:w="0" w:type="dxa"/>
            <w:right w:w="10" w:type="dxa"/>
          </w:tblCellMar>
        </w:tblPrEx>
        <w:trPr>
          <w:trHeight w:val="284"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02EF2D1B">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序号</w:t>
            </w:r>
          </w:p>
        </w:tc>
        <w:tc>
          <w:tcPr>
            <w:tcW w:w="1404" w:type="dxa"/>
            <w:tcBorders>
              <w:top w:val="single" w:color="auto" w:sz="4" w:space="0"/>
              <w:left w:val="single" w:color="auto" w:sz="4" w:space="0"/>
              <w:bottom w:val="single" w:color="auto" w:sz="4" w:space="0"/>
              <w:right w:val="single" w:color="auto" w:sz="4" w:space="0"/>
            </w:tcBorders>
            <w:vAlign w:val="center"/>
          </w:tcPr>
          <w:p w14:paraId="2CA20867">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招标文件</w:t>
            </w:r>
          </w:p>
          <w:p w14:paraId="5F29159C">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条目号</w:t>
            </w:r>
          </w:p>
        </w:tc>
        <w:tc>
          <w:tcPr>
            <w:tcW w:w="2916" w:type="dxa"/>
            <w:tcBorders>
              <w:top w:val="single" w:color="auto" w:sz="4" w:space="0"/>
              <w:left w:val="single" w:color="auto" w:sz="4" w:space="0"/>
              <w:bottom w:val="single" w:color="auto" w:sz="4" w:space="0"/>
              <w:right w:val="single" w:color="auto" w:sz="4" w:space="0"/>
            </w:tcBorders>
            <w:vAlign w:val="center"/>
          </w:tcPr>
          <w:p w14:paraId="462EE95F">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招标要求规格</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10BBCA57">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投标响应</w:t>
            </w:r>
          </w:p>
        </w:tc>
        <w:tc>
          <w:tcPr>
            <w:tcW w:w="1106" w:type="dxa"/>
            <w:tcBorders>
              <w:top w:val="single" w:color="auto" w:sz="4" w:space="0"/>
              <w:left w:val="single" w:color="auto" w:sz="4" w:space="0"/>
              <w:bottom w:val="single" w:color="auto" w:sz="4" w:space="0"/>
              <w:right w:val="single" w:color="auto" w:sz="4" w:space="0"/>
            </w:tcBorders>
            <w:vAlign w:val="center"/>
          </w:tcPr>
          <w:p w14:paraId="0F4E2381">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偏离</w:t>
            </w:r>
          </w:p>
        </w:tc>
      </w:tr>
      <w:tr w14:paraId="6B0FEF76">
        <w:tblPrEx>
          <w:tblCellMar>
            <w:top w:w="0" w:type="dxa"/>
            <w:left w:w="10" w:type="dxa"/>
            <w:bottom w:w="0" w:type="dxa"/>
            <w:right w:w="10" w:type="dxa"/>
          </w:tblCellMar>
        </w:tblPrEx>
        <w:trPr>
          <w:trHeight w:val="284"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0B02DCEA">
            <w:pPr>
              <w:spacing w:line="360" w:lineRule="auto"/>
              <w:rPr>
                <w:rFonts w:ascii="仿宋" w:hAnsi="仿宋" w:eastAsia="仿宋" w:cs="仿宋"/>
                <w:sz w:val="28"/>
                <w:szCs w:val="28"/>
                <w:lang w:val="zh-CN"/>
              </w:rPr>
            </w:pPr>
          </w:p>
        </w:tc>
        <w:tc>
          <w:tcPr>
            <w:tcW w:w="1404" w:type="dxa"/>
            <w:tcBorders>
              <w:top w:val="single" w:color="auto" w:sz="4" w:space="0"/>
              <w:left w:val="single" w:color="auto" w:sz="4" w:space="0"/>
              <w:bottom w:val="single" w:color="auto" w:sz="4" w:space="0"/>
              <w:right w:val="single" w:color="auto" w:sz="4" w:space="0"/>
            </w:tcBorders>
            <w:vAlign w:val="center"/>
          </w:tcPr>
          <w:p w14:paraId="07E1BAFA">
            <w:pPr>
              <w:spacing w:line="360" w:lineRule="auto"/>
              <w:rPr>
                <w:rFonts w:ascii="仿宋" w:hAnsi="仿宋" w:eastAsia="仿宋" w:cs="仿宋"/>
                <w:sz w:val="28"/>
                <w:szCs w:val="28"/>
                <w:lang w:val="zh-CN"/>
              </w:rPr>
            </w:pPr>
          </w:p>
        </w:tc>
        <w:tc>
          <w:tcPr>
            <w:tcW w:w="2916" w:type="dxa"/>
            <w:tcBorders>
              <w:top w:val="single" w:color="auto" w:sz="4" w:space="0"/>
              <w:left w:val="single" w:color="auto" w:sz="4" w:space="0"/>
              <w:bottom w:val="single" w:color="auto" w:sz="4" w:space="0"/>
              <w:right w:val="single" w:color="auto" w:sz="4" w:space="0"/>
            </w:tcBorders>
            <w:vAlign w:val="center"/>
          </w:tcPr>
          <w:p w14:paraId="79CEC49C">
            <w:pPr>
              <w:spacing w:line="360" w:lineRule="auto"/>
              <w:rPr>
                <w:rFonts w:ascii="仿宋" w:hAnsi="仿宋" w:eastAsia="仿宋" w:cs="仿宋"/>
                <w:sz w:val="28"/>
                <w:szCs w:val="28"/>
                <w:lang w:val="zh-CN"/>
              </w:rPr>
            </w:pP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0C5992EE">
            <w:pPr>
              <w:spacing w:line="360" w:lineRule="auto"/>
              <w:rPr>
                <w:rFonts w:ascii="仿宋" w:hAnsi="仿宋" w:eastAsia="仿宋" w:cs="仿宋"/>
                <w:sz w:val="28"/>
                <w:szCs w:val="28"/>
                <w:lang w:val="zh-CN"/>
              </w:rPr>
            </w:pPr>
          </w:p>
        </w:tc>
        <w:tc>
          <w:tcPr>
            <w:tcW w:w="1106" w:type="dxa"/>
            <w:tcBorders>
              <w:top w:val="single" w:color="auto" w:sz="4" w:space="0"/>
              <w:left w:val="single" w:color="auto" w:sz="4" w:space="0"/>
              <w:bottom w:val="single" w:color="auto" w:sz="4" w:space="0"/>
              <w:right w:val="single" w:color="auto" w:sz="4" w:space="0"/>
            </w:tcBorders>
            <w:vAlign w:val="center"/>
          </w:tcPr>
          <w:p w14:paraId="63666A7B">
            <w:pPr>
              <w:spacing w:line="360" w:lineRule="auto"/>
              <w:rPr>
                <w:rFonts w:ascii="仿宋" w:hAnsi="仿宋" w:eastAsia="仿宋" w:cs="仿宋"/>
                <w:sz w:val="28"/>
                <w:szCs w:val="28"/>
                <w:lang w:val="zh-CN"/>
              </w:rPr>
            </w:pPr>
          </w:p>
        </w:tc>
      </w:tr>
      <w:tr w14:paraId="021F92DA">
        <w:tblPrEx>
          <w:tblCellMar>
            <w:top w:w="0" w:type="dxa"/>
            <w:left w:w="10" w:type="dxa"/>
            <w:bottom w:w="0" w:type="dxa"/>
            <w:right w:w="10" w:type="dxa"/>
          </w:tblCellMar>
        </w:tblPrEx>
        <w:trPr>
          <w:trHeight w:val="284"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5D626898">
            <w:pPr>
              <w:spacing w:line="360" w:lineRule="auto"/>
              <w:rPr>
                <w:rFonts w:ascii="仿宋" w:hAnsi="仿宋" w:eastAsia="仿宋" w:cs="仿宋"/>
                <w:sz w:val="28"/>
                <w:szCs w:val="28"/>
                <w:lang w:val="zh-CN"/>
              </w:rPr>
            </w:pPr>
          </w:p>
        </w:tc>
        <w:tc>
          <w:tcPr>
            <w:tcW w:w="1404" w:type="dxa"/>
            <w:tcBorders>
              <w:top w:val="single" w:color="auto" w:sz="4" w:space="0"/>
              <w:left w:val="single" w:color="auto" w:sz="4" w:space="0"/>
              <w:bottom w:val="single" w:color="auto" w:sz="4" w:space="0"/>
              <w:right w:val="single" w:color="auto" w:sz="4" w:space="0"/>
            </w:tcBorders>
            <w:vAlign w:val="center"/>
          </w:tcPr>
          <w:p w14:paraId="23536A42">
            <w:pPr>
              <w:spacing w:line="360" w:lineRule="auto"/>
              <w:rPr>
                <w:rFonts w:ascii="仿宋" w:hAnsi="仿宋" w:eastAsia="仿宋" w:cs="仿宋"/>
                <w:sz w:val="28"/>
                <w:szCs w:val="28"/>
                <w:lang w:val="zh-CN"/>
              </w:rPr>
            </w:pPr>
          </w:p>
        </w:tc>
        <w:tc>
          <w:tcPr>
            <w:tcW w:w="2916" w:type="dxa"/>
            <w:tcBorders>
              <w:top w:val="single" w:color="auto" w:sz="4" w:space="0"/>
              <w:left w:val="single" w:color="auto" w:sz="4" w:space="0"/>
              <w:bottom w:val="single" w:color="auto" w:sz="4" w:space="0"/>
              <w:right w:val="single" w:color="auto" w:sz="4" w:space="0"/>
            </w:tcBorders>
            <w:vAlign w:val="center"/>
          </w:tcPr>
          <w:p w14:paraId="5220340D">
            <w:pPr>
              <w:spacing w:line="360" w:lineRule="auto"/>
              <w:rPr>
                <w:rFonts w:ascii="仿宋" w:hAnsi="仿宋" w:eastAsia="仿宋" w:cs="仿宋"/>
                <w:sz w:val="28"/>
                <w:szCs w:val="28"/>
                <w:lang w:val="zh-CN"/>
              </w:rPr>
            </w:pP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3879BAE7">
            <w:pPr>
              <w:spacing w:line="360" w:lineRule="auto"/>
              <w:rPr>
                <w:rFonts w:ascii="仿宋" w:hAnsi="仿宋" w:eastAsia="仿宋" w:cs="仿宋"/>
                <w:sz w:val="28"/>
                <w:szCs w:val="28"/>
                <w:lang w:val="zh-CN"/>
              </w:rPr>
            </w:pPr>
          </w:p>
        </w:tc>
        <w:tc>
          <w:tcPr>
            <w:tcW w:w="1106" w:type="dxa"/>
            <w:tcBorders>
              <w:top w:val="single" w:color="auto" w:sz="4" w:space="0"/>
              <w:left w:val="single" w:color="auto" w:sz="4" w:space="0"/>
              <w:bottom w:val="single" w:color="auto" w:sz="4" w:space="0"/>
              <w:right w:val="single" w:color="auto" w:sz="4" w:space="0"/>
            </w:tcBorders>
            <w:vAlign w:val="center"/>
          </w:tcPr>
          <w:p w14:paraId="31040423">
            <w:pPr>
              <w:spacing w:line="360" w:lineRule="auto"/>
              <w:rPr>
                <w:rFonts w:ascii="仿宋" w:hAnsi="仿宋" w:eastAsia="仿宋" w:cs="仿宋"/>
                <w:sz w:val="28"/>
                <w:szCs w:val="28"/>
                <w:lang w:val="zh-CN"/>
              </w:rPr>
            </w:pPr>
          </w:p>
        </w:tc>
      </w:tr>
      <w:tr w14:paraId="08345D57">
        <w:tblPrEx>
          <w:tblCellMar>
            <w:top w:w="0" w:type="dxa"/>
            <w:left w:w="10" w:type="dxa"/>
            <w:bottom w:w="0" w:type="dxa"/>
            <w:right w:w="10" w:type="dxa"/>
          </w:tblCellMar>
        </w:tblPrEx>
        <w:trPr>
          <w:trHeight w:val="284"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14:paraId="10516A66">
            <w:pPr>
              <w:spacing w:line="360" w:lineRule="auto"/>
              <w:rPr>
                <w:rFonts w:ascii="仿宋" w:hAnsi="仿宋" w:eastAsia="仿宋" w:cs="仿宋"/>
                <w:sz w:val="28"/>
                <w:szCs w:val="28"/>
                <w:lang w:val="zh-CN"/>
              </w:rPr>
            </w:pPr>
          </w:p>
        </w:tc>
        <w:tc>
          <w:tcPr>
            <w:tcW w:w="1404" w:type="dxa"/>
            <w:tcBorders>
              <w:top w:val="single" w:color="auto" w:sz="4" w:space="0"/>
              <w:left w:val="single" w:color="auto" w:sz="4" w:space="0"/>
              <w:bottom w:val="single" w:color="auto" w:sz="4" w:space="0"/>
              <w:right w:val="single" w:color="auto" w:sz="4" w:space="0"/>
            </w:tcBorders>
            <w:vAlign w:val="center"/>
          </w:tcPr>
          <w:p w14:paraId="1E6B7D30">
            <w:pPr>
              <w:spacing w:line="360" w:lineRule="auto"/>
              <w:rPr>
                <w:rFonts w:ascii="仿宋" w:hAnsi="仿宋" w:eastAsia="仿宋" w:cs="仿宋"/>
                <w:sz w:val="28"/>
                <w:szCs w:val="28"/>
                <w:lang w:val="zh-CN"/>
              </w:rPr>
            </w:pPr>
          </w:p>
        </w:tc>
        <w:tc>
          <w:tcPr>
            <w:tcW w:w="2916" w:type="dxa"/>
            <w:tcBorders>
              <w:top w:val="single" w:color="auto" w:sz="4" w:space="0"/>
              <w:left w:val="single" w:color="auto" w:sz="4" w:space="0"/>
              <w:bottom w:val="single" w:color="auto" w:sz="4" w:space="0"/>
              <w:right w:val="single" w:color="auto" w:sz="4" w:space="0"/>
            </w:tcBorders>
            <w:vAlign w:val="center"/>
          </w:tcPr>
          <w:p w14:paraId="1CAE5269">
            <w:pPr>
              <w:spacing w:line="360" w:lineRule="auto"/>
              <w:rPr>
                <w:rFonts w:ascii="仿宋" w:hAnsi="仿宋" w:eastAsia="仿宋" w:cs="仿宋"/>
                <w:sz w:val="28"/>
                <w:szCs w:val="28"/>
                <w:lang w:val="zh-CN"/>
              </w:rPr>
            </w:pP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669C53EB">
            <w:pPr>
              <w:spacing w:line="360" w:lineRule="auto"/>
              <w:rPr>
                <w:rFonts w:ascii="仿宋" w:hAnsi="仿宋" w:eastAsia="仿宋" w:cs="仿宋"/>
                <w:sz w:val="28"/>
                <w:szCs w:val="28"/>
                <w:lang w:val="zh-CN"/>
              </w:rPr>
            </w:pPr>
          </w:p>
        </w:tc>
        <w:tc>
          <w:tcPr>
            <w:tcW w:w="1106" w:type="dxa"/>
            <w:tcBorders>
              <w:top w:val="single" w:color="auto" w:sz="4" w:space="0"/>
              <w:left w:val="single" w:color="auto" w:sz="4" w:space="0"/>
              <w:bottom w:val="single" w:color="auto" w:sz="4" w:space="0"/>
              <w:right w:val="single" w:color="auto" w:sz="4" w:space="0"/>
            </w:tcBorders>
            <w:vAlign w:val="center"/>
          </w:tcPr>
          <w:p w14:paraId="164C4D0B">
            <w:pPr>
              <w:spacing w:line="360" w:lineRule="auto"/>
              <w:rPr>
                <w:rFonts w:ascii="仿宋" w:hAnsi="仿宋" w:eastAsia="仿宋" w:cs="仿宋"/>
                <w:sz w:val="28"/>
                <w:szCs w:val="28"/>
                <w:lang w:val="zh-CN"/>
              </w:rPr>
            </w:pPr>
          </w:p>
        </w:tc>
      </w:tr>
    </w:tbl>
    <w:p w14:paraId="5BED8AE0">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说明：此表行数不够填写，请自行增加。</w:t>
      </w:r>
    </w:p>
    <w:p w14:paraId="42F59D06">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投标人名称:（盖章）</w:t>
      </w:r>
    </w:p>
    <w:p w14:paraId="6395CD5D">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法定代表人或授权委托人：（签字）</w:t>
      </w:r>
    </w:p>
    <w:p w14:paraId="04F44EFE">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日期：</w:t>
      </w:r>
    </w:p>
    <w:p w14:paraId="2B871076">
      <w:pPr>
        <w:spacing w:line="360" w:lineRule="auto"/>
        <w:rPr>
          <w:rFonts w:ascii="仿宋" w:hAnsi="仿宋" w:eastAsia="仿宋" w:cs="仿宋"/>
          <w:sz w:val="28"/>
          <w:szCs w:val="28"/>
          <w:lang w:val="zh-CN"/>
        </w:rPr>
      </w:pPr>
      <w:r>
        <w:rPr>
          <w:rFonts w:hint="eastAsia" w:ascii="仿宋" w:hAnsi="仿宋" w:eastAsia="仿宋" w:cs="仿宋"/>
          <w:sz w:val="28"/>
          <w:szCs w:val="28"/>
          <w:lang w:val="zh-CN"/>
        </w:rPr>
        <w:t>填制正负偏离表，完全响应的，请以空白表列示。不完全响应的，必须在偏离表中列示；列示不全的，视同故意隐瞒。</w:t>
      </w:r>
    </w:p>
    <w:p w14:paraId="778F3C75">
      <w:pPr>
        <w:spacing w:before="156" w:beforeLines="50" w:after="156" w:afterLines="50" w:line="360" w:lineRule="auto"/>
        <w:rPr>
          <w:rFonts w:ascii="仿宋" w:hAnsi="仿宋" w:eastAsia="仿宋" w:cs="仿宋"/>
          <w:sz w:val="28"/>
          <w:szCs w:val="28"/>
          <w:lang w:val="zh-CN"/>
        </w:rPr>
      </w:pPr>
      <w:r>
        <w:rPr>
          <w:rFonts w:hint="eastAsia" w:ascii="仿宋" w:hAnsi="仿宋" w:eastAsia="仿宋" w:cs="仿宋"/>
          <w:sz w:val="28"/>
          <w:szCs w:val="28"/>
          <w:lang w:val="zh-CN"/>
        </w:rPr>
        <w:br w:type="page"/>
      </w:r>
    </w:p>
    <w:p w14:paraId="4D0F3A2E">
      <w:pPr>
        <w:keepNext/>
        <w:keepLines/>
        <w:spacing w:before="156" w:after="156" w:line="416" w:lineRule="auto"/>
        <w:ind w:firstLine="562"/>
        <w:jc w:val="center"/>
        <w:outlineLvl w:val="1"/>
        <w:rPr>
          <w:rFonts w:ascii="仿宋" w:hAnsi="仿宋" w:eastAsia="仿宋" w:cs="仿宋"/>
          <w:bCs/>
          <w:sz w:val="28"/>
          <w:szCs w:val="28"/>
        </w:rPr>
      </w:pPr>
      <w:r>
        <w:rPr>
          <w:rFonts w:hint="eastAsia" w:ascii="仿宋" w:hAnsi="仿宋" w:eastAsia="仿宋" w:cs="仿宋"/>
          <w:b/>
          <w:bCs/>
          <w:sz w:val="28"/>
          <w:szCs w:val="28"/>
        </w:rPr>
        <w:t>十、投标报价总表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1"/>
        <w:gridCol w:w="6227"/>
      </w:tblGrid>
      <w:tr w14:paraId="5126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6" w:type="pct"/>
          </w:tcPr>
          <w:p w14:paraId="6F636C44">
            <w:pPr>
              <w:jc w:val="center"/>
              <w:rPr>
                <w:rFonts w:ascii="仿宋" w:hAnsi="仿宋" w:eastAsia="仿宋" w:cs="仿宋"/>
                <w:sz w:val="28"/>
                <w:szCs w:val="28"/>
              </w:rPr>
            </w:pPr>
            <w:r>
              <w:rPr>
                <w:rFonts w:hint="eastAsia" w:ascii="仿宋" w:hAnsi="仿宋" w:eastAsia="仿宋" w:cs="仿宋"/>
                <w:kern w:val="0"/>
                <w:sz w:val="28"/>
                <w:szCs w:val="28"/>
              </w:rPr>
              <w:t>项目名称</w:t>
            </w:r>
          </w:p>
        </w:tc>
        <w:tc>
          <w:tcPr>
            <w:tcW w:w="3234" w:type="pct"/>
          </w:tcPr>
          <w:p w14:paraId="543D5D05">
            <w:pPr>
              <w:jc w:val="center"/>
              <w:rPr>
                <w:rFonts w:ascii="仿宋" w:hAnsi="仿宋" w:eastAsia="仿宋" w:cs="仿宋"/>
                <w:sz w:val="28"/>
                <w:szCs w:val="28"/>
              </w:rPr>
            </w:pPr>
            <w:r>
              <w:rPr>
                <w:rFonts w:hint="eastAsia" w:ascii="仿宋" w:hAnsi="仿宋" w:eastAsia="仿宋" w:cs="仿宋"/>
                <w:kern w:val="0"/>
                <w:sz w:val="28"/>
                <w:szCs w:val="28"/>
              </w:rPr>
              <w:t>磋商总报价（首次）</w:t>
            </w:r>
          </w:p>
        </w:tc>
      </w:tr>
      <w:tr w14:paraId="7465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1766" w:type="pct"/>
            <w:vAlign w:val="center"/>
          </w:tcPr>
          <w:p w14:paraId="4A418614">
            <w:pPr>
              <w:jc w:val="center"/>
              <w:rPr>
                <w:rFonts w:ascii="仿宋" w:hAnsi="仿宋" w:eastAsia="仿宋" w:cs="仿宋"/>
                <w:sz w:val="28"/>
                <w:szCs w:val="28"/>
              </w:rPr>
            </w:pPr>
          </w:p>
        </w:tc>
        <w:tc>
          <w:tcPr>
            <w:tcW w:w="3234" w:type="pct"/>
            <w:vAlign w:val="center"/>
          </w:tcPr>
          <w:p w14:paraId="4EC19B09">
            <w:pPr>
              <w:rPr>
                <w:rFonts w:ascii="仿宋" w:hAnsi="仿宋" w:eastAsia="仿宋" w:cs="仿宋"/>
                <w:sz w:val="28"/>
                <w:szCs w:val="28"/>
                <w:u w:val="single"/>
              </w:rPr>
            </w:pPr>
            <w:r>
              <w:rPr>
                <w:rFonts w:ascii="仿宋" w:hAnsi="仿宋" w:eastAsia="仿宋" w:cs="宋体"/>
                <w:kern w:val="0"/>
                <w:sz w:val="28"/>
                <w:szCs w:val="28"/>
              </w:rPr>
              <w:t>大写：</w:t>
            </w:r>
            <w:r>
              <w:rPr>
                <w:rFonts w:hint="eastAsia" w:ascii="仿宋" w:hAnsi="仿宋" w:eastAsia="仿宋" w:cs="宋体"/>
                <w:kern w:val="0"/>
                <w:sz w:val="28"/>
                <w:szCs w:val="28"/>
              </w:rPr>
              <w:t xml:space="preserve"> </w:t>
            </w:r>
            <w:r>
              <w:rPr>
                <w:rFonts w:ascii="仿宋" w:hAnsi="仿宋" w:eastAsia="仿宋" w:cs="宋体"/>
                <w:kern w:val="0"/>
                <w:sz w:val="28"/>
                <w:szCs w:val="28"/>
              </w:rPr>
              <w:t xml:space="preserve">   </w:t>
            </w:r>
            <w:r>
              <w:rPr>
                <w:rFonts w:hint="eastAsia" w:ascii="仿宋" w:hAnsi="仿宋" w:eastAsia="仿宋" w:cs="宋体"/>
                <w:kern w:val="0"/>
                <w:sz w:val="28"/>
                <w:szCs w:val="28"/>
              </w:rPr>
              <w:t xml:space="preserve">                元/年 </w:t>
            </w:r>
            <w:r>
              <w:rPr>
                <w:rFonts w:ascii="仿宋" w:hAnsi="仿宋" w:eastAsia="仿宋" w:cs="宋体"/>
                <w:kern w:val="0"/>
                <w:sz w:val="28"/>
                <w:szCs w:val="28"/>
              </w:rPr>
              <w:br w:type="textWrapping"/>
            </w:r>
            <w:r>
              <w:rPr>
                <w:rFonts w:ascii="仿宋" w:hAnsi="仿宋" w:eastAsia="仿宋" w:cs="宋体"/>
                <w:kern w:val="0"/>
                <w:sz w:val="28"/>
                <w:szCs w:val="28"/>
              </w:rPr>
              <w:t>小写：</w:t>
            </w:r>
            <w:r>
              <w:rPr>
                <w:rFonts w:hint="eastAsia" w:ascii="仿宋" w:hAnsi="仿宋" w:eastAsia="仿宋" w:cs="宋体"/>
                <w:kern w:val="0"/>
                <w:sz w:val="28"/>
                <w:szCs w:val="28"/>
              </w:rPr>
              <w:t xml:space="preserve"> </w:t>
            </w:r>
            <w:r>
              <w:rPr>
                <w:rFonts w:ascii="仿宋" w:hAnsi="仿宋" w:eastAsia="仿宋" w:cs="宋体"/>
                <w:kern w:val="0"/>
                <w:sz w:val="28"/>
                <w:szCs w:val="28"/>
              </w:rPr>
              <w:t xml:space="preserve">   </w:t>
            </w:r>
            <w:r>
              <w:rPr>
                <w:rFonts w:hint="eastAsia" w:ascii="仿宋" w:hAnsi="仿宋" w:eastAsia="仿宋" w:cs="宋体"/>
                <w:kern w:val="0"/>
                <w:sz w:val="28"/>
                <w:szCs w:val="28"/>
              </w:rPr>
              <w:t xml:space="preserve">                </w:t>
            </w:r>
            <w:r>
              <w:rPr>
                <w:rFonts w:ascii="仿宋" w:hAnsi="仿宋" w:eastAsia="仿宋" w:cs="宋体"/>
                <w:kern w:val="0"/>
                <w:sz w:val="28"/>
                <w:szCs w:val="28"/>
              </w:rPr>
              <w:t>元</w:t>
            </w:r>
            <w:r>
              <w:rPr>
                <w:rFonts w:hint="eastAsia" w:ascii="仿宋" w:hAnsi="仿宋" w:eastAsia="仿宋" w:cs="宋体"/>
                <w:kern w:val="0"/>
                <w:sz w:val="28"/>
                <w:szCs w:val="28"/>
              </w:rPr>
              <w:t xml:space="preserve">/年 </w:t>
            </w:r>
            <w:r>
              <w:rPr>
                <w:rFonts w:ascii="仿宋" w:hAnsi="仿宋" w:eastAsia="仿宋" w:cs="宋体"/>
                <w:kern w:val="0"/>
                <w:sz w:val="28"/>
                <w:szCs w:val="28"/>
              </w:rPr>
              <w:t>（人民币）</w:t>
            </w:r>
          </w:p>
        </w:tc>
      </w:tr>
      <w:tr w14:paraId="1E0E4D24">
        <w:tblPrEx>
          <w:tblBorders>
            <w:top w:val="single" w:color="auto" w:sz="18" w:space="0"/>
            <w:left w:val="single" w:color="auto" w:sz="18" w:space="0"/>
            <w:bottom w:val="single" w:color="auto" w:sz="18" w:space="0"/>
            <w:right w:val="single" w:color="auto" w:sz="18" w:space="0"/>
            <w:insideH w:val="single" w:color="auto" w:sz="18" w:space="0"/>
            <w:insideV w:val="single" w:color="auto" w:sz="4" w:space="0"/>
          </w:tblBorders>
          <w:tblCellMar>
            <w:top w:w="0" w:type="dxa"/>
            <w:left w:w="108" w:type="dxa"/>
            <w:bottom w:w="0" w:type="dxa"/>
            <w:right w:w="108" w:type="dxa"/>
          </w:tblCellMar>
        </w:tblPrEx>
        <w:trPr>
          <w:trHeight w:val="671" w:hRule="atLeast"/>
          <w:jc w:val="center"/>
        </w:trPr>
        <w:tc>
          <w:tcPr>
            <w:tcW w:w="5000" w:type="pct"/>
            <w:gridSpan w:val="2"/>
            <w:tcBorders>
              <w:top w:val="single" w:color="auto" w:sz="18" w:space="0"/>
              <w:left w:val="single" w:color="auto" w:sz="18" w:space="0"/>
              <w:bottom w:val="single" w:color="auto" w:sz="4" w:space="0"/>
              <w:right w:val="single" w:color="auto" w:sz="18" w:space="0"/>
            </w:tcBorders>
            <w:vAlign w:val="center"/>
          </w:tcPr>
          <w:p w14:paraId="75D596FD">
            <w:pPr>
              <w:snapToGrid w:val="0"/>
              <w:spacing w:line="420" w:lineRule="exact"/>
              <w:ind w:left="1327" w:hanging="1327" w:hangingChars="472"/>
              <w:jc w:val="center"/>
              <w:rPr>
                <w:rFonts w:ascii="仿宋" w:hAnsi="仿宋" w:eastAsia="仿宋"/>
                <w:b/>
                <w:bCs/>
                <w:i/>
                <w:iCs/>
                <w:sz w:val="28"/>
                <w:szCs w:val="28"/>
              </w:rPr>
            </w:pPr>
            <w:r>
              <w:rPr>
                <w:rFonts w:hint="eastAsia" w:ascii="仿宋" w:hAnsi="仿宋" w:eastAsia="仿宋" w:cs="宋体"/>
                <w:b/>
                <w:bCs/>
                <w:i/>
                <w:iCs/>
                <w:sz w:val="28"/>
                <w:szCs w:val="28"/>
              </w:rPr>
              <w:t>以下为竞争性磋商评审活动现场填写</w:t>
            </w:r>
          </w:p>
        </w:tc>
      </w:tr>
      <w:tr w14:paraId="24A88D10">
        <w:tblPrEx>
          <w:tblBorders>
            <w:top w:val="single" w:color="auto" w:sz="18" w:space="0"/>
            <w:left w:val="single" w:color="auto" w:sz="18" w:space="0"/>
            <w:bottom w:val="single" w:color="auto" w:sz="18" w:space="0"/>
            <w:right w:val="single" w:color="auto" w:sz="18" w:space="0"/>
            <w:insideH w:val="single" w:color="auto" w:sz="18" w:space="0"/>
            <w:insideV w:val="single" w:color="auto" w:sz="4" w:space="0"/>
          </w:tblBorders>
          <w:tblCellMar>
            <w:top w:w="0" w:type="dxa"/>
            <w:left w:w="108" w:type="dxa"/>
            <w:bottom w:w="0" w:type="dxa"/>
            <w:right w:w="108" w:type="dxa"/>
          </w:tblCellMar>
        </w:tblPrEx>
        <w:trPr>
          <w:trHeight w:val="1435" w:hRule="atLeast"/>
          <w:jc w:val="center"/>
        </w:trPr>
        <w:tc>
          <w:tcPr>
            <w:tcW w:w="1766" w:type="pct"/>
            <w:tcBorders>
              <w:top w:val="single" w:color="auto" w:sz="4" w:space="0"/>
              <w:left w:val="single" w:color="auto" w:sz="18" w:space="0"/>
              <w:bottom w:val="single" w:color="auto" w:sz="18" w:space="0"/>
              <w:right w:val="single" w:color="auto" w:sz="4" w:space="0"/>
            </w:tcBorders>
            <w:vAlign w:val="center"/>
          </w:tcPr>
          <w:p w14:paraId="25B220D7">
            <w:pPr>
              <w:snapToGrid w:val="0"/>
              <w:spacing w:line="420" w:lineRule="exact"/>
              <w:ind w:left="2"/>
              <w:jc w:val="center"/>
              <w:rPr>
                <w:rFonts w:ascii="仿宋" w:hAnsi="仿宋" w:eastAsia="仿宋" w:cs="宋体"/>
                <w:i/>
                <w:iCs/>
                <w:sz w:val="28"/>
                <w:szCs w:val="28"/>
              </w:rPr>
            </w:pPr>
            <w:r>
              <w:rPr>
                <w:rFonts w:hint="eastAsia" w:ascii="仿宋" w:hAnsi="仿宋" w:eastAsia="仿宋" w:cs="宋体"/>
                <w:i/>
                <w:iCs/>
                <w:sz w:val="28"/>
                <w:szCs w:val="28"/>
              </w:rPr>
              <w:t>最后报价</w:t>
            </w:r>
          </w:p>
        </w:tc>
        <w:tc>
          <w:tcPr>
            <w:tcW w:w="3234" w:type="pct"/>
            <w:tcBorders>
              <w:top w:val="single" w:color="auto" w:sz="4" w:space="0"/>
              <w:left w:val="single" w:color="auto" w:sz="4" w:space="0"/>
              <w:bottom w:val="single" w:color="auto" w:sz="18" w:space="0"/>
              <w:right w:val="single" w:color="auto" w:sz="18" w:space="0"/>
            </w:tcBorders>
            <w:vAlign w:val="center"/>
          </w:tcPr>
          <w:p w14:paraId="3DA2ABE0">
            <w:pPr>
              <w:rPr>
                <w:rFonts w:ascii="仿宋" w:hAnsi="仿宋" w:eastAsia="仿宋" w:cs="宋体"/>
                <w:kern w:val="0"/>
                <w:sz w:val="28"/>
                <w:szCs w:val="28"/>
              </w:rPr>
            </w:pPr>
            <w:r>
              <w:rPr>
                <w:rFonts w:ascii="仿宋" w:hAnsi="仿宋" w:eastAsia="仿宋" w:cs="宋体"/>
                <w:kern w:val="0"/>
                <w:sz w:val="28"/>
                <w:szCs w:val="28"/>
              </w:rPr>
              <w:t>大写：</w:t>
            </w:r>
            <w:r>
              <w:rPr>
                <w:rFonts w:hint="eastAsia" w:ascii="仿宋" w:hAnsi="仿宋" w:eastAsia="仿宋" w:cs="宋体"/>
                <w:kern w:val="0"/>
                <w:sz w:val="28"/>
                <w:szCs w:val="28"/>
              </w:rPr>
              <w:t xml:space="preserve"> </w:t>
            </w:r>
            <w:r>
              <w:rPr>
                <w:rFonts w:ascii="仿宋" w:hAnsi="仿宋" w:eastAsia="仿宋" w:cs="宋体"/>
                <w:kern w:val="0"/>
                <w:sz w:val="28"/>
                <w:szCs w:val="28"/>
              </w:rPr>
              <w:t xml:space="preserve">   </w:t>
            </w:r>
            <w:r>
              <w:rPr>
                <w:rFonts w:hint="eastAsia" w:ascii="仿宋" w:hAnsi="仿宋" w:eastAsia="仿宋" w:cs="宋体"/>
                <w:kern w:val="0"/>
                <w:sz w:val="28"/>
                <w:szCs w:val="28"/>
              </w:rPr>
              <w:t xml:space="preserve">                 元/年 </w:t>
            </w:r>
            <w:r>
              <w:rPr>
                <w:rFonts w:ascii="仿宋" w:hAnsi="仿宋" w:eastAsia="仿宋" w:cs="宋体"/>
                <w:kern w:val="0"/>
                <w:sz w:val="28"/>
                <w:szCs w:val="28"/>
              </w:rPr>
              <w:br w:type="textWrapping"/>
            </w:r>
            <w:r>
              <w:rPr>
                <w:rFonts w:ascii="仿宋" w:hAnsi="仿宋" w:eastAsia="仿宋" w:cs="宋体"/>
                <w:kern w:val="0"/>
                <w:sz w:val="28"/>
                <w:szCs w:val="28"/>
              </w:rPr>
              <w:t>小写：</w:t>
            </w:r>
            <w:r>
              <w:rPr>
                <w:rFonts w:hint="eastAsia" w:ascii="仿宋" w:hAnsi="仿宋" w:eastAsia="仿宋" w:cs="宋体"/>
                <w:kern w:val="0"/>
                <w:sz w:val="28"/>
                <w:szCs w:val="28"/>
              </w:rPr>
              <w:t xml:space="preserve"> </w:t>
            </w:r>
            <w:r>
              <w:rPr>
                <w:rFonts w:ascii="仿宋" w:hAnsi="仿宋" w:eastAsia="仿宋" w:cs="宋体"/>
                <w:kern w:val="0"/>
                <w:sz w:val="28"/>
                <w:szCs w:val="28"/>
              </w:rPr>
              <w:t xml:space="preserve">   </w:t>
            </w:r>
            <w:r>
              <w:rPr>
                <w:rFonts w:hint="eastAsia" w:ascii="仿宋" w:hAnsi="仿宋" w:eastAsia="仿宋" w:cs="宋体"/>
                <w:kern w:val="0"/>
                <w:sz w:val="28"/>
                <w:szCs w:val="28"/>
              </w:rPr>
              <w:t xml:space="preserve">               </w:t>
            </w:r>
            <w:r>
              <w:rPr>
                <w:rFonts w:ascii="仿宋" w:hAnsi="仿宋" w:eastAsia="仿宋" w:cs="宋体"/>
                <w:kern w:val="0"/>
                <w:sz w:val="28"/>
                <w:szCs w:val="28"/>
              </w:rPr>
              <w:t xml:space="preserve"> 元</w:t>
            </w:r>
            <w:r>
              <w:rPr>
                <w:rFonts w:hint="eastAsia" w:ascii="仿宋" w:hAnsi="仿宋" w:eastAsia="仿宋" w:cs="宋体"/>
                <w:kern w:val="0"/>
                <w:sz w:val="28"/>
                <w:szCs w:val="28"/>
              </w:rPr>
              <w:t xml:space="preserve">/年 </w:t>
            </w:r>
            <w:r>
              <w:rPr>
                <w:rFonts w:ascii="仿宋" w:hAnsi="仿宋" w:eastAsia="仿宋" w:cs="宋体"/>
                <w:kern w:val="0"/>
                <w:sz w:val="28"/>
                <w:szCs w:val="28"/>
              </w:rPr>
              <w:t>（人民币）</w:t>
            </w:r>
            <w:r>
              <w:rPr>
                <w:rFonts w:hint="eastAsia" w:ascii="仿宋" w:hAnsi="仿宋" w:eastAsia="仿宋" w:cs="宋体"/>
                <w:kern w:val="0"/>
                <w:sz w:val="28"/>
                <w:szCs w:val="28"/>
              </w:rPr>
              <w:t xml:space="preserve">                           </w:t>
            </w:r>
          </w:p>
        </w:tc>
      </w:tr>
    </w:tbl>
    <w:p w14:paraId="5C37E348">
      <w:pPr>
        <w:rPr>
          <w:rFonts w:ascii="仿宋" w:hAnsi="仿宋" w:eastAsia="仿宋"/>
        </w:rPr>
      </w:pPr>
    </w:p>
    <w:p w14:paraId="746D0D3D">
      <w:pPr>
        <w:spacing w:line="360" w:lineRule="auto"/>
        <w:rPr>
          <w:rFonts w:ascii="仿宋" w:hAnsi="仿宋" w:eastAsia="仿宋" w:cs="仿宋"/>
          <w:sz w:val="28"/>
          <w:szCs w:val="28"/>
        </w:rPr>
      </w:pPr>
      <w:r>
        <w:rPr>
          <w:rFonts w:hint="eastAsia" w:ascii="仿宋" w:hAnsi="仿宋" w:eastAsia="仿宋" w:cs="仿宋"/>
          <w:sz w:val="28"/>
          <w:szCs w:val="28"/>
        </w:rPr>
        <w:t>法定代表人或被授权人（签字）：</w:t>
      </w:r>
    </w:p>
    <w:p w14:paraId="16A1C158">
      <w:pPr>
        <w:spacing w:line="360" w:lineRule="auto"/>
        <w:rPr>
          <w:rFonts w:ascii="仿宋" w:hAnsi="仿宋" w:eastAsia="仿宋" w:cs="仿宋"/>
          <w:sz w:val="28"/>
          <w:szCs w:val="28"/>
        </w:rPr>
      </w:pPr>
      <w:r>
        <w:rPr>
          <w:rFonts w:hint="eastAsia" w:ascii="仿宋" w:hAnsi="仿宋" w:eastAsia="仿宋" w:cs="仿宋"/>
          <w:sz w:val="28"/>
          <w:szCs w:val="28"/>
        </w:rPr>
        <w:t>参加投标供应商（盖章）：</w:t>
      </w:r>
    </w:p>
    <w:p w14:paraId="5682FAE6">
      <w:pPr>
        <w:spacing w:line="360" w:lineRule="auto"/>
        <w:rPr>
          <w:rFonts w:ascii="仿宋" w:hAnsi="仿宋" w:eastAsia="仿宋" w:cs="仿宋"/>
          <w:sz w:val="28"/>
          <w:szCs w:val="28"/>
        </w:rPr>
      </w:pPr>
      <w:r>
        <w:rPr>
          <w:rFonts w:hint="eastAsia" w:ascii="仿宋" w:hAnsi="仿宋" w:eastAsia="仿宋" w:cs="仿宋"/>
          <w:sz w:val="28"/>
          <w:szCs w:val="28"/>
        </w:rPr>
        <w:t>日期：</w:t>
      </w:r>
    </w:p>
    <w:p w14:paraId="79E030A7">
      <w:pPr>
        <w:spacing w:line="360" w:lineRule="auto"/>
        <w:ind w:firstLine="562"/>
        <w:rPr>
          <w:rFonts w:ascii="仿宋" w:hAnsi="仿宋" w:eastAsia="仿宋" w:cs="仿宋"/>
          <w:b/>
          <w:sz w:val="28"/>
          <w:szCs w:val="28"/>
        </w:rPr>
      </w:pPr>
      <w:r>
        <w:rPr>
          <w:rFonts w:hint="eastAsia" w:ascii="仿宋" w:hAnsi="仿宋" w:eastAsia="仿宋" w:cs="仿宋"/>
          <w:b/>
          <w:sz w:val="28"/>
          <w:szCs w:val="28"/>
        </w:rPr>
        <w:t>特别说明：</w:t>
      </w:r>
    </w:p>
    <w:p w14:paraId="28B77479">
      <w:pPr>
        <w:spacing w:line="360" w:lineRule="auto"/>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上述表格格式不得自行修改，根据实际内容填写</w:t>
      </w:r>
      <w:r>
        <w:rPr>
          <w:rFonts w:ascii="仿宋" w:hAnsi="仿宋" w:eastAsia="仿宋" w:cs="仿宋"/>
          <w:sz w:val="28"/>
          <w:szCs w:val="28"/>
        </w:rPr>
        <w:t>。</w:t>
      </w:r>
    </w:p>
    <w:p w14:paraId="20FC1EE6">
      <w:pPr>
        <w:spacing w:line="360" w:lineRule="auto"/>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投标人对投标报价中的货物及服务的报价应包括：响应及完成本项目工作所需的一切费用。包含但不限于服务劳务、管理、相关证书报名费、培训费、材料费、运输费、保险、售后服务、利润、税金、政策性文件规定及合同包含的所有风险、责任等各项应有费用。</w:t>
      </w:r>
    </w:p>
    <w:p w14:paraId="033A2856">
      <w:pPr>
        <w:spacing w:before="156" w:beforeLines="50" w:after="156" w:afterLines="50" w:line="360" w:lineRule="auto"/>
        <w:rPr>
          <w:rFonts w:ascii="仿宋" w:hAnsi="仿宋" w:eastAsia="仿宋" w:cs="仿宋"/>
          <w:sz w:val="28"/>
          <w:szCs w:val="28"/>
        </w:rPr>
      </w:pPr>
    </w:p>
    <w:bookmarkEnd w:id="9"/>
    <w:p w14:paraId="692A295B">
      <w:pPr>
        <w:pStyle w:val="14"/>
      </w:pPr>
    </w:p>
    <w:p w14:paraId="11817828">
      <w:pPr>
        <w:rPr>
          <w:rFonts w:ascii="仿宋" w:hAnsi="仿宋" w:eastAsia="仿宋"/>
        </w:rPr>
      </w:pPr>
    </w:p>
    <w:sectPr>
      <w:footerReference r:id="rId4" w:type="default"/>
      <w:pgSz w:w="11906" w:h="16838"/>
      <w:pgMar w:top="1417" w:right="1247" w:bottom="1417" w:left="1247"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DF16E">
    <w:pPr>
      <w:pStyle w:val="5"/>
      <w:spacing w:before="120" w:after="120"/>
      <w:ind w:firstLine="360"/>
      <w:jc w:val="center"/>
    </w:pPr>
    <w:r>
      <w:fldChar w:fldCharType="begin"/>
    </w:r>
    <w:r>
      <w:instrText xml:space="preserve">PAGE   \* MERGEFORMAT</w:instrText>
    </w:r>
    <w:r>
      <w:fldChar w:fldCharType="separate"/>
    </w:r>
    <w:r>
      <w:rPr>
        <w:lang w:val="zh-CN"/>
      </w:rPr>
      <w:t>32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57932">
    <w:pPr>
      <w:pStyle w:val="5"/>
      <w:spacing w:before="120" w:after="120"/>
      <w:jc w:val="center"/>
      <w:rPr>
        <w:rFonts w:ascii="宋体"/>
        <w:sz w:val="21"/>
        <w:szCs w:val="21"/>
      </w:rPr>
    </w:pPr>
    <w:r>
      <w:rPr>
        <w:rFonts w:ascii="宋体"/>
        <w:sz w:val="21"/>
        <w:szCs w:val="21"/>
      </w:rPr>
      <w:fldChar w:fldCharType="begin"/>
    </w:r>
    <w:r>
      <w:rPr>
        <w:rFonts w:ascii="宋体"/>
        <w:sz w:val="21"/>
        <w:szCs w:val="21"/>
      </w:rPr>
      <w:instrText xml:space="preserve">PAGE   \* MERGEFORMAT</w:instrText>
    </w:r>
    <w:r>
      <w:rPr>
        <w:rFonts w:ascii="宋体"/>
        <w:sz w:val="21"/>
        <w:szCs w:val="21"/>
      </w:rPr>
      <w:fldChar w:fldCharType="separate"/>
    </w:r>
    <w:r>
      <w:rPr>
        <w:rFonts w:ascii="宋体"/>
        <w:sz w:val="21"/>
        <w:szCs w:val="21"/>
        <w:lang w:val="zh-CN"/>
      </w:rPr>
      <w:t>36</w:t>
    </w:r>
    <w:r>
      <w:rPr>
        <w:rFonts w:ascii="宋体"/>
        <w:sz w:val="21"/>
        <w:szCs w:val="21"/>
      </w:rPr>
      <w:fldChar w:fldCharType="end"/>
    </w:r>
  </w:p>
  <w:p w14:paraId="63E4206F">
    <w:pPr>
      <w:spacing w:before="120" w:after="120"/>
    </w:pPr>
  </w:p>
  <w:p w14:paraId="65FBCCFC">
    <w:pPr>
      <w:spacing w:before="120" w:after="12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ZjE1NmUwZjFmNzkxYzllODRjZmJmNjAyMjg5N2EifQ=="/>
  </w:docVars>
  <w:rsids>
    <w:rsidRoot w:val="00082DDD"/>
    <w:rsid w:val="00052804"/>
    <w:rsid w:val="00082DDD"/>
    <w:rsid w:val="000D34F6"/>
    <w:rsid w:val="0013566C"/>
    <w:rsid w:val="001E1AE3"/>
    <w:rsid w:val="001E4650"/>
    <w:rsid w:val="0020400F"/>
    <w:rsid w:val="002263F4"/>
    <w:rsid w:val="0031139A"/>
    <w:rsid w:val="00375D5C"/>
    <w:rsid w:val="00380CAF"/>
    <w:rsid w:val="003C71B5"/>
    <w:rsid w:val="004274FB"/>
    <w:rsid w:val="00460022"/>
    <w:rsid w:val="004733E8"/>
    <w:rsid w:val="004C5C04"/>
    <w:rsid w:val="00546F82"/>
    <w:rsid w:val="00577493"/>
    <w:rsid w:val="00583F18"/>
    <w:rsid w:val="005B45BD"/>
    <w:rsid w:val="005D2C47"/>
    <w:rsid w:val="00616E40"/>
    <w:rsid w:val="00645AA5"/>
    <w:rsid w:val="00674472"/>
    <w:rsid w:val="006B4BDB"/>
    <w:rsid w:val="007729D2"/>
    <w:rsid w:val="008527D6"/>
    <w:rsid w:val="00957CC1"/>
    <w:rsid w:val="00991D0C"/>
    <w:rsid w:val="009A31A8"/>
    <w:rsid w:val="009C0426"/>
    <w:rsid w:val="009D7862"/>
    <w:rsid w:val="00A0789A"/>
    <w:rsid w:val="00A15526"/>
    <w:rsid w:val="00AE4EAC"/>
    <w:rsid w:val="00B022AC"/>
    <w:rsid w:val="00B679D5"/>
    <w:rsid w:val="00C06740"/>
    <w:rsid w:val="00CA57D0"/>
    <w:rsid w:val="00CF0726"/>
    <w:rsid w:val="00CF375D"/>
    <w:rsid w:val="00D04954"/>
    <w:rsid w:val="00D1771B"/>
    <w:rsid w:val="00D55257"/>
    <w:rsid w:val="00D843D9"/>
    <w:rsid w:val="00D90340"/>
    <w:rsid w:val="00DC0378"/>
    <w:rsid w:val="00E41BA5"/>
    <w:rsid w:val="00E8426B"/>
    <w:rsid w:val="00F23455"/>
    <w:rsid w:val="00F517C1"/>
    <w:rsid w:val="0663068B"/>
    <w:rsid w:val="0A3A6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autoRedefine/>
    <w:qFormat/>
    <w:uiPriority w:val="99"/>
    <w:pPr>
      <w:keepNext/>
      <w:keepLines/>
      <w:spacing w:before="156" w:after="156" w:line="360" w:lineRule="auto"/>
      <w:jc w:val="center"/>
      <w:outlineLvl w:val="0"/>
    </w:pPr>
    <w:rPr>
      <w:rFonts w:ascii="仿宋" w:hAnsi="仿宋" w:eastAsia="仿宋" w:cs="仿宋"/>
      <w:b/>
      <w:bCs/>
      <w:kern w:val="44"/>
      <w:sz w:val="32"/>
      <w:szCs w:val="32"/>
    </w:rPr>
  </w:style>
  <w:style w:type="paragraph" w:styleId="3">
    <w:name w:val="heading 2"/>
    <w:basedOn w:val="1"/>
    <w:next w:val="1"/>
    <w:link w:val="13"/>
    <w:autoRedefine/>
    <w:unhideWhenUsed/>
    <w:qFormat/>
    <w:uiPriority w:val="9"/>
    <w:pPr>
      <w:keepNext/>
      <w:keepLines/>
      <w:spacing w:before="156" w:after="156" w:line="360" w:lineRule="auto"/>
      <w:outlineLvl w:val="1"/>
    </w:pPr>
    <w:rPr>
      <w:rFonts w:ascii="仿宋" w:hAnsi="仿宋" w:eastAsia="仿宋" w:cs="仿宋"/>
      <w:b/>
      <w:bCs/>
      <w:sz w:val="28"/>
      <w:szCs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0"/>
    <w:semiHidden/>
    <w:unhideWhenUsed/>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39"/>
  </w:style>
  <w:style w:type="paragraph" w:styleId="8">
    <w:name w:val="Normal (Web)"/>
    <w:basedOn w:val="1"/>
    <w:qFormat/>
    <w:uiPriority w:val="99"/>
    <w:rPr>
      <w:rFonts w:ascii="Times New Roman" w:hAnsi="Times New Roman" w:eastAsiaTheme="minorEastAsia" w:cstheme="minorBidi"/>
      <w:szCs w:val="24"/>
    </w:rPr>
  </w:style>
  <w:style w:type="character" w:styleId="11">
    <w:name w:val="Hyperlink"/>
    <w:basedOn w:val="10"/>
    <w:autoRedefine/>
    <w:qFormat/>
    <w:uiPriority w:val="99"/>
    <w:rPr>
      <w:rFonts w:cs="Times New Roman"/>
      <w:color w:val="0000FF"/>
      <w:u w:val="single"/>
    </w:rPr>
  </w:style>
  <w:style w:type="character" w:customStyle="1" w:styleId="12">
    <w:name w:val="标题 1 Char"/>
    <w:basedOn w:val="10"/>
    <w:link w:val="2"/>
    <w:qFormat/>
    <w:uiPriority w:val="99"/>
    <w:rPr>
      <w:rFonts w:ascii="仿宋" w:hAnsi="仿宋" w:eastAsia="仿宋" w:cs="仿宋"/>
      <w:b/>
      <w:bCs/>
      <w:kern w:val="44"/>
      <w:sz w:val="32"/>
      <w:szCs w:val="32"/>
      <w14:ligatures w14:val="none"/>
    </w:rPr>
  </w:style>
  <w:style w:type="character" w:customStyle="1" w:styleId="13">
    <w:name w:val="标题 2 Char"/>
    <w:basedOn w:val="10"/>
    <w:link w:val="3"/>
    <w:qFormat/>
    <w:uiPriority w:val="9"/>
    <w:rPr>
      <w:rFonts w:ascii="仿宋" w:hAnsi="仿宋" w:eastAsia="仿宋" w:cs="仿宋"/>
      <w:b/>
      <w:bCs/>
      <w:sz w:val="28"/>
      <w:szCs w:val="28"/>
      <w14:ligatures w14:val="none"/>
    </w:rPr>
  </w:style>
  <w:style w:type="paragraph" w:customStyle="1" w:styleId="14">
    <w:name w:val="正文1"/>
    <w:basedOn w:val="1"/>
    <w:autoRedefine/>
    <w:qFormat/>
    <w:uiPriority w:val="0"/>
    <w:pPr>
      <w:spacing w:line="360" w:lineRule="auto"/>
      <w:ind w:firstLine="560" w:firstLineChars="200"/>
    </w:pPr>
    <w:rPr>
      <w:rFonts w:ascii="仿宋" w:hAnsi="仿宋" w:eastAsia="仿宋"/>
      <w:color w:val="FF0000"/>
      <w:sz w:val="28"/>
      <w:szCs w:val="28"/>
    </w:rPr>
  </w:style>
  <w:style w:type="character" w:customStyle="1" w:styleId="15">
    <w:name w:val="页脚 Char"/>
    <w:basedOn w:val="10"/>
    <w:link w:val="5"/>
    <w:qFormat/>
    <w:uiPriority w:val="99"/>
    <w:rPr>
      <w:rFonts w:ascii="Calibri" w:hAnsi="Calibri" w:eastAsia="宋体" w:cs="Times New Roman"/>
      <w:sz w:val="18"/>
      <w:szCs w:val="18"/>
      <w14:ligatures w14:val="none"/>
    </w:rPr>
  </w:style>
  <w:style w:type="paragraph" w:customStyle="1" w:styleId="16">
    <w:name w:val="TOC 标题1"/>
    <w:basedOn w:val="2"/>
    <w:next w:val="1"/>
    <w:autoRedefine/>
    <w:qFormat/>
    <w:uiPriority w:val="99"/>
    <w:pPr>
      <w:widowControl/>
      <w:spacing w:before="480" w:after="0"/>
      <w:outlineLvl w:val="9"/>
    </w:pPr>
    <w:rPr>
      <w:color w:val="365F91"/>
      <w:kern w:val="0"/>
      <w:lang w:val="zh-CN"/>
    </w:rPr>
  </w:style>
  <w:style w:type="character" w:customStyle="1" w:styleId="17">
    <w:name w:val="样式 小四 加粗"/>
    <w:basedOn w:val="10"/>
    <w:autoRedefine/>
    <w:qFormat/>
    <w:uiPriority w:val="0"/>
    <w:rPr>
      <w:rFonts w:eastAsia="黑体"/>
      <w:b/>
      <w:bCs/>
      <w:sz w:val="24"/>
    </w:rPr>
  </w:style>
  <w:style w:type="paragraph" w:customStyle="1" w:styleId="18">
    <w:name w:val="p"/>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19">
    <w:name w:val="页眉 Char"/>
    <w:basedOn w:val="10"/>
    <w:link w:val="6"/>
    <w:qFormat/>
    <w:uiPriority w:val="99"/>
    <w:rPr>
      <w:rFonts w:ascii="Calibri" w:hAnsi="Calibri" w:eastAsia="宋体" w:cs="Times New Roman"/>
      <w:sz w:val="18"/>
      <w:szCs w:val="18"/>
      <w14:ligatures w14:val="none"/>
    </w:rPr>
  </w:style>
  <w:style w:type="character" w:customStyle="1" w:styleId="20">
    <w:name w:val="批注框文本 Char"/>
    <w:basedOn w:val="10"/>
    <w:link w:val="4"/>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38</Pages>
  <Words>13399</Words>
  <Characters>13691</Characters>
  <Lines>110</Lines>
  <Paragraphs>31</Paragraphs>
  <TotalTime>13945</TotalTime>
  <ScaleCrop>false</ScaleCrop>
  <LinksUpToDate>false</LinksUpToDate>
  <CharactersWithSpaces>14319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2024-09-27T07:17:00Z</dcterms:created>
  <dc:creator>邵楠 王</dc:creator>
  <cp:lastModifiedBy>香蕉你个卜呐呐～</cp:lastModifiedBy>
  <cp:lastPrinted>2024-09-26T07:33:00Z</cp:lastPrinted>
  <dcterms:modified xsi:type="dcterms:W3CDTF">2024-10-08T01:40:33Z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3525729175534367A1775DE44316A62A_13</vt:lpwstr>
  </property>
</Properties>
</file>