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2"/>
      <w:bookmarkStart w:id="3" w:name="OLE_LINK4"/>
      <w:bookmarkStart w:id="4" w:name="OLE_LINK1"/>
      <w:bookmarkStart w:id="5" w:name="OLE_LINK5"/>
      <w:bookmarkStart w:id="6" w:name="OLE_LINK3"/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ind w:firstLine="1440" w:firstLineChars="400"/>
        <w:rPr>
          <w:rFonts w:ascii="仿宋" w:hAnsi="仿宋" w:eastAsia="仿宋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花坛工艺品景观制作项目招标文件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江苏省南通卫生高等职业技术学校（以下简称招标人）拟对花架制作安装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项目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进行招标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一、招标文件编号：BS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2021022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二、项目名称：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花架制作安装项目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人民币200元。（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现场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，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缴款后概不退还）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1、本项目为固定总价报价。投标报价包含材料和设备采购、运输、仓储、搬运、安装和施工人工、材料、机械设备、管理费、规费、税金及质保期服务等所有费用，结算不作调整。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2、本项目最高限价9.8万元。招标人不接受超过该限价的报价。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700" w:firstLineChars="250"/>
        <w:rPr>
          <w:rFonts w:ascii="仿宋" w:hAnsi="仿宋" w:eastAsia="仿宋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1、工程量：花架19只（参照样品）。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本项目工程量和示意图详见附件，工程量结算时不作调整（招标人要求另行增加的除外）。</w:t>
      </w:r>
    </w:p>
    <w:p>
      <w:pPr>
        <w:spacing w:line="480" w:lineRule="exac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    2、施工地点：南通卫生高职校内。</w:t>
      </w:r>
    </w:p>
    <w:p>
      <w:pPr>
        <w:spacing w:line="480" w:lineRule="exact"/>
        <w:rPr>
          <w:rFonts w:ascii="仿宋" w:hAnsi="仿宋" w:eastAsia="仿宋" w:cs="Arial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 xml:space="preserve">    3、工期要求:工期15天。</w:t>
      </w: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    4、结帐方式：验收合格后付90%，余10%作为质保金，质保期到期后付清。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5、本项目质保期1年。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7、</w:t>
      </w:r>
      <w:r>
        <w:rPr>
          <w:rFonts w:ascii="仿宋" w:hAnsi="仿宋" w:eastAsia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/>
          <w:color w:val="000000" w:themeColor="text1"/>
          <w:kern w:val="0"/>
          <w:sz w:val="28"/>
          <w:szCs w:val="28"/>
        </w:rPr>
        <w:t>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8、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投标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人不得对现场条件提出额外要求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中标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人在施工时须服从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人总体安排，不得影响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人正常的工作秩序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。中标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人不得拒绝完成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人在施工地点范围内变更或要求增加的工程内容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9、集中踏勘时间：2021年4月15日。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具有完成招标项目的能力（营业执照含有与招标项目相应的经营范围），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（二）投标人须具有企业法人营业执照(注册资金不低于50万）。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（三） 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（四）投标人缴纳投标保证金5000元，中标后即转为履约保证金。如中标单位违约投标保证金概不退还。未中标单位开标后退还。保证金交至学校行政楼1408室。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1、投标保证金在投标时由投标人以现金形式提交保证金，保证金用信封密封缴至江苏省南通卫生高等职业技术学校行政楼14楼1408室。并在信封表面注明投标单位，联系人和联系方式。盖上公章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000000" w:themeColor="text1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投标文件应包括下列内容，不得有缺项和漏项，否则作废标处理。所有材料复印件必须加盖单位公章。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投标文件目录。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投标人营业执照（加盖公章）。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投标单位法人身份证证明。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授权委托书。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需具有依法缴纳税收和社会保障资金的证明(投标单位至少提供3人及以上从2020年10月至2021年3月的社会保障证明材料)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投标报价单（盖单位公章）。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666666"/>
          <w:kern w:val="0"/>
          <w:sz w:val="18"/>
          <w:szCs w:val="18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“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正本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”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“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副本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”</w:t>
      </w:r>
      <w:r>
        <w:rPr>
          <w:rFonts w:ascii="仿宋" w:hAnsi="仿宋" w:eastAsia="仿宋"/>
          <w:b/>
          <w:color w:val="000000" w:themeColor="text1"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正</w:t>
      </w:r>
      <w:r>
        <w:rPr>
          <w:rFonts w:hint="eastAsia" w:ascii="仿宋" w:hAnsi="仿宋" w:eastAsia="仿宋"/>
          <w:b/>
          <w:sz w:val="28"/>
          <w:szCs w:val="28"/>
        </w:rPr>
        <w:t>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 xml:space="preserve">21年 4月 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</w:rPr>
        <w:t>日10 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（三）项目联系人及电话：陈老师  13962951505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hAnsi="Arial" w:eastAsia="仿宋" w:cs="Arial"/>
          <w:color w:val="000000" w:themeColor="text1"/>
          <w:kern w:val="0"/>
          <w:sz w:val="28"/>
        </w:rPr>
        <w:t> 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51083171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000000" w:themeColor="text1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21年 4 月 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日 10时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08会议室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widowControl/>
        <w:shd w:val="clear" w:color="auto" w:fill="FFFFFF"/>
        <w:spacing w:line="480" w:lineRule="atLeast"/>
        <w:ind w:firstLine="562"/>
        <w:rPr>
          <w:rFonts w:ascii="微软雅黑" w:hAnsi="微软雅黑" w:eastAsia="微软雅黑" w:cs="微软雅黑"/>
          <w:color w:val="000000" w:themeColor="text1"/>
          <w:sz w:val="24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>
      <w:pPr>
        <w:widowControl/>
        <w:shd w:val="clear" w:color="auto" w:fill="FFFFFF"/>
        <w:spacing w:line="480" w:lineRule="atLeast"/>
        <w:ind w:firstLine="560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确定评标基准价的原则：以有效投标文件的算术平均值为评标基准价。（①若有效投标文件＜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</w:rPr>
        <w:t>家时，按所有有效投标文件的算术平均值为评标基准价；②若有效投标文件≥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</w:rPr>
        <w:t>家时，去掉其中的一个最高值和一个最低值后取算术平均值为评标基准价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center"/>
        <w:rPr>
          <w:rFonts w:ascii="仿宋" w:hAnsi="仿宋" w:eastAsia="仿宋" w:cs="Arial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 xml:space="preserve">                  2021年4月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</w:rPr>
        <w:t>日</w:t>
      </w:r>
    </w:p>
    <w:bookmarkEnd w:id="1"/>
    <w:bookmarkEnd w:id="2"/>
    <w:bookmarkEnd w:id="3"/>
    <w:bookmarkEnd w:id="4"/>
    <w:bookmarkEnd w:id="5"/>
    <w:bookmarkEnd w:id="6"/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附件1：样品图及报价单</w:t>
      </w: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44"/>
          <w:szCs w:val="44"/>
        </w:rPr>
        <w:t>报价单</w:t>
      </w:r>
    </w:p>
    <w:tbl>
      <w:tblPr>
        <w:tblStyle w:val="6"/>
        <w:tblW w:w="89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800"/>
        <w:gridCol w:w="1440"/>
        <w:gridCol w:w="148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总价（套）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无缝工业管（黑管）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￠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108*5厚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弯管外加工费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￠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108*5厚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热镀锌管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￠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48*2.5厚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预埋铁板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200*200*8厚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氟碳漆一底二面及人工费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混凝土（</w:t>
            </w: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C25）制模及浇制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安装运输费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Style w:val="18"/>
                <w:rFonts w:hint="default"/>
              </w:rPr>
              <w:t>套总价：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-6804660</wp:posOffset>
            </wp:positionV>
            <wp:extent cx="5274945" cy="7033260"/>
            <wp:effectExtent l="0" t="0" r="1905" b="15240"/>
            <wp:wrapSquare wrapText="bothSides"/>
            <wp:docPr id="1" name="图片 1" descr="5d6947958439ee9300e28ad34f9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6947958439ee9300e28ad34f916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96DC0"/>
    <w:multiLevelType w:val="singleLevel"/>
    <w:tmpl w:val="32196DC0"/>
    <w:lvl w:ilvl="0" w:tentative="0">
      <w:start w:val="1"/>
      <w:numFmt w:val="decimal"/>
      <w:suff w:val="nothing"/>
      <w:lvlText w:val="%1．"/>
      <w:lvlJc w:val="left"/>
      <w:pPr>
        <w:ind w:left="-5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A36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1045"/>
    <w:rsid w:val="003D2B6B"/>
    <w:rsid w:val="003D5147"/>
    <w:rsid w:val="003E1D9C"/>
    <w:rsid w:val="003E5DC7"/>
    <w:rsid w:val="003F5909"/>
    <w:rsid w:val="003F60FC"/>
    <w:rsid w:val="00401233"/>
    <w:rsid w:val="004115CA"/>
    <w:rsid w:val="00425C66"/>
    <w:rsid w:val="0042787E"/>
    <w:rsid w:val="0043386B"/>
    <w:rsid w:val="0043736E"/>
    <w:rsid w:val="004408D0"/>
    <w:rsid w:val="00441B08"/>
    <w:rsid w:val="00445075"/>
    <w:rsid w:val="0045200B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97E8A"/>
    <w:rsid w:val="005A1E65"/>
    <w:rsid w:val="005A31F5"/>
    <w:rsid w:val="005B2D2F"/>
    <w:rsid w:val="005B673B"/>
    <w:rsid w:val="005C056D"/>
    <w:rsid w:val="005C31DC"/>
    <w:rsid w:val="005C6697"/>
    <w:rsid w:val="005D48C3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0307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0CA4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8F330F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2194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6E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E2A8C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090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2C4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0FA66EC8"/>
    <w:rsid w:val="10163211"/>
    <w:rsid w:val="12FA6B19"/>
    <w:rsid w:val="18051A3F"/>
    <w:rsid w:val="1E9D5AFA"/>
    <w:rsid w:val="21012FCD"/>
    <w:rsid w:val="278056A1"/>
    <w:rsid w:val="3C2231EF"/>
    <w:rsid w:val="481165A9"/>
    <w:rsid w:val="4C68320E"/>
    <w:rsid w:val="4DFF6B66"/>
    <w:rsid w:val="50C35E7D"/>
    <w:rsid w:val="53CC267C"/>
    <w:rsid w:val="5408495D"/>
    <w:rsid w:val="5F05710C"/>
    <w:rsid w:val="660F10C7"/>
    <w:rsid w:val="67D34629"/>
    <w:rsid w:val="6C255E5F"/>
    <w:rsid w:val="6FCC207F"/>
    <w:rsid w:val="72A9178A"/>
    <w:rsid w:val="743F2315"/>
    <w:rsid w:val="74EF4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6"/>
      <w:szCs w:val="16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6"/>
      <w:szCs w:val="16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7A30A-A82D-4D2B-85E7-E009EEC31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392</Words>
  <Characters>2239</Characters>
  <Lines>18</Lines>
  <Paragraphs>5</Paragraphs>
  <TotalTime>40</TotalTime>
  <ScaleCrop>false</ScaleCrop>
  <LinksUpToDate>false</LinksUpToDate>
  <CharactersWithSpaces>2626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2021-04-09T01:43:00Z</dcterms:created>
  <dc:creator>微软用户</dc:creator>
  <cp:lastModifiedBy>曹洋华</cp:lastModifiedBy>
  <cp:lastPrinted>2021-04-06T23:15:00Z</cp:lastPrinted>
  <dcterms:modified xsi:type="dcterms:W3CDTF">2021-04-13T07:21:10Z</dcterms:modified>
  <dc:title>江苏省南通卫生高等职业技术学校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B66B23B039CD470EB398F35E15A814F0</vt:lpwstr>
  </property>
</Properties>
</file>