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江苏省南通卫生高等职业技术学校2024年度中职教材、执护教材、成教教材采购项目</w:t>
      </w:r>
    </w:p>
    <w:p>
      <w:pPr>
        <w:snapToGrid w:val="0"/>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84"/>
          <w:szCs w:val="84"/>
        </w:rPr>
        <w:t>招标文件</w:t>
      </w:r>
    </w:p>
    <w:p>
      <w:pPr>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（资格后审）</w:t>
      </w:r>
    </w:p>
    <w:p>
      <w:pPr>
        <w:widowControl/>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项目编号：WXBS2023112</w:t>
      </w:r>
    </w:p>
    <w:p>
      <w:pPr>
        <w:spacing w:line="360" w:lineRule="auto"/>
        <w:jc w:val="center"/>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pPr>
        <w:spacing w:line="360" w:lineRule="auto"/>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p>
    <w:p>
      <w:pPr>
        <w:spacing w:line="360" w:lineRule="auto"/>
        <w:jc w:val="center"/>
        <w:rPr>
          <w:rFonts w:hint="eastAsia" w:ascii="宋体" w:hAnsi="宋体" w:eastAsia="宋体" w:cs="宋体"/>
          <w:b/>
          <w:color w:val="auto"/>
          <w:sz w:val="30"/>
          <w:szCs w:val="30"/>
          <w:lang w:eastAsia="zh-CN"/>
        </w:rPr>
      </w:pPr>
      <w:r>
        <w:rPr>
          <w:rFonts w:hint="eastAsia" w:ascii="宋体" w:hAnsi="宋体" w:eastAsia="宋体" w:cs="宋体"/>
          <w:b/>
          <w:color w:val="auto"/>
          <w:sz w:val="36"/>
          <w:szCs w:val="36"/>
        </w:rPr>
        <w:t>采购单位：</w:t>
      </w:r>
      <w:r>
        <w:rPr>
          <w:rFonts w:hint="eastAsia" w:ascii="宋体" w:hAnsi="宋体" w:eastAsia="宋体" w:cs="宋体"/>
          <w:b/>
          <w:color w:val="auto"/>
          <w:sz w:val="36"/>
          <w:szCs w:val="36"/>
          <w:lang w:eastAsia="zh-CN"/>
        </w:rPr>
        <w:t>江苏省南通卫生高等职业技术学校</w:t>
      </w:r>
    </w:p>
    <w:p>
      <w:pPr>
        <w:adjustRightInd w:val="0"/>
        <w:snapToGri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二〇二</w:t>
      </w:r>
      <w:r>
        <w:rPr>
          <w:rFonts w:hint="eastAsia" w:ascii="宋体" w:hAnsi="宋体" w:eastAsia="宋体" w:cs="宋体"/>
          <w:b/>
          <w:color w:val="auto"/>
          <w:sz w:val="30"/>
          <w:szCs w:val="30"/>
          <w:lang w:val="en-US" w:eastAsia="zh-CN"/>
        </w:rPr>
        <w:t>三</w:t>
      </w:r>
      <w:r>
        <w:rPr>
          <w:rFonts w:hint="eastAsia" w:ascii="宋体" w:hAnsi="宋体" w:eastAsia="宋体" w:cs="宋体"/>
          <w:b/>
          <w:color w:val="auto"/>
          <w:sz w:val="30"/>
          <w:szCs w:val="30"/>
        </w:rPr>
        <w:t>年</w:t>
      </w:r>
      <w:r>
        <w:rPr>
          <w:rFonts w:hint="eastAsia" w:ascii="宋体" w:hAnsi="宋体" w:eastAsia="宋体" w:cs="宋体"/>
          <w:b/>
          <w:color w:val="auto"/>
          <w:sz w:val="30"/>
          <w:szCs w:val="30"/>
          <w:lang w:val="en-US" w:eastAsia="zh-CN"/>
        </w:rPr>
        <w:t>十二</w:t>
      </w:r>
      <w:r>
        <w:rPr>
          <w:rFonts w:hint="eastAsia" w:ascii="宋体" w:hAnsi="宋体" w:eastAsia="宋体" w:cs="宋体"/>
          <w:b/>
          <w:color w:val="auto"/>
          <w:sz w:val="30"/>
          <w:szCs w:val="30"/>
        </w:rPr>
        <w:t>月</w:t>
      </w:r>
      <w:r>
        <w:rPr>
          <w:rFonts w:hint="eastAsia" w:ascii="宋体" w:hAnsi="宋体" w:eastAsia="宋体" w:cs="宋体"/>
          <w:b/>
          <w:color w:val="auto"/>
          <w:sz w:val="30"/>
          <w:szCs w:val="30"/>
          <w:lang w:val="en-US" w:eastAsia="zh-CN"/>
        </w:rPr>
        <w:t>十八</w:t>
      </w:r>
      <w:r>
        <w:rPr>
          <w:rFonts w:hint="eastAsia" w:ascii="宋体" w:hAnsi="宋体" w:eastAsia="宋体" w:cs="宋体"/>
          <w:b/>
          <w:color w:val="auto"/>
          <w:sz w:val="30"/>
          <w:szCs w:val="30"/>
        </w:rPr>
        <w:t>日</w:t>
      </w:r>
    </w:p>
    <w:p>
      <w:pPr>
        <w:spacing w:line="360" w:lineRule="auto"/>
        <w:rPr>
          <w:rFonts w:hint="eastAsia" w:ascii="宋体" w:hAnsi="宋体" w:eastAsia="宋体" w:cs="宋体"/>
          <w:b/>
          <w:bCs/>
          <w:color w:val="auto"/>
          <w:sz w:val="30"/>
          <w:szCs w:val="30"/>
        </w:rPr>
        <w:sectPr>
          <w:pgSz w:w="12240" w:h="15840"/>
          <w:pgMar w:top="1440" w:right="1340" w:bottom="1440" w:left="1440" w:header="720" w:footer="720" w:gutter="0"/>
          <w:pgNumType w:start="0"/>
          <w:cols w:space="720" w:num="1"/>
        </w:sectPr>
      </w:pPr>
    </w:p>
    <w:p>
      <w:pPr>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目      录</w:t>
      </w:r>
    </w:p>
    <w:p>
      <w:pPr>
        <w:spacing w:line="360" w:lineRule="auto"/>
        <w:rPr>
          <w:rFonts w:hint="eastAsia" w:ascii="宋体" w:hAnsi="宋体" w:eastAsia="宋体" w:cs="宋体"/>
          <w:b/>
          <w:bCs/>
          <w:color w:val="auto"/>
          <w:sz w:val="44"/>
          <w:szCs w:val="44"/>
        </w:rPr>
      </w:pPr>
    </w:p>
    <w:p>
      <w:pPr>
        <w:pStyle w:val="37"/>
        <w:spacing w:line="360" w:lineRule="auto"/>
        <w:ind w:firstLine="220" w:firstLineChars="100"/>
        <w:jc w:val="left"/>
        <w:rPr>
          <w:rFonts w:hint="eastAsia" w:ascii="宋体" w:hAnsi="宋体" w:eastAsia="宋体" w:cs="宋体"/>
          <w:b/>
          <w:bCs/>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"_Toc450137519" </w:instrText>
      </w:r>
      <w:r>
        <w:rPr>
          <w:rFonts w:hint="eastAsia" w:ascii="宋体" w:hAnsi="宋体" w:eastAsia="宋体" w:cs="宋体"/>
          <w:color w:val="auto"/>
        </w:rPr>
        <w:fldChar w:fldCharType="separate"/>
      </w:r>
      <w:r>
        <w:rPr>
          <w:rStyle w:val="123"/>
          <w:rFonts w:hint="eastAsia" w:ascii="宋体" w:hAnsi="宋体" w:eastAsia="宋体" w:cs="宋体"/>
          <w:b/>
          <w:bCs/>
          <w:color w:val="auto"/>
          <w:sz w:val="28"/>
          <w:szCs w:val="28"/>
        </w:rPr>
        <w:t>第一章 招标公告</w:t>
      </w:r>
      <w:r>
        <w:rPr>
          <w:rStyle w:val="123"/>
          <w:rFonts w:hint="eastAsia" w:ascii="宋体" w:hAnsi="宋体" w:eastAsia="宋体" w:cs="宋体"/>
          <w:b/>
          <w:bCs/>
          <w:color w:val="auto"/>
          <w:sz w:val="28"/>
          <w:szCs w:val="28"/>
        </w:rPr>
        <w:fldChar w:fldCharType="end"/>
      </w:r>
    </w:p>
    <w:p>
      <w:pPr>
        <w:pStyle w:val="37"/>
        <w:spacing w:line="360" w:lineRule="auto"/>
        <w:ind w:firstLine="220" w:firstLineChars="100"/>
        <w:jc w:val="left"/>
        <w:rPr>
          <w:rFonts w:hint="eastAsia" w:ascii="宋体" w:hAnsi="宋体" w:eastAsia="宋体" w:cs="宋体"/>
          <w:b/>
          <w:bCs/>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"_Toc450137520" </w:instrText>
      </w:r>
      <w:r>
        <w:rPr>
          <w:rFonts w:hint="eastAsia" w:ascii="宋体" w:hAnsi="宋体" w:eastAsia="宋体" w:cs="宋体"/>
          <w:color w:val="auto"/>
        </w:rPr>
        <w:fldChar w:fldCharType="separate"/>
      </w:r>
      <w:r>
        <w:rPr>
          <w:rStyle w:val="123"/>
          <w:rFonts w:hint="eastAsia" w:ascii="宋体" w:hAnsi="宋体" w:eastAsia="宋体" w:cs="宋体"/>
          <w:b/>
          <w:bCs/>
          <w:color w:val="auto"/>
          <w:sz w:val="28"/>
          <w:szCs w:val="28"/>
        </w:rPr>
        <w:t>第二章 投标供应商须知</w:t>
      </w:r>
      <w:r>
        <w:rPr>
          <w:rStyle w:val="123"/>
          <w:rFonts w:hint="eastAsia" w:ascii="宋体" w:hAnsi="宋体" w:eastAsia="宋体" w:cs="宋体"/>
          <w:b/>
          <w:bCs/>
          <w:color w:val="auto"/>
          <w:sz w:val="28"/>
          <w:szCs w:val="28"/>
        </w:rPr>
        <w:fldChar w:fldCharType="end"/>
      </w:r>
    </w:p>
    <w:p>
      <w:pPr>
        <w:pStyle w:val="37"/>
        <w:spacing w:line="360" w:lineRule="auto"/>
        <w:ind w:firstLine="220" w:firstLineChars="100"/>
        <w:jc w:val="left"/>
        <w:rPr>
          <w:rFonts w:hint="eastAsia" w:ascii="宋体" w:hAnsi="宋体" w:eastAsia="宋体" w:cs="宋体"/>
          <w:b/>
          <w:bCs/>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"_Toc450137521" </w:instrText>
      </w:r>
      <w:r>
        <w:rPr>
          <w:rFonts w:hint="eastAsia" w:ascii="宋体" w:hAnsi="宋体" w:eastAsia="宋体" w:cs="宋体"/>
          <w:color w:val="auto"/>
        </w:rPr>
        <w:fldChar w:fldCharType="separate"/>
      </w:r>
      <w:r>
        <w:rPr>
          <w:rStyle w:val="123"/>
          <w:rFonts w:hint="eastAsia" w:ascii="宋体" w:hAnsi="宋体" w:eastAsia="宋体" w:cs="宋体"/>
          <w:b/>
          <w:bCs/>
          <w:color w:val="auto"/>
          <w:sz w:val="28"/>
          <w:szCs w:val="28"/>
        </w:rPr>
        <w:t>第三章 项目需求</w:t>
      </w:r>
      <w:r>
        <w:rPr>
          <w:rStyle w:val="123"/>
          <w:rFonts w:hint="eastAsia" w:ascii="宋体" w:hAnsi="宋体" w:eastAsia="宋体" w:cs="宋体"/>
          <w:b/>
          <w:bCs/>
          <w:color w:val="auto"/>
          <w:sz w:val="28"/>
          <w:szCs w:val="28"/>
        </w:rPr>
        <w:fldChar w:fldCharType="end"/>
      </w:r>
    </w:p>
    <w:p>
      <w:pPr>
        <w:pStyle w:val="37"/>
        <w:spacing w:line="360" w:lineRule="auto"/>
        <w:ind w:firstLine="220" w:firstLineChars="100"/>
        <w:jc w:val="left"/>
        <w:rPr>
          <w:rFonts w:hint="eastAsia" w:ascii="宋体" w:hAnsi="宋体" w:eastAsia="宋体" w:cs="宋体"/>
          <w:b/>
          <w:bCs/>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"_Toc450137522" </w:instrText>
      </w:r>
      <w:r>
        <w:rPr>
          <w:rFonts w:hint="eastAsia" w:ascii="宋体" w:hAnsi="宋体" w:eastAsia="宋体" w:cs="宋体"/>
          <w:color w:val="auto"/>
        </w:rPr>
        <w:fldChar w:fldCharType="separate"/>
      </w:r>
      <w:r>
        <w:rPr>
          <w:rStyle w:val="123"/>
          <w:rFonts w:hint="eastAsia" w:ascii="宋体" w:hAnsi="宋体" w:eastAsia="宋体" w:cs="宋体"/>
          <w:b/>
          <w:bCs/>
          <w:color w:val="auto"/>
          <w:sz w:val="28"/>
          <w:szCs w:val="28"/>
        </w:rPr>
        <w:t>第四章 评审方法和程序</w:t>
      </w:r>
      <w:r>
        <w:rPr>
          <w:rStyle w:val="123"/>
          <w:rFonts w:hint="eastAsia" w:ascii="宋体" w:hAnsi="宋体" w:eastAsia="宋体" w:cs="宋体"/>
          <w:b/>
          <w:bCs/>
          <w:color w:val="auto"/>
          <w:sz w:val="28"/>
          <w:szCs w:val="28"/>
        </w:rPr>
        <w:fldChar w:fldCharType="end"/>
      </w:r>
    </w:p>
    <w:p>
      <w:pPr>
        <w:pStyle w:val="37"/>
        <w:spacing w:line="360" w:lineRule="auto"/>
        <w:ind w:firstLine="220" w:firstLineChars="100"/>
        <w:jc w:val="left"/>
        <w:rPr>
          <w:rFonts w:hint="eastAsia" w:ascii="宋体" w:hAnsi="宋体" w:eastAsia="宋体" w:cs="宋体"/>
          <w:b/>
          <w:bCs/>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"_Toc450137523" </w:instrText>
      </w:r>
      <w:r>
        <w:rPr>
          <w:rFonts w:hint="eastAsia" w:ascii="宋体" w:hAnsi="宋体" w:eastAsia="宋体" w:cs="宋体"/>
          <w:color w:val="auto"/>
        </w:rPr>
        <w:fldChar w:fldCharType="separate"/>
      </w:r>
      <w:r>
        <w:rPr>
          <w:rStyle w:val="123"/>
          <w:rFonts w:hint="eastAsia" w:ascii="宋体" w:hAnsi="宋体" w:eastAsia="宋体" w:cs="宋体"/>
          <w:b/>
          <w:bCs/>
          <w:color w:val="auto"/>
          <w:sz w:val="28"/>
          <w:szCs w:val="28"/>
        </w:rPr>
        <w:t xml:space="preserve">第五章 </w:t>
      </w:r>
      <w:r>
        <w:rPr>
          <w:rStyle w:val="123"/>
          <w:rFonts w:hint="eastAsia" w:ascii="宋体" w:hAnsi="宋体" w:eastAsia="宋体" w:cs="宋体"/>
          <w:b/>
          <w:bCs/>
          <w:color w:val="auto"/>
          <w:sz w:val="28"/>
          <w:szCs w:val="28"/>
        </w:rPr>
        <w:fldChar w:fldCharType="end"/>
      </w:r>
      <w:r>
        <w:rPr>
          <w:rStyle w:val="123"/>
          <w:rFonts w:hint="eastAsia" w:ascii="宋体" w:hAnsi="宋体" w:eastAsia="宋体" w:cs="宋体"/>
          <w:b/>
          <w:bCs/>
          <w:color w:val="auto"/>
          <w:sz w:val="28"/>
          <w:szCs w:val="28"/>
        </w:rPr>
        <w:t>合同授予</w:t>
      </w:r>
    </w:p>
    <w:p>
      <w:pPr>
        <w:pStyle w:val="37"/>
        <w:spacing w:line="360" w:lineRule="auto"/>
        <w:ind w:firstLine="220" w:firstLineChars="100"/>
        <w:jc w:val="left"/>
        <w:rPr>
          <w:rFonts w:hint="eastAsia" w:ascii="宋体" w:hAnsi="宋体" w:eastAsia="宋体" w:cs="宋体"/>
          <w:b/>
          <w:bCs/>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"_Toc450137525" </w:instrText>
      </w:r>
      <w:r>
        <w:rPr>
          <w:rFonts w:hint="eastAsia" w:ascii="宋体" w:hAnsi="宋体" w:eastAsia="宋体" w:cs="宋体"/>
          <w:color w:val="auto"/>
        </w:rPr>
        <w:fldChar w:fldCharType="separate"/>
      </w:r>
      <w:r>
        <w:rPr>
          <w:rStyle w:val="123"/>
          <w:rFonts w:hint="eastAsia" w:ascii="宋体" w:hAnsi="宋体" w:eastAsia="宋体" w:cs="宋体"/>
          <w:b/>
          <w:bCs/>
          <w:color w:val="auto"/>
          <w:sz w:val="28"/>
          <w:szCs w:val="28"/>
        </w:rPr>
        <w:t>第</w:t>
      </w:r>
      <w:r>
        <w:rPr>
          <w:rStyle w:val="123"/>
          <w:rFonts w:hint="eastAsia" w:ascii="宋体" w:hAnsi="宋体" w:eastAsia="宋体" w:cs="宋体"/>
          <w:b/>
          <w:bCs/>
          <w:color w:val="auto"/>
          <w:sz w:val="28"/>
          <w:szCs w:val="28"/>
          <w:lang w:val="en-US" w:eastAsia="zh-CN"/>
        </w:rPr>
        <w:t>六</w:t>
      </w:r>
      <w:r>
        <w:rPr>
          <w:rStyle w:val="123"/>
          <w:rFonts w:hint="eastAsia" w:ascii="宋体" w:hAnsi="宋体" w:eastAsia="宋体" w:cs="宋体"/>
          <w:b/>
          <w:bCs/>
          <w:color w:val="auto"/>
          <w:sz w:val="28"/>
          <w:szCs w:val="28"/>
        </w:rPr>
        <w:t>章 质疑与投诉</w:t>
      </w:r>
      <w:r>
        <w:rPr>
          <w:rStyle w:val="123"/>
          <w:rFonts w:hint="eastAsia" w:ascii="宋体" w:hAnsi="宋体" w:eastAsia="宋体" w:cs="宋体"/>
          <w:b/>
          <w:bCs/>
          <w:color w:val="auto"/>
          <w:sz w:val="28"/>
          <w:szCs w:val="28"/>
        </w:rPr>
        <w:fldChar w:fldCharType="end"/>
      </w:r>
    </w:p>
    <w:p>
      <w:pPr>
        <w:pStyle w:val="37"/>
        <w:spacing w:line="360" w:lineRule="auto"/>
        <w:ind w:firstLine="220" w:firstLineChars="100"/>
        <w:jc w:val="left"/>
        <w:rPr>
          <w:rFonts w:hint="eastAsia" w:ascii="宋体" w:hAnsi="宋体" w:eastAsia="宋体" w:cs="宋体"/>
          <w:b/>
          <w:bCs/>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"_Toc450137526" </w:instrText>
      </w:r>
      <w:r>
        <w:rPr>
          <w:rFonts w:hint="eastAsia" w:ascii="宋体" w:hAnsi="宋体" w:eastAsia="宋体" w:cs="宋体"/>
          <w:color w:val="auto"/>
        </w:rPr>
        <w:fldChar w:fldCharType="separate"/>
      </w:r>
      <w:r>
        <w:rPr>
          <w:rStyle w:val="123"/>
          <w:rFonts w:hint="eastAsia" w:ascii="宋体" w:hAnsi="宋体" w:eastAsia="宋体" w:cs="宋体"/>
          <w:b/>
          <w:bCs/>
          <w:color w:val="auto"/>
          <w:sz w:val="28"/>
          <w:szCs w:val="28"/>
        </w:rPr>
        <w:t>第</w:t>
      </w:r>
      <w:r>
        <w:rPr>
          <w:rStyle w:val="123"/>
          <w:rFonts w:hint="eastAsia" w:ascii="宋体" w:hAnsi="宋体" w:eastAsia="宋体" w:cs="宋体"/>
          <w:b/>
          <w:bCs/>
          <w:color w:val="auto"/>
          <w:sz w:val="28"/>
          <w:szCs w:val="28"/>
          <w:lang w:val="en-US" w:eastAsia="zh-CN"/>
        </w:rPr>
        <w:t>七</w:t>
      </w:r>
      <w:r>
        <w:rPr>
          <w:rStyle w:val="123"/>
          <w:rFonts w:hint="eastAsia" w:ascii="宋体" w:hAnsi="宋体" w:eastAsia="宋体" w:cs="宋体"/>
          <w:b/>
          <w:bCs/>
          <w:color w:val="auto"/>
          <w:sz w:val="28"/>
          <w:szCs w:val="28"/>
        </w:rPr>
        <w:t>章 投标文件组成及格式</w:t>
      </w:r>
      <w:r>
        <w:rPr>
          <w:rStyle w:val="123"/>
          <w:rFonts w:hint="eastAsia" w:ascii="宋体" w:hAnsi="宋体" w:eastAsia="宋体" w:cs="宋体"/>
          <w:b/>
          <w:bCs/>
          <w:color w:val="auto"/>
          <w:sz w:val="28"/>
          <w:szCs w:val="28"/>
        </w:rPr>
        <w:fldChar w:fldCharType="end"/>
      </w:r>
    </w:p>
    <w:p>
      <w:pPr>
        <w:snapToGrid w:val="0"/>
        <w:spacing w:line="320" w:lineRule="atLeast"/>
        <w:ind w:firstLine="527" w:firstLineChars="250"/>
        <w:rPr>
          <w:rFonts w:hint="eastAsia" w:ascii="宋体" w:hAnsi="宋体" w:eastAsia="宋体" w:cs="宋体"/>
          <w:b/>
          <w:bCs/>
          <w:color w:val="auto"/>
        </w:rPr>
      </w:pPr>
      <w:r>
        <w:rPr>
          <w:rFonts w:hint="eastAsia" w:ascii="宋体" w:hAnsi="宋体" w:eastAsia="宋体" w:cs="宋体"/>
          <w:b/>
          <w:bCs/>
          <w:color w:val="auto"/>
        </w:rPr>
        <w:br w:type="page"/>
      </w:r>
    </w:p>
    <w:p>
      <w:pPr>
        <w:pStyle w:val="152"/>
        <w:spacing w:before="312" w:after="312"/>
        <w:rPr>
          <w:rFonts w:hint="eastAsia" w:ascii="宋体" w:hAnsi="宋体" w:eastAsia="宋体" w:cs="宋体"/>
          <w:color w:val="auto"/>
          <w:sz w:val="36"/>
          <w:szCs w:val="36"/>
        </w:rPr>
      </w:pPr>
      <w:r>
        <w:rPr>
          <w:rFonts w:hint="eastAsia" w:ascii="宋体" w:hAnsi="宋体" w:eastAsia="宋体" w:cs="宋体"/>
          <w:color w:val="auto"/>
          <w:sz w:val="36"/>
          <w:szCs w:val="36"/>
        </w:rPr>
        <w:t>第一章  招标公告</w:t>
      </w:r>
    </w:p>
    <w:p>
      <w:pPr>
        <w:adjustRightInd w:val="0"/>
        <w:snapToGrid w:val="0"/>
        <w:spacing w:line="460" w:lineRule="exact"/>
        <w:ind w:firstLine="560" w:firstLineChars="200"/>
        <w:rPr>
          <w:rFonts w:hint="eastAsia" w:ascii="宋体" w:hAnsi="宋体" w:eastAsia="宋体" w:cs="宋体"/>
          <w:color w:val="auto"/>
          <w:sz w:val="28"/>
          <w:szCs w:val="28"/>
        </w:rPr>
      </w:pPr>
      <w:bookmarkStart w:id="0" w:name="_Toc182848970"/>
      <w:r>
        <w:rPr>
          <w:rFonts w:hint="eastAsia" w:ascii="宋体" w:hAnsi="宋体" w:eastAsia="宋体" w:cs="宋体"/>
          <w:color w:val="auto"/>
          <w:sz w:val="28"/>
          <w:szCs w:val="28"/>
        </w:rPr>
        <w:t>受</w:t>
      </w:r>
      <w:r>
        <w:rPr>
          <w:rFonts w:hint="eastAsia" w:ascii="宋体" w:hAnsi="宋体" w:eastAsia="宋体" w:cs="宋体"/>
          <w:color w:val="auto"/>
          <w:sz w:val="28"/>
          <w:szCs w:val="28"/>
          <w:lang w:eastAsia="zh-CN"/>
        </w:rPr>
        <w:t>江苏省南通卫生高等职业技术学校</w:t>
      </w:r>
      <w:r>
        <w:rPr>
          <w:rFonts w:hint="eastAsia" w:ascii="宋体" w:hAnsi="宋体" w:eastAsia="宋体" w:cs="宋体"/>
          <w:color w:val="auto"/>
          <w:sz w:val="28"/>
          <w:szCs w:val="28"/>
        </w:rPr>
        <w:t>的委托，江苏中润工程建设咨询有限公司就[</w:t>
      </w:r>
      <w:r>
        <w:rPr>
          <w:rFonts w:hint="eastAsia" w:ascii="宋体" w:hAnsi="宋体" w:eastAsia="宋体" w:cs="宋体"/>
          <w:color w:val="auto"/>
          <w:sz w:val="28"/>
          <w:szCs w:val="28"/>
          <w:lang w:eastAsia="zh-CN"/>
        </w:rPr>
        <w:t>江苏省南通卫生高等职业技术学校2024年度中职教材、执护教材、成教教材采购项目</w:t>
      </w:r>
      <w:r>
        <w:rPr>
          <w:rFonts w:hint="eastAsia" w:ascii="宋体" w:hAnsi="宋体" w:eastAsia="宋体" w:cs="宋体"/>
          <w:color w:val="auto"/>
          <w:sz w:val="28"/>
          <w:szCs w:val="28"/>
        </w:rPr>
        <w:t>](项目编号:WXBS2023112)进行公开招标采购，欢迎符合条件的供应商投标。</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江苏省南通卫生高等职业技术学校2024年度中职教材、执护教材、成教教材采购项目</w:t>
      </w:r>
      <w:r>
        <w:rPr>
          <w:rFonts w:hint="eastAsia" w:ascii="宋体" w:hAnsi="宋体" w:eastAsia="宋体" w:cs="宋体"/>
          <w:color w:val="auto"/>
          <w:sz w:val="28"/>
          <w:szCs w:val="28"/>
        </w:rPr>
        <w:t>）招标项目的潜在投标人应在（</w:t>
      </w:r>
      <w:r>
        <w:rPr>
          <w:rFonts w:hint="eastAsia" w:ascii="宋体" w:hAnsi="宋体" w:eastAsia="宋体" w:cs="宋体"/>
          <w:color w:val="auto"/>
          <w:sz w:val="28"/>
          <w:szCs w:val="28"/>
          <w:lang w:eastAsia="zh-CN"/>
        </w:rPr>
        <w:t>江苏省南通卫生高等职业技术学校</w:t>
      </w:r>
      <w:r>
        <w:rPr>
          <w:rFonts w:hint="eastAsia" w:ascii="宋体" w:hAnsi="宋体" w:eastAsia="宋体" w:cs="宋体"/>
          <w:color w:val="auto"/>
          <w:sz w:val="28"/>
          <w:szCs w:val="28"/>
        </w:rPr>
        <w:t>网站</w:t>
      </w:r>
      <w:r>
        <w:rPr>
          <w:rFonts w:hint="eastAsia" w:ascii="宋体" w:hAnsi="宋体" w:eastAsia="宋体" w:cs="宋体"/>
          <w:color w:val="auto"/>
          <w:sz w:val="28"/>
          <w:szCs w:val="28"/>
          <w:lang w:val="en-US" w:eastAsia="zh-CN"/>
        </w:rPr>
        <w:t>或南通市卫健委网站</w:t>
      </w:r>
      <w:r>
        <w:rPr>
          <w:rFonts w:hint="eastAsia" w:ascii="宋体" w:hAnsi="宋体" w:eastAsia="宋体" w:cs="宋体"/>
          <w:color w:val="auto"/>
          <w:sz w:val="28"/>
          <w:szCs w:val="28"/>
        </w:rPr>
        <w:t>获取招标文件，并于202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点</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分（北京时间）前递交投标文件。</w:t>
      </w:r>
    </w:p>
    <w:p>
      <w:pPr>
        <w:adjustRightInd w:val="0"/>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一、项目基本情况</w:t>
      </w:r>
    </w:p>
    <w:p>
      <w:pPr>
        <w:adjustRightInd w:val="0"/>
        <w:snapToGrid w:val="0"/>
        <w:spacing w:line="460" w:lineRule="exact"/>
        <w:ind w:firstLine="560" w:firstLineChars="200"/>
        <w:rPr>
          <w:rFonts w:hint="eastAsia" w:ascii="宋体" w:hAnsi="宋体" w:eastAsia="宋体" w:cs="宋体"/>
          <w:color w:val="auto"/>
          <w:spacing w:val="7"/>
          <w:kern w:val="0"/>
          <w:sz w:val="28"/>
          <w:szCs w:val="22"/>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eastAsia="zh-CN"/>
        </w:rPr>
        <w:t>：WXBS2023112</w:t>
      </w:r>
    </w:p>
    <w:p>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lang w:eastAsia="zh-CN"/>
        </w:rPr>
        <w:t>江苏省南通卫生高等职业技术学校2024年度中职教材、执护教材、成教教材采购项目</w:t>
      </w:r>
    </w:p>
    <w:p>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项目类型：</w:t>
      </w:r>
      <w:r>
        <w:rPr>
          <w:rFonts w:hint="eastAsia" w:ascii="宋体" w:hAnsi="宋体" w:eastAsia="宋体" w:cs="宋体"/>
          <w:color w:val="auto"/>
          <w:sz w:val="28"/>
          <w:szCs w:val="28"/>
          <w:lang w:val="en-US" w:eastAsia="zh-CN"/>
        </w:rPr>
        <w:t>货物</w:t>
      </w:r>
    </w:p>
    <w:p>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所属行业：</w:t>
      </w:r>
      <w:r>
        <w:rPr>
          <w:rFonts w:hint="eastAsia" w:ascii="宋体" w:hAnsi="宋体" w:eastAsia="宋体" w:cs="宋体"/>
          <w:color w:val="auto"/>
          <w:sz w:val="28"/>
          <w:szCs w:val="28"/>
          <w:lang w:val="en-US" w:eastAsia="zh-CN"/>
        </w:rPr>
        <w:t>工业</w:t>
      </w:r>
    </w:p>
    <w:p>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预算金额：</w:t>
      </w:r>
      <w:r>
        <w:rPr>
          <w:rFonts w:hint="eastAsia" w:ascii="宋体" w:hAnsi="宋体" w:eastAsia="宋体" w:cs="宋体"/>
          <w:color w:val="auto"/>
          <w:sz w:val="28"/>
          <w:szCs w:val="28"/>
          <w:lang w:val="en-US" w:eastAsia="zh-CN"/>
        </w:rPr>
        <w:t>160</w:t>
      </w:r>
      <w:r>
        <w:rPr>
          <w:rFonts w:hint="eastAsia" w:ascii="宋体" w:hAnsi="宋体" w:eastAsia="宋体" w:cs="宋体"/>
          <w:color w:val="auto"/>
          <w:sz w:val="28"/>
          <w:szCs w:val="28"/>
        </w:rPr>
        <w:t>万元</w:t>
      </w:r>
    </w:p>
    <w:p>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最高限价：160</w:t>
      </w:r>
      <w:r>
        <w:rPr>
          <w:rFonts w:hint="eastAsia" w:ascii="宋体" w:hAnsi="宋体" w:eastAsia="宋体" w:cs="宋体"/>
          <w:color w:val="auto"/>
          <w:sz w:val="28"/>
          <w:szCs w:val="28"/>
        </w:rPr>
        <w:t>万元</w:t>
      </w:r>
      <w:r>
        <w:rPr>
          <w:rFonts w:hint="eastAsia" w:ascii="宋体" w:hAnsi="宋体" w:eastAsia="宋体" w:cs="宋体"/>
          <w:color w:val="auto"/>
          <w:sz w:val="28"/>
          <w:szCs w:val="28"/>
          <w:lang w:val="en-US" w:eastAsia="zh-CN"/>
        </w:rPr>
        <w:t>,项目报价折扣率上限为80%,报价超过折扣率上限的，按照无效响应处理。共分三个分包；</w:t>
      </w:r>
    </w:p>
    <w:tbl>
      <w:tblPr>
        <w:tblStyle w:val="56"/>
        <w:tblW w:w="7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885"/>
        <w:gridCol w:w="1346"/>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3" w:leftChars="-11"/>
              <w:jc w:val="center"/>
              <w:rPr>
                <w:rFonts w:hint="eastAsia" w:ascii="宋体" w:hAnsi="宋体" w:eastAsia="宋体" w:cs="宋体"/>
                <w:color w:val="auto"/>
                <w:sz w:val="24"/>
              </w:rPr>
            </w:pPr>
            <w:r>
              <w:rPr>
                <w:rFonts w:hint="eastAsia" w:ascii="宋体" w:hAnsi="宋体" w:eastAsia="宋体" w:cs="宋体"/>
                <w:color w:val="auto"/>
                <w:sz w:val="24"/>
                <w:lang w:bidi="ar"/>
              </w:rPr>
              <w:t>序号</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rPr>
            </w:pPr>
            <w:r>
              <w:rPr>
                <w:rFonts w:hint="eastAsia" w:ascii="宋体" w:hAnsi="宋体" w:eastAsia="宋体" w:cs="宋体"/>
                <w:color w:val="auto"/>
                <w:sz w:val="24"/>
                <w:lang w:bidi="ar"/>
              </w:rPr>
              <w:t>教材类型</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预算价</w:t>
            </w:r>
          </w:p>
        </w:tc>
        <w:tc>
          <w:tcPr>
            <w:tcW w:w="31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392" w:type="dxa"/>
            <w:tcBorders>
              <w:top w:val="single" w:color="auto" w:sz="4" w:space="0"/>
              <w:left w:val="single" w:color="auto" w:sz="4" w:space="0"/>
              <w:right w:val="single" w:color="auto" w:sz="4" w:space="0"/>
            </w:tcBorders>
            <w:vAlign w:val="center"/>
          </w:tcPr>
          <w:p>
            <w:pPr>
              <w:widowControl/>
              <w:spacing w:line="360" w:lineRule="exact"/>
              <w:ind w:left="-23" w:leftChars="-11"/>
              <w:jc w:val="center"/>
              <w:rPr>
                <w:rFonts w:hint="eastAsia" w:ascii="宋体" w:hAnsi="宋体" w:eastAsia="宋体" w:cs="宋体"/>
                <w:color w:val="auto"/>
                <w:sz w:val="24"/>
              </w:rPr>
            </w:pPr>
            <w:r>
              <w:rPr>
                <w:rFonts w:hint="eastAsia" w:ascii="宋体" w:hAnsi="宋体" w:eastAsia="宋体" w:cs="宋体"/>
                <w:color w:val="auto"/>
                <w:sz w:val="24"/>
              </w:rPr>
              <w:t>分包一</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rPr>
            </w:pPr>
            <w:r>
              <w:rPr>
                <w:rFonts w:hint="eastAsia" w:ascii="宋体" w:hAnsi="宋体" w:eastAsia="宋体" w:cs="宋体"/>
                <w:color w:val="auto"/>
                <w:sz w:val="22"/>
                <w:szCs w:val="22"/>
                <w:lang w:bidi="ar"/>
              </w:rPr>
              <w:t>中职专业课教材</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70万元</w:t>
            </w:r>
          </w:p>
        </w:tc>
        <w:tc>
          <w:tcPr>
            <w:tcW w:w="31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春秋两季中职专业课教材，春季约35万元，秋季约35万元。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rPr>
            </w:pPr>
            <w:r>
              <w:rPr>
                <w:rFonts w:hint="eastAsia" w:ascii="宋体" w:hAnsi="宋体" w:eastAsia="宋体" w:cs="宋体"/>
                <w:color w:val="auto"/>
                <w:sz w:val="24"/>
              </w:rPr>
              <w:t>分包二</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rPr>
            </w:pPr>
            <w:r>
              <w:rPr>
                <w:rFonts w:hint="eastAsia" w:ascii="宋体" w:hAnsi="宋体" w:eastAsia="宋体" w:cs="宋体"/>
                <w:color w:val="auto"/>
                <w:sz w:val="24"/>
              </w:rPr>
              <w:t>执业护士资格辅导教材</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30</w:t>
            </w:r>
            <w:r>
              <w:rPr>
                <w:rFonts w:hint="eastAsia" w:ascii="宋体" w:hAnsi="宋体" w:eastAsia="宋体" w:cs="宋体"/>
                <w:color w:val="auto"/>
                <w:sz w:val="22"/>
                <w:szCs w:val="22"/>
                <w:lang w:bidi="ar"/>
              </w:rPr>
              <w:t>万元</w:t>
            </w:r>
          </w:p>
        </w:tc>
        <w:tc>
          <w:tcPr>
            <w:tcW w:w="31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20</w:t>
            </w:r>
            <w:r>
              <w:rPr>
                <w:rFonts w:hint="eastAsia" w:ascii="宋体" w:hAnsi="宋体" w:cs="宋体"/>
                <w:color w:val="auto"/>
                <w:sz w:val="22"/>
                <w:szCs w:val="22"/>
                <w:lang w:val="en-US" w:eastAsia="zh-CN" w:bidi="ar"/>
              </w:rPr>
              <w:t>2</w:t>
            </w:r>
            <w:r>
              <w:rPr>
                <w:rFonts w:hint="eastAsia" w:ascii="宋体" w:hAnsi="宋体" w:eastAsia="宋体" w:cs="宋体"/>
                <w:color w:val="auto"/>
                <w:sz w:val="22"/>
                <w:szCs w:val="22"/>
                <w:lang w:val="en-US" w:eastAsia="zh-CN" w:bidi="ar"/>
              </w:rPr>
              <w:t>4年1月16日前送到学校。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392"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rPr>
            </w:pPr>
            <w:r>
              <w:rPr>
                <w:rFonts w:hint="eastAsia" w:ascii="宋体" w:hAnsi="宋体" w:eastAsia="宋体" w:cs="宋体"/>
                <w:color w:val="auto"/>
                <w:sz w:val="24"/>
              </w:rPr>
              <w:t>分包三</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成人教育教材</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60万元</w:t>
            </w:r>
          </w:p>
        </w:tc>
        <w:tc>
          <w:tcPr>
            <w:tcW w:w="31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lang w:bidi="ar"/>
              </w:rPr>
            </w:pPr>
          </w:p>
        </w:tc>
      </w:tr>
    </w:tbl>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采购需求：详见采购文件，请仔细研究。</w:t>
      </w:r>
    </w:p>
    <w:p>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合同履行期限：合同签定生效后按照校方指定时间内到货。</w:t>
      </w:r>
    </w:p>
    <w:p>
      <w:pPr>
        <w:adjustRightInd w:val="0"/>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二、申请人的资格要求：</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投标供应商具有独立承担民事责任的能力；具有良好的商业信誉和健全的财务会计制度；有依法缴纳税收和社会保障资金的良好记录；参加政府采购活动前三年内，在经营活动中没有重大违法记录；法律、行政法规规定的其他条件。</w:t>
      </w:r>
    </w:p>
    <w:p>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提供有效的营业执照副本复印件；</w:t>
      </w:r>
    </w:p>
    <w:p>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b w:val="0"/>
          <w:bCs w:val="0"/>
          <w:color w:val="auto"/>
          <w:sz w:val="28"/>
          <w:szCs w:val="28"/>
        </w:rPr>
        <w:t>出版物经营许可证</w:t>
      </w:r>
      <w:r>
        <w:rPr>
          <w:rFonts w:hint="eastAsia" w:ascii="宋体" w:hAnsi="宋体" w:eastAsia="宋体" w:cs="宋体"/>
          <w:b w:val="0"/>
          <w:bCs w:val="0"/>
          <w:color w:val="auto"/>
          <w:sz w:val="28"/>
          <w:szCs w:val="28"/>
          <w:lang w:eastAsia="zh-CN"/>
        </w:rPr>
        <w:t>、授权经营证书（销售代理商）</w:t>
      </w:r>
      <w:r>
        <w:rPr>
          <w:rFonts w:hint="eastAsia" w:ascii="宋体" w:hAnsi="宋体" w:eastAsia="宋体" w:cs="宋体"/>
          <w:b w:val="0"/>
          <w:bCs w:val="0"/>
          <w:color w:val="auto"/>
          <w:sz w:val="28"/>
          <w:szCs w:val="28"/>
        </w:rPr>
        <w:t>证明材料</w:t>
      </w:r>
      <w:r>
        <w:rPr>
          <w:rFonts w:hint="eastAsia" w:ascii="宋体" w:hAnsi="宋体" w:eastAsia="宋体" w:cs="宋体"/>
          <w:color w:val="auto"/>
          <w:sz w:val="28"/>
          <w:szCs w:val="28"/>
          <w:lang w:val="en-US" w:eastAsia="zh-CN"/>
        </w:rPr>
        <w:t>；</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本项目的特定资格要求：</w:t>
      </w:r>
      <w:r>
        <w:rPr>
          <w:rFonts w:hint="eastAsia" w:ascii="宋体" w:hAnsi="宋体" w:eastAsia="宋体" w:cs="宋体"/>
          <w:color w:val="auto"/>
          <w:sz w:val="28"/>
          <w:szCs w:val="28"/>
          <w:u w:val="single"/>
        </w:rPr>
        <w:t xml:space="preserve">  无 </w:t>
      </w:r>
      <w:r>
        <w:rPr>
          <w:rFonts w:hint="eastAsia" w:ascii="宋体" w:hAnsi="宋体" w:eastAsia="宋体" w:cs="宋体"/>
          <w:color w:val="auto"/>
          <w:sz w:val="28"/>
          <w:szCs w:val="28"/>
        </w:rPr>
        <w:t xml:space="preserve"> ；</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法定代表人参加投标的，必须提供法定代表人身份证明原件及法定代表人本人身份证复印件加盖公章；非法定代表人参加投标的，必须提供法定代表人签名或盖章的授权委托书原件及法定代表人和委托代理人两个人的身份证复印件加盖公章（格式参见第八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授权</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为投标供应商正式人员证明材料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提供</w:t>
      </w:r>
      <w:r>
        <w:rPr>
          <w:rFonts w:hint="eastAsia" w:ascii="宋体" w:hAnsi="宋体" w:eastAsia="宋体" w:cs="宋体"/>
          <w:color w:val="auto"/>
          <w:sz w:val="28"/>
          <w:szCs w:val="28"/>
        </w:rPr>
        <w:t>社保机构出具并盖章的投标供应为其缴纳</w:t>
      </w:r>
      <w:r>
        <w:rPr>
          <w:rFonts w:hint="eastAsia" w:ascii="宋体" w:hAnsi="宋体" w:eastAsia="宋体" w:cs="宋体"/>
          <w:color w:val="auto"/>
          <w:sz w:val="28"/>
          <w:szCs w:val="28"/>
          <w:lang w:val="en-US" w:eastAsia="zh-CN"/>
        </w:rPr>
        <w:t>任意一</w:t>
      </w:r>
      <w:r>
        <w:rPr>
          <w:rFonts w:hint="eastAsia" w:ascii="宋体" w:hAnsi="宋体" w:eastAsia="宋体" w:cs="宋体"/>
          <w:color w:val="auto"/>
          <w:sz w:val="28"/>
          <w:szCs w:val="28"/>
        </w:rPr>
        <w:t>个月的养老保险缴费清单复印件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.本项目不接受联合体投标。</w:t>
      </w:r>
    </w:p>
    <w:p>
      <w:pPr>
        <w:adjustRightInd w:val="0"/>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三、获取招标文件</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时间：202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日至202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日。</w:t>
      </w:r>
    </w:p>
    <w:p>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地点：</w:t>
      </w:r>
      <w:r>
        <w:rPr>
          <w:rFonts w:hint="eastAsia" w:ascii="宋体" w:hAnsi="宋体" w:eastAsia="宋体" w:cs="宋体"/>
          <w:color w:val="auto"/>
          <w:sz w:val="28"/>
          <w:szCs w:val="28"/>
          <w:lang w:eastAsia="zh-CN"/>
        </w:rPr>
        <w:t>江苏省南通卫生高等职业技术学校</w:t>
      </w:r>
      <w:r>
        <w:rPr>
          <w:rFonts w:hint="eastAsia" w:ascii="宋体" w:hAnsi="宋体" w:eastAsia="宋体" w:cs="宋体"/>
          <w:color w:val="auto"/>
          <w:sz w:val="28"/>
          <w:szCs w:val="28"/>
        </w:rPr>
        <w:t>网站</w:t>
      </w:r>
      <w:r>
        <w:rPr>
          <w:rFonts w:hint="eastAsia" w:ascii="宋体" w:hAnsi="宋体" w:eastAsia="宋体" w:cs="宋体"/>
          <w:color w:val="auto"/>
          <w:sz w:val="28"/>
          <w:szCs w:val="28"/>
          <w:lang w:val="en-US" w:eastAsia="zh-CN"/>
        </w:rPr>
        <w:t>或南通市卫健委网站；</w:t>
      </w:r>
    </w:p>
    <w:p>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方式：自行下载</w:t>
      </w:r>
      <w:r>
        <w:rPr>
          <w:rFonts w:hint="eastAsia" w:ascii="宋体" w:hAnsi="宋体" w:eastAsia="宋体" w:cs="宋体"/>
          <w:color w:val="auto"/>
          <w:sz w:val="28"/>
          <w:szCs w:val="28"/>
          <w:lang w:val="en-US" w:eastAsia="zh-CN"/>
        </w:rPr>
        <w:t>或至代理机构处获取。</w:t>
      </w:r>
    </w:p>
    <w:p>
      <w:pPr>
        <w:adjustRightInd w:val="0"/>
        <w:snapToGrid w:val="0"/>
        <w:spacing w:line="46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四、提交投标文件截止时间、开标时间和地点</w:t>
      </w:r>
    </w:p>
    <w:p>
      <w:pPr>
        <w:adjustRightInd w:val="0"/>
        <w:snapToGrid w:val="0"/>
        <w:spacing w:line="460" w:lineRule="exact"/>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截止时间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点</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分（北京时间）。逾时，招标人将拒绝接受投标响应文件。</w:t>
      </w:r>
    </w:p>
    <w:p>
      <w:pPr>
        <w:adjustRightInd w:val="0"/>
        <w:snapToGrid w:val="0"/>
        <w:spacing w:line="460" w:lineRule="exact"/>
        <w:ind w:firstLine="562" w:firstLineChars="200"/>
        <w:rPr>
          <w:rFonts w:hint="eastAsia" w:ascii="宋体" w:hAnsi="宋体" w:eastAsia="宋体" w:cs="宋体"/>
          <w:i/>
          <w:color w:val="auto"/>
          <w:sz w:val="28"/>
          <w:szCs w:val="28"/>
        </w:rPr>
      </w:pPr>
      <w:r>
        <w:rPr>
          <w:rFonts w:hint="eastAsia" w:ascii="宋体" w:hAnsi="宋体" w:eastAsia="宋体" w:cs="宋体"/>
          <w:b/>
          <w:bCs/>
          <w:color w:val="auto"/>
          <w:sz w:val="28"/>
          <w:szCs w:val="28"/>
        </w:rPr>
        <w:t>地点：</w:t>
      </w:r>
      <w:r>
        <w:rPr>
          <w:rFonts w:hint="eastAsia" w:ascii="宋体" w:hAnsi="宋体" w:eastAsia="宋体" w:cs="宋体"/>
          <w:color w:val="auto"/>
          <w:spacing w:val="7"/>
          <w:kern w:val="0"/>
          <w:sz w:val="28"/>
          <w:szCs w:val="22"/>
          <w:highlight w:val="none"/>
          <w:lang w:eastAsia="zh-CN"/>
        </w:rPr>
        <w:t>南通市经济技术开发区振兴东路288号南通卫生高职校行政楼1408室，如有变动另行通知。</w:t>
      </w:r>
    </w:p>
    <w:p>
      <w:pPr>
        <w:adjustRightInd w:val="0"/>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五、公告期限</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自本公告发布之日起5个工作日。</w:t>
      </w:r>
    </w:p>
    <w:p>
      <w:pPr>
        <w:adjustRightInd w:val="0"/>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六、其他补充事宜</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1.投标保证金：免收</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2.项目开标活动模式：现场开标，供应商在</w:t>
      </w:r>
      <w:r>
        <w:rPr>
          <w:rFonts w:hint="eastAsia" w:ascii="宋体" w:hAnsi="宋体" w:eastAsia="宋体" w:cs="宋体"/>
          <w:color w:val="auto"/>
          <w:spacing w:val="7"/>
          <w:kern w:val="0"/>
          <w:sz w:val="28"/>
          <w:szCs w:val="22"/>
          <w:highlight w:val="none"/>
          <w:u w:val="single"/>
          <w:lang w:eastAsia="zh-CN"/>
        </w:rPr>
        <w:t>南通市经济技术开发区振兴东路288号南通卫生高职校行政楼1408室</w:t>
      </w:r>
      <w:r>
        <w:rPr>
          <w:rFonts w:hint="eastAsia" w:ascii="宋体" w:hAnsi="宋体" w:eastAsia="宋体" w:cs="宋体"/>
          <w:color w:val="auto"/>
          <w:sz w:val="28"/>
          <w:szCs w:val="28"/>
        </w:rPr>
        <w:t>参加开标活动。</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3.项目演示：详见招标文件第四章 评审方法和程序。</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4.对项目需求部分（供应商资格要求、项目需求、商务技术评分标准）的询问、质疑请向招标人提出，由招标人负责答复；对项目招标文件其它部分的询问请向代理机构经办人提出。</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adjustRightInd w:val="0"/>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七、对本次招标提出询问，请按以下方式联系。</w:t>
      </w:r>
    </w:p>
    <w:p>
      <w:pPr>
        <w:widowControl/>
        <w:shd w:val="clear" w:color="auto" w:fill="FFFFFF"/>
        <w:adjustRightInd w:val="0"/>
        <w:snapToGrid w:val="0"/>
        <w:spacing w:line="460" w:lineRule="exact"/>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1.招标单位：</w:t>
      </w:r>
      <w:r>
        <w:rPr>
          <w:rFonts w:hint="eastAsia" w:ascii="宋体" w:hAnsi="宋体" w:eastAsia="宋体" w:cs="宋体"/>
          <w:color w:val="auto"/>
          <w:sz w:val="28"/>
          <w:szCs w:val="28"/>
          <w:lang w:eastAsia="zh-CN"/>
        </w:rPr>
        <w:t>江苏省南通卫生高等职业技术学校</w:t>
      </w:r>
    </w:p>
    <w:p>
      <w:pPr>
        <w:widowControl/>
        <w:shd w:val="clear" w:color="auto" w:fill="FFFFFF"/>
        <w:adjustRightInd w:val="0"/>
        <w:snapToGrid w:val="0"/>
        <w:spacing w:line="46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地址：南通市崇川区南通经济开发区振兴路288号</w:t>
      </w:r>
    </w:p>
    <w:p>
      <w:pPr>
        <w:widowControl/>
        <w:shd w:val="clear" w:color="auto" w:fill="FFFFFF"/>
        <w:adjustRightInd w:val="0"/>
        <w:snapToGrid w:val="0"/>
        <w:spacing w:line="46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招标单位联系人：</w:t>
      </w:r>
      <w:r>
        <w:rPr>
          <w:rFonts w:hint="eastAsia" w:ascii="宋体" w:hAnsi="宋体" w:eastAsia="宋体" w:cs="宋体"/>
          <w:color w:val="auto"/>
          <w:sz w:val="28"/>
          <w:szCs w:val="28"/>
          <w:lang w:val="en-US" w:eastAsia="zh-CN"/>
        </w:rPr>
        <w:t>单</w:t>
      </w:r>
      <w:r>
        <w:rPr>
          <w:rFonts w:hint="eastAsia" w:ascii="宋体" w:hAnsi="宋体" w:eastAsia="宋体" w:cs="宋体"/>
          <w:color w:val="auto"/>
          <w:sz w:val="28"/>
          <w:szCs w:val="28"/>
        </w:rPr>
        <w:t>老师  1</w:t>
      </w:r>
      <w:r>
        <w:rPr>
          <w:rFonts w:hint="eastAsia" w:ascii="宋体" w:hAnsi="宋体" w:eastAsia="宋体" w:cs="宋体"/>
          <w:color w:val="auto"/>
          <w:sz w:val="28"/>
          <w:szCs w:val="28"/>
          <w:lang w:val="en-US" w:eastAsia="zh-CN"/>
        </w:rPr>
        <w:t>3511591058</w:t>
      </w:r>
    </w:p>
    <w:p>
      <w:pPr>
        <w:widowControl/>
        <w:shd w:val="clear" w:color="auto" w:fill="FFFFFF"/>
        <w:adjustRightInd w:val="0"/>
        <w:snapToGrid w:val="0"/>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2.招标代理机构信息</w:t>
      </w:r>
    </w:p>
    <w:p>
      <w:pPr>
        <w:widowControl/>
        <w:shd w:val="clear" w:color="auto" w:fill="FFFFFF"/>
        <w:adjustRightInd w:val="0"/>
        <w:snapToGrid w:val="0"/>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名称：江苏中润工程建设咨询有限公司</w:t>
      </w:r>
    </w:p>
    <w:p>
      <w:pPr>
        <w:widowControl/>
        <w:shd w:val="clear" w:color="auto" w:fill="FFFFFF"/>
        <w:adjustRightInd w:val="0"/>
        <w:snapToGrid w:val="0"/>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地址：南通市崇川路58号</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经办人联系方式：王先生13906272111</w:t>
      </w:r>
    </w:p>
    <w:p>
      <w:pPr>
        <w:spacing w:line="480" w:lineRule="exact"/>
        <w:ind w:firstLine="482" w:firstLineChars="200"/>
        <w:rPr>
          <w:rFonts w:hint="eastAsia" w:ascii="宋体" w:hAnsi="宋体" w:eastAsia="宋体" w:cs="宋体"/>
          <w:b/>
          <w:bCs/>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360" w:lineRule="auto"/>
        <w:ind w:firstLine="480" w:firstLineChars="200"/>
        <w:jc w:val="left"/>
        <w:rPr>
          <w:rFonts w:hint="eastAsia" w:ascii="宋体" w:hAnsi="宋体" w:eastAsia="宋体" w:cs="宋体"/>
          <w:b/>
          <w:bCs/>
          <w:color w:val="auto"/>
          <w:sz w:val="36"/>
          <w:szCs w:val="36"/>
        </w:rPr>
      </w:pPr>
      <w:r>
        <w:rPr>
          <w:rFonts w:hint="eastAsia" w:ascii="宋体" w:hAnsi="宋体" w:eastAsia="宋体" w:cs="宋体"/>
          <w:color w:val="auto"/>
          <w:sz w:val="24"/>
          <w:szCs w:val="24"/>
        </w:rPr>
        <w:t xml:space="preserve">                   </w:t>
      </w:r>
      <w:r>
        <w:rPr>
          <w:rFonts w:hint="eastAsia" w:ascii="宋体" w:hAnsi="宋体" w:eastAsia="宋体" w:cs="宋体"/>
          <w:b/>
          <w:bCs/>
          <w:color w:val="auto"/>
          <w:sz w:val="36"/>
          <w:szCs w:val="36"/>
        </w:rPr>
        <w:t>第二章 投标供应商须知</w:t>
      </w:r>
    </w:p>
    <w:p>
      <w:pPr>
        <w:snapToGrid w:val="0"/>
        <w:spacing w:line="360" w:lineRule="auto"/>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一、说明</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1.本招标文件仅适用于</w:t>
      </w:r>
      <w:r>
        <w:rPr>
          <w:rFonts w:hint="eastAsia" w:ascii="宋体" w:hAnsi="宋体" w:eastAsia="宋体" w:cs="宋体"/>
          <w:color w:val="auto"/>
          <w:kern w:val="0"/>
          <w:sz w:val="28"/>
          <w:szCs w:val="28"/>
          <w:lang w:eastAsia="zh-CN"/>
        </w:rPr>
        <w:t>江苏省南通卫生高等职业技术学校</w:t>
      </w:r>
      <w:r>
        <w:rPr>
          <w:rFonts w:hint="eastAsia" w:ascii="宋体" w:hAnsi="宋体" w:eastAsia="宋体" w:cs="宋体"/>
          <w:color w:val="auto"/>
          <w:sz w:val="28"/>
          <w:szCs w:val="28"/>
        </w:rPr>
        <w:t>的公开招标活动。</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kern w:val="0"/>
          <w:sz w:val="28"/>
          <w:szCs w:val="28"/>
          <w:highlight w:val="none"/>
          <w:lang w:val="en-US" w:eastAsia="zh-CN"/>
        </w:rPr>
        <w:t>本项目不涉及财政预算资金支付，属于学生代办费，采购招标参照相关法律法规和学校采购管理办法执行。</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公开招标活动及因本次招标产生的合同受中国法律制约和保护。</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.招标文件的解释权属于</w:t>
      </w:r>
      <w:r>
        <w:rPr>
          <w:rFonts w:hint="eastAsia" w:ascii="宋体" w:hAnsi="宋体" w:eastAsia="宋体" w:cs="宋体"/>
          <w:color w:val="auto"/>
          <w:kern w:val="0"/>
          <w:sz w:val="28"/>
          <w:szCs w:val="28"/>
          <w:lang w:eastAsia="zh-CN"/>
        </w:rPr>
        <w:t>江苏省南通卫生高等职业技术学校</w:t>
      </w:r>
      <w:r>
        <w:rPr>
          <w:rFonts w:hint="eastAsia" w:ascii="宋体" w:hAnsi="宋体" w:eastAsia="宋体" w:cs="宋体"/>
          <w:color w:val="auto"/>
          <w:sz w:val="28"/>
          <w:szCs w:val="28"/>
        </w:rPr>
        <w:t>。</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投标供应商下载招标文件后，应仔细检查招标文件的所有内容，如有内容或页码短缺、资格要求和技术参数含有倾向性或排他性等表述的，应在招标文件发布后3日内以书面形式提出询问或疑问（发送至邮箱jszrntzb@163.com），未在规定的3日内提出询问或疑问的，视同供应商理解并接受本招标文件所有内容，并由此引起的损失自负。投标供应商不得在招标结束后针对招标文件所有内容提出质疑事项。非书面形式的不作为日后质疑提出的依据。</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.投标供应商应认真审阅招标文件中所有的事项、格式、条款和规范要求等，如果投标供应商没有按照招标文件要求提交投标文件，或者投标文件没有对招标文件做出实质性响应，将被拒绝参与投标。</w:t>
      </w:r>
    </w:p>
    <w:p>
      <w:pPr>
        <w:snapToGrid w:val="0"/>
        <w:spacing w:line="360" w:lineRule="auto"/>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二、招标文件的补充说明、澄清、修改、答疑</w:t>
      </w:r>
    </w:p>
    <w:p>
      <w:pPr>
        <w:snapToGrid w:val="0"/>
        <w:spacing w:line="360" w:lineRule="auto"/>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1.采购人有权对发出的招标文件进行必要的补充说明、澄清或修改。</w:t>
      </w:r>
    </w:p>
    <w:p>
      <w:pPr>
        <w:snapToGrid w:val="0"/>
        <w:spacing w:line="360" w:lineRule="auto"/>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2.招标文件的澄清、修改、补充等内容均以书面明确的形式发布，且以在</w:t>
      </w:r>
      <w:r>
        <w:rPr>
          <w:rFonts w:hint="eastAsia" w:ascii="宋体" w:hAnsi="宋体" w:eastAsia="宋体" w:cs="宋体"/>
          <w:color w:val="auto"/>
          <w:sz w:val="28"/>
          <w:szCs w:val="28"/>
          <w:lang w:eastAsia="zh-CN"/>
        </w:rPr>
        <w:t>江苏省南通卫生高等职业技术学校</w:t>
      </w:r>
      <w:r>
        <w:rPr>
          <w:rFonts w:hint="eastAsia" w:ascii="宋体" w:hAnsi="宋体" w:eastAsia="宋体" w:cs="宋体"/>
          <w:color w:val="auto"/>
          <w:sz w:val="28"/>
          <w:szCs w:val="28"/>
        </w:rPr>
        <w:t>网站上</w:t>
      </w:r>
      <w:r>
        <w:rPr>
          <w:rFonts w:hint="eastAsia" w:ascii="宋体" w:hAnsi="宋体" w:eastAsia="宋体" w:cs="宋体"/>
          <w:color w:val="auto"/>
          <w:sz w:val="28"/>
          <w:szCs w:val="28"/>
          <w:lang w:val="en-US" w:eastAsia="zh-CN"/>
        </w:rPr>
        <w:t>或南通市卫健委网站</w:t>
      </w:r>
      <w:r>
        <w:rPr>
          <w:rFonts w:hint="eastAsia" w:ascii="宋体" w:hAnsi="宋体" w:eastAsia="宋体" w:cs="宋体"/>
          <w:color w:val="auto"/>
          <w:sz w:val="28"/>
          <w:szCs w:val="28"/>
        </w:rPr>
        <w:t>发布的信息为准。</w:t>
      </w:r>
    </w:p>
    <w:p>
      <w:pPr>
        <w:snapToGrid w:val="0"/>
        <w:spacing w:line="360" w:lineRule="auto"/>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3.采购人对招标文件的补充说明、澄清或修改，将构成招标文件的一部分，对投标供应商具有约束力。</w:t>
      </w:r>
    </w:p>
    <w:p>
      <w:pPr>
        <w:snapToGrid w:val="0"/>
        <w:spacing w:line="360" w:lineRule="auto"/>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4.补充说明、澄清或修改的内容可能影响到响应文件编制的，采购人将在提交首次响应文件截止之日3日前，发布补充说明、澄清或修改公告，不足3日的，应当顺延提交首次响应文件截止之日。</w:t>
      </w:r>
    </w:p>
    <w:p>
      <w:pPr>
        <w:snapToGrid w:val="0"/>
        <w:spacing w:line="360" w:lineRule="auto"/>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5、除非采购人以书面的形式对招标文件作出澄清、修改及补充，投标供应商对涉及招标文件的任何推论、理解和结论所造成的结果，均由投标供应商自负。</w:t>
      </w:r>
    </w:p>
    <w:p>
      <w:pPr>
        <w:snapToGrid w:val="0"/>
        <w:spacing w:line="360" w:lineRule="auto"/>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6.招标采购人视情组织答疑会。如有答疑且对招标文件内容有修改，招标采购人将按照本须知有关规定，以补充通知（公告）的方式发出。</w:t>
      </w:r>
    </w:p>
    <w:p>
      <w:pPr>
        <w:snapToGrid w:val="0"/>
        <w:spacing w:line="360" w:lineRule="auto"/>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三、投标文件的组成及装订</w:t>
      </w:r>
    </w:p>
    <w:p>
      <w:pPr>
        <w:snapToGrid w:val="0"/>
        <w:spacing w:line="360" w:lineRule="auto"/>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1.投标文件由：⑴资格审查文件、⑵技术标、⑶价格标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4）电子文件</w:t>
      </w:r>
      <w:r>
        <w:rPr>
          <w:rFonts w:hint="eastAsia" w:ascii="宋体" w:hAnsi="宋体" w:eastAsia="宋体" w:cs="宋体"/>
          <w:color w:val="auto"/>
          <w:sz w:val="28"/>
          <w:szCs w:val="28"/>
        </w:rPr>
        <w:t>共</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部分组成。</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投标供应商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供应商法定代表人或其委托的代理人（以下称被授权人）签字（或盖章）并加盖公章。</w:t>
      </w:r>
    </w:p>
    <w:p>
      <w:pPr>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3.投标文件的 “资格审查文件”、“技术标”、“价格标”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电子文件”</w:t>
      </w:r>
      <w:r>
        <w:rPr>
          <w:rFonts w:hint="eastAsia" w:ascii="宋体" w:hAnsi="宋体" w:eastAsia="宋体" w:cs="宋体"/>
          <w:color w:val="auto"/>
          <w:sz w:val="28"/>
          <w:szCs w:val="28"/>
        </w:rPr>
        <w:t>各自装订成册。特别提示：“价格标”必须单独装订和封装，不得出现在“资格审查文件”和“技术标”之中。（</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部分均分开单独密封）</w:t>
      </w:r>
    </w:p>
    <w:p>
      <w:pPr>
        <w:snapToGrid w:val="0"/>
        <w:spacing w:line="360" w:lineRule="auto"/>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四、投标文件的份数、签署</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1.投标供应商应准备</w:t>
      </w:r>
      <w:r>
        <w:rPr>
          <w:rFonts w:hint="eastAsia" w:ascii="宋体" w:hAnsi="宋体" w:eastAsia="宋体" w:cs="宋体"/>
          <w:color w:val="auto"/>
          <w:sz w:val="28"/>
          <w:szCs w:val="28"/>
          <w:u w:val="single"/>
        </w:rPr>
        <w:t xml:space="preserve"> </w:t>
      </w:r>
      <w:r>
        <w:rPr>
          <w:rFonts w:hint="eastAsia" w:ascii="宋体" w:hAnsi="宋体" w:eastAsia="宋体" w:cs="宋体"/>
          <w:b/>
          <w:bCs/>
          <w:color w:val="auto"/>
          <w:sz w:val="28"/>
          <w:szCs w:val="28"/>
          <w:u w:val="single"/>
          <w:lang w:val="en-US" w:eastAsia="zh-CN"/>
        </w:rPr>
        <w:t>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份完整的投标文件，其中正本</w:t>
      </w:r>
      <w:r>
        <w:rPr>
          <w:rFonts w:hint="eastAsia" w:ascii="宋体" w:hAnsi="宋体" w:eastAsia="宋体" w:cs="宋体"/>
          <w:color w:val="auto"/>
          <w:sz w:val="28"/>
          <w:szCs w:val="28"/>
          <w:u w:val="single"/>
        </w:rPr>
        <w:t xml:space="preserve"> </w:t>
      </w:r>
      <w:r>
        <w:rPr>
          <w:rFonts w:hint="eastAsia" w:ascii="宋体" w:hAnsi="宋体" w:eastAsia="宋体" w:cs="宋体"/>
          <w:b/>
          <w:bCs/>
          <w:color w:val="auto"/>
          <w:sz w:val="28"/>
          <w:szCs w:val="28"/>
          <w:u w:val="single"/>
        </w:rPr>
        <w:t>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份，副本</w:t>
      </w:r>
      <w:r>
        <w:rPr>
          <w:rFonts w:hint="eastAsia" w:ascii="宋体" w:hAnsi="宋体" w:eastAsia="宋体" w:cs="宋体"/>
          <w:color w:val="auto"/>
          <w:sz w:val="28"/>
          <w:szCs w:val="28"/>
          <w:u w:val="single"/>
        </w:rPr>
        <w:t xml:space="preserve"> </w:t>
      </w:r>
      <w:r>
        <w:rPr>
          <w:rFonts w:hint="eastAsia" w:ascii="宋体" w:hAnsi="宋体" w:eastAsia="宋体" w:cs="宋体"/>
          <w:b/>
          <w:bCs/>
          <w:color w:val="auto"/>
          <w:sz w:val="28"/>
          <w:szCs w:val="28"/>
          <w:u w:val="single"/>
          <w:lang w:val="en-US" w:eastAsia="zh-CN"/>
        </w:rPr>
        <w:t>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份，并标明“正本”或“副本”字样，若有差异，概以“正本”为准。</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2.投标文件分</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册密封。第一册为“资格审查文件”，第二册为“技术标”，第三册为“价格标”，</w:t>
      </w:r>
      <w:r>
        <w:rPr>
          <w:rFonts w:hint="eastAsia" w:ascii="宋体" w:hAnsi="宋体" w:eastAsia="宋体" w:cs="宋体"/>
          <w:color w:val="auto"/>
          <w:sz w:val="28"/>
          <w:szCs w:val="28"/>
          <w:lang w:val="en-US" w:eastAsia="zh-CN"/>
        </w:rPr>
        <w:t>第四册为“电子文件”，</w:t>
      </w:r>
      <w:r>
        <w:rPr>
          <w:rFonts w:hint="eastAsia" w:ascii="宋体" w:hAnsi="宋体" w:eastAsia="宋体" w:cs="宋体"/>
          <w:color w:val="auto"/>
          <w:sz w:val="28"/>
          <w:szCs w:val="28"/>
        </w:rPr>
        <w:t>投标文件的第一册、第二册、第三册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第四册</w:t>
      </w:r>
      <w:r>
        <w:rPr>
          <w:rFonts w:hint="eastAsia" w:ascii="宋体" w:hAnsi="宋体" w:eastAsia="宋体" w:cs="宋体"/>
          <w:color w:val="auto"/>
          <w:sz w:val="28"/>
          <w:szCs w:val="28"/>
        </w:rPr>
        <w:t>应分别密封，并在封袋上标明“资格审查文件”、“技术标”、“价格标”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电子文件”</w:t>
      </w:r>
      <w:r>
        <w:rPr>
          <w:rFonts w:hint="eastAsia" w:ascii="宋体" w:hAnsi="宋体" w:eastAsia="宋体" w:cs="宋体"/>
          <w:color w:val="auto"/>
          <w:sz w:val="28"/>
          <w:szCs w:val="28"/>
        </w:rPr>
        <w:t>。</w:t>
      </w:r>
    </w:p>
    <w:p>
      <w:pPr>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▲本项目要求提供电子文件一份，电子文件的内容为资格审查文件、技术</w:t>
      </w:r>
      <w:r>
        <w:rPr>
          <w:rFonts w:hint="eastAsia" w:ascii="宋体" w:hAnsi="宋体" w:eastAsia="宋体" w:cs="宋体"/>
          <w:b/>
          <w:bCs w:val="0"/>
          <w:color w:val="auto"/>
          <w:sz w:val="28"/>
          <w:szCs w:val="28"/>
          <w:highlight w:val="none"/>
          <w:lang w:val="en-US" w:eastAsia="zh-CN"/>
        </w:rPr>
        <w:t>标</w:t>
      </w:r>
      <w:r>
        <w:rPr>
          <w:rFonts w:hint="eastAsia" w:ascii="宋体" w:hAnsi="宋体" w:eastAsia="宋体" w:cs="宋体"/>
          <w:b/>
          <w:bCs w:val="0"/>
          <w:color w:val="auto"/>
          <w:sz w:val="28"/>
          <w:szCs w:val="28"/>
          <w:highlight w:val="none"/>
        </w:rPr>
        <w:t>、价格</w:t>
      </w:r>
      <w:r>
        <w:rPr>
          <w:rFonts w:hint="eastAsia" w:ascii="宋体" w:hAnsi="宋体" w:eastAsia="宋体" w:cs="宋体"/>
          <w:b/>
          <w:bCs w:val="0"/>
          <w:color w:val="auto"/>
          <w:sz w:val="28"/>
          <w:szCs w:val="28"/>
          <w:highlight w:val="none"/>
          <w:lang w:val="en-US" w:eastAsia="zh-CN"/>
        </w:rPr>
        <w:t>标</w:t>
      </w:r>
      <w:r>
        <w:rPr>
          <w:rFonts w:hint="eastAsia" w:ascii="宋体" w:hAnsi="宋体" w:eastAsia="宋体" w:cs="宋体"/>
          <w:b/>
          <w:bCs w:val="0"/>
          <w:color w:val="auto"/>
          <w:sz w:val="28"/>
          <w:szCs w:val="28"/>
          <w:highlight w:val="none"/>
        </w:rPr>
        <w:t>打印盖章</w:t>
      </w:r>
      <w:r>
        <w:rPr>
          <w:rFonts w:hint="eastAsia" w:ascii="宋体" w:hAnsi="宋体" w:eastAsia="宋体" w:cs="宋体"/>
          <w:b/>
          <w:bCs w:val="0"/>
          <w:color w:val="auto"/>
          <w:sz w:val="28"/>
          <w:szCs w:val="28"/>
          <w:highlight w:val="none"/>
          <w:lang w:val="en-US" w:eastAsia="zh-CN"/>
        </w:rPr>
        <w:t>或电子签章</w:t>
      </w:r>
      <w:r>
        <w:rPr>
          <w:rFonts w:hint="eastAsia" w:ascii="宋体" w:hAnsi="宋体" w:eastAsia="宋体" w:cs="宋体"/>
          <w:b/>
          <w:bCs w:val="0"/>
          <w:color w:val="auto"/>
          <w:sz w:val="28"/>
          <w:szCs w:val="28"/>
          <w:highlight w:val="none"/>
        </w:rPr>
        <w:t>后的响应文件的扫描件（资格审查文件、技术</w:t>
      </w:r>
      <w:r>
        <w:rPr>
          <w:rFonts w:hint="eastAsia" w:ascii="宋体" w:hAnsi="宋体" w:eastAsia="宋体" w:cs="宋体"/>
          <w:b/>
          <w:bCs w:val="0"/>
          <w:color w:val="auto"/>
          <w:sz w:val="28"/>
          <w:szCs w:val="28"/>
          <w:highlight w:val="none"/>
          <w:lang w:val="en-US" w:eastAsia="zh-CN"/>
        </w:rPr>
        <w:t>标</w:t>
      </w:r>
      <w:r>
        <w:rPr>
          <w:rFonts w:hint="eastAsia" w:ascii="宋体" w:hAnsi="宋体" w:eastAsia="宋体" w:cs="宋体"/>
          <w:b/>
          <w:bCs w:val="0"/>
          <w:color w:val="auto"/>
          <w:sz w:val="28"/>
          <w:szCs w:val="28"/>
          <w:highlight w:val="none"/>
        </w:rPr>
        <w:t>、价格</w:t>
      </w:r>
      <w:r>
        <w:rPr>
          <w:rFonts w:hint="eastAsia" w:ascii="宋体" w:hAnsi="宋体" w:eastAsia="宋体" w:cs="宋体"/>
          <w:b/>
          <w:bCs w:val="0"/>
          <w:color w:val="auto"/>
          <w:sz w:val="28"/>
          <w:szCs w:val="28"/>
          <w:highlight w:val="none"/>
          <w:lang w:val="en-US" w:eastAsia="zh-CN"/>
        </w:rPr>
        <w:t>标</w:t>
      </w:r>
      <w:r>
        <w:rPr>
          <w:rFonts w:hint="eastAsia" w:ascii="宋体" w:hAnsi="宋体" w:eastAsia="宋体" w:cs="宋体"/>
          <w:b/>
          <w:bCs w:val="0"/>
          <w:color w:val="auto"/>
          <w:sz w:val="28"/>
          <w:szCs w:val="28"/>
          <w:highlight w:val="none"/>
        </w:rPr>
        <w:t>需分别逐页连续扫描为三个独立的PDF文件），可以采取U盘、电子光盘两种方式中任意一种方式提交，需单独密封提交。</w:t>
      </w:r>
      <w:r>
        <w:rPr>
          <w:rFonts w:hint="eastAsia" w:ascii="宋体" w:hAnsi="宋体" w:eastAsia="宋体" w:cs="宋体"/>
          <w:b/>
          <w:bCs w:val="0"/>
          <w:color w:val="auto"/>
          <w:sz w:val="28"/>
          <w:szCs w:val="28"/>
          <w:highlight w:val="none"/>
          <w:lang w:eastAsia="zh-CN"/>
        </w:rPr>
        <w:t>未按要求提供电子文件的，代理机构有权拒收其所有响应文件。</w:t>
      </w:r>
    </w:p>
    <w:p>
      <w:pPr>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电子文件内容应与提交</w:t>
      </w:r>
      <w:r>
        <w:rPr>
          <w:rFonts w:hint="eastAsia" w:ascii="宋体" w:hAnsi="宋体" w:eastAsia="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纸质响应文件内容一致。否则，由此产生的后果投标人自负。</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3.投标供应商可将投标文件正副本统一密封或分别密封，如正本和副本分别密封的，应在封袋上标明正、副本字样。</w:t>
      </w:r>
      <w:r>
        <w:rPr>
          <w:rFonts w:hint="eastAsia" w:ascii="宋体" w:hAnsi="宋体" w:eastAsia="宋体" w:cs="宋体"/>
          <w:bCs/>
          <w:color w:val="auto"/>
          <w:sz w:val="28"/>
          <w:szCs w:val="28"/>
          <w:highlight w:val="none"/>
          <w:lang w:val="en-US" w:eastAsia="zh-CN"/>
        </w:rPr>
        <w:t>投标</w:t>
      </w:r>
      <w:r>
        <w:rPr>
          <w:rFonts w:hint="eastAsia" w:ascii="宋体" w:hAnsi="宋体" w:eastAsia="宋体" w:cs="宋体"/>
          <w:bCs/>
          <w:color w:val="auto"/>
          <w:sz w:val="28"/>
          <w:szCs w:val="28"/>
          <w:highlight w:val="none"/>
        </w:rPr>
        <w:t>文件密封后应标明响应文件</w:t>
      </w:r>
      <w:r>
        <w:rPr>
          <w:rFonts w:hint="eastAsia" w:ascii="宋体" w:hAnsi="宋体" w:eastAsia="宋体" w:cs="宋体"/>
          <w:bCs/>
          <w:color w:val="auto"/>
          <w:sz w:val="28"/>
          <w:szCs w:val="28"/>
          <w:highlight w:val="none"/>
          <w:lang w:eastAsia="zh-CN"/>
        </w:rPr>
        <w:t>名称（</w:t>
      </w:r>
      <w:r>
        <w:rPr>
          <w:rFonts w:hint="eastAsia" w:ascii="宋体" w:hAnsi="宋体" w:eastAsia="宋体" w:cs="宋体"/>
          <w:bCs/>
          <w:color w:val="auto"/>
          <w:sz w:val="28"/>
          <w:szCs w:val="28"/>
          <w:highlight w:val="none"/>
        </w:rPr>
        <w:t>资格审查文件、</w:t>
      </w:r>
      <w:r>
        <w:rPr>
          <w:rFonts w:hint="eastAsia" w:ascii="宋体" w:hAnsi="宋体" w:eastAsia="宋体" w:cs="宋体"/>
          <w:bCs/>
          <w:color w:val="auto"/>
          <w:sz w:val="28"/>
          <w:szCs w:val="28"/>
          <w:highlight w:val="none"/>
          <w:lang w:eastAsia="zh-CN"/>
        </w:rPr>
        <w:t>技术</w:t>
      </w:r>
      <w:r>
        <w:rPr>
          <w:rFonts w:hint="eastAsia" w:ascii="宋体" w:hAnsi="宋体" w:eastAsia="宋体" w:cs="宋体"/>
          <w:bCs/>
          <w:color w:val="auto"/>
          <w:sz w:val="28"/>
          <w:szCs w:val="28"/>
          <w:highlight w:val="none"/>
          <w:lang w:val="en-US" w:eastAsia="zh-CN"/>
        </w:rPr>
        <w:t>标</w:t>
      </w:r>
      <w:r>
        <w:rPr>
          <w:rFonts w:hint="eastAsia" w:ascii="宋体" w:hAnsi="宋体" w:eastAsia="宋体" w:cs="宋体"/>
          <w:bCs/>
          <w:color w:val="auto"/>
          <w:sz w:val="28"/>
          <w:szCs w:val="28"/>
          <w:highlight w:val="none"/>
        </w:rPr>
        <w:t>、价格</w:t>
      </w:r>
      <w:r>
        <w:rPr>
          <w:rFonts w:hint="eastAsia" w:ascii="宋体" w:hAnsi="宋体" w:eastAsia="宋体" w:cs="宋体"/>
          <w:bCs/>
          <w:color w:val="auto"/>
          <w:sz w:val="28"/>
          <w:szCs w:val="28"/>
          <w:highlight w:val="none"/>
          <w:lang w:val="en-US" w:eastAsia="zh-CN"/>
        </w:rPr>
        <w:t>标</w:t>
      </w:r>
      <w:r>
        <w:rPr>
          <w:rFonts w:hint="eastAsia" w:ascii="宋体" w:hAnsi="宋体" w:eastAsia="宋体" w:cs="宋体"/>
          <w:bCs/>
          <w:color w:val="auto"/>
          <w:sz w:val="28"/>
          <w:szCs w:val="28"/>
          <w:highlight w:val="none"/>
          <w:lang w:eastAsia="zh-CN"/>
        </w:rPr>
        <w:t>、电子文件）、</w:t>
      </w:r>
      <w:r>
        <w:rPr>
          <w:rFonts w:hint="eastAsia" w:ascii="宋体" w:hAnsi="宋体" w:eastAsia="宋体" w:cs="宋体"/>
          <w:bCs/>
          <w:color w:val="auto"/>
          <w:sz w:val="28"/>
          <w:szCs w:val="28"/>
          <w:highlight w:val="none"/>
        </w:rPr>
        <w:t>项目名称、项目编号、</w:t>
      </w:r>
      <w:r>
        <w:rPr>
          <w:rFonts w:hint="eastAsia" w:ascii="宋体" w:hAnsi="宋体" w:eastAsia="宋体" w:cs="宋体"/>
          <w:bCs/>
          <w:color w:val="auto"/>
          <w:sz w:val="28"/>
          <w:szCs w:val="28"/>
          <w:highlight w:val="none"/>
          <w:lang w:eastAsia="zh-CN"/>
        </w:rPr>
        <w:t>供应商名称</w:t>
      </w:r>
      <w:r>
        <w:rPr>
          <w:rFonts w:hint="eastAsia" w:ascii="宋体" w:hAnsi="宋体" w:eastAsia="宋体" w:cs="宋体"/>
          <w:bCs/>
          <w:color w:val="auto"/>
          <w:sz w:val="28"/>
          <w:szCs w:val="28"/>
          <w:highlight w:val="none"/>
          <w:lang w:val="en-US" w:eastAsia="zh-CN"/>
        </w:rPr>
        <w:t>等关键信息，</w:t>
      </w:r>
      <w:r>
        <w:rPr>
          <w:rFonts w:hint="eastAsia" w:ascii="宋体" w:hAnsi="宋体" w:eastAsia="宋体" w:cs="宋体"/>
          <w:b/>
          <w:bCs w:val="0"/>
          <w:color w:val="auto"/>
          <w:sz w:val="28"/>
          <w:szCs w:val="28"/>
          <w:highlight w:val="none"/>
          <w:lang w:val="en-US" w:eastAsia="zh-CN"/>
        </w:rPr>
        <w:t>密封完好以不泄露投标文件内容为主要判断依据</w:t>
      </w:r>
      <w:r>
        <w:rPr>
          <w:rFonts w:hint="eastAsia" w:ascii="宋体" w:hAnsi="宋体" w:eastAsia="宋体" w:cs="宋体"/>
          <w:b/>
          <w:bCs w:val="0"/>
          <w:color w:val="auto"/>
          <w:sz w:val="28"/>
          <w:szCs w:val="28"/>
          <w:highlight w:val="none"/>
        </w:rPr>
        <w:t>。</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4.投标文件正本须按招标文件要求由法定代表人或被授权人签字或盖章并加盖投标单位印章。副本可复印，但须加盖投标单位印章。  </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5.开标程序顺利进行后，所有投标文件都将作为档案保存，不论成交与否，采购人均不退回（未拆封的除外）。</w:t>
      </w:r>
    </w:p>
    <w:p>
      <w:pPr>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五、投标响应文件的密封及标记</w:t>
      </w:r>
    </w:p>
    <w:p>
      <w:pPr>
        <w:snapToGrid w:val="0"/>
        <w:spacing w:line="360" w:lineRule="auto"/>
        <w:ind w:firstLine="548" w:firstLineChars="196"/>
        <w:outlineLvl w:val="1"/>
        <w:rPr>
          <w:rFonts w:hint="eastAsia" w:ascii="宋体" w:hAnsi="宋体" w:eastAsia="宋体" w:cs="宋体"/>
          <w:color w:val="auto"/>
          <w:sz w:val="28"/>
          <w:szCs w:val="28"/>
        </w:rPr>
      </w:pPr>
      <w:r>
        <w:rPr>
          <w:rFonts w:hint="eastAsia" w:ascii="宋体" w:hAnsi="宋体" w:eastAsia="宋体" w:cs="宋体"/>
          <w:color w:val="auto"/>
          <w:sz w:val="28"/>
          <w:szCs w:val="28"/>
        </w:rPr>
        <w:t>密封后，应在每一密封包的投标文件上明确标注投标项目名称、项目编号、投标文件各自对应的名称、投标供应商全称及日期，同时加盖投标供应商公章。</w:t>
      </w:r>
    </w:p>
    <w:p>
      <w:pPr>
        <w:snapToGrid w:val="0"/>
        <w:spacing w:line="360" w:lineRule="auto"/>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六、投标文件的有效期</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1.从投标文件接收截止之日算起，60个“日历天”内投标书应保持有效。有效期短于这个规定期限的，投标将被拒绝。</w:t>
      </w:r>
    </w:p>
    <w:p>
      <w:pPr>
        <w:snapToGrid w:val="0"/>
        <w:spacing w:line="360" w:lineRule="auto"/>
        <w:ind w:firstLine="548" w:firstLineChars="196"/>
        <w:outlineLvl w:val="1"/>
        <w:rPr>
          <w:rFonts w:hint="eastAsia" w:ascii="宋体" w:hAnsi="宋体" w:eastAsia="宋体" w:cs="宋体"/>
          <w:b/>
          <w:bCs/>
          <w:color w:val="auto"/>
          <w:sz w:val="28"/>
          <w:szCs w:val="28"/>
        </w:rPr>
      </w:pPr>
      <w:r>
        <w:rPr>
          <w:rFonts w:hint="eastAsia" w:ascii="宋体" w:hAnsi="宋体" w:eastAsia="宋体" w:cs="宋体"/>
          <w:color w:val="auto"/>
          <w:sz w:val="28"/>
          <w:szCs w:val="28"/>
        </w:rPr>
        <w:t>2.在特殊情况下，采购人可与投标供应商协商延长投标书的有效期。这种要求和答复都应以书面、传真、或电报的形式进行。同意延长有效期的投标供应商不能修改投标文件，按本招标文件规定的投标保证金的有效期也相应延长。拒绝接受延期要求的投标供应商的投标书将被拒绝。</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七、投标报价</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1.本项目不接受任何有选择的报价。</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2.投标报价均以人民币为报价的币种。</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3.报价表必须加盖投标供应商公章且必须经法定代表人或被授权人签字或盖章。</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4.报价出现前后不一致的，按照下列规定修正：</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（1）投标文件中报价表（开标一览表）内容与投标文件技术响应中内容明细不一致的，以报价表（开标一览表）为准；</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（2）投标文件中涉及大写金额和小写金额不一致的，以大写金额为准；</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（3）单价金额小数点或者百分比有明显错位的，以报价表（开标一览表）的总价为准，并修改单价；</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（4）总价金额与按单价汇总金额不一致的，以单价金额计算结果为准。</w:t>
      </w:r>
    </w:p>
    <w:p>
      <w:pPr>
        <w:snapToGrid w:val="0"/>
        <w:spacing w:line="360" w:lineRule="auto"/>
        <w:ind w:firstLine="548" w:firstLineChars="196"/>
        <w:outlineLvl w:val="1"/>
        <w:rPr>
          <w:rFonts w:hint="eastAsia" w:ascii="宋体" w:hAnsi="宋体" w:eastAsia="宋体" w:cs="宋体"/>
          <w:color w:val="auto"/>
          <w:sz w:val="28"/>
          <w:szCs w:val="28"/>
        </w:rPr>
      </w:pPr>
      <w:r>
        <w:rPr>
          <w:rFonts w:hint="eastAsia" w:ascii="宋体" w:hAnsi="宋体" w:eastAsia="宋体" w:cs="宋体"/>
          <w:color w:val="auto"/>
          <w:sz w:val="28"/>
          <w:szCs w:val="28"/>
        </w:rPr>
        <w:t>同时出现两种以上不一致的，按照前款规定的顺序修正。修正后的报价应当由投标供应商的法定代表人或其被授权人签字确认后产生约束力，投标供应商不确认的，其投标无效。</w:t>
      </w:r>
    </w:p>
    <w:p>
      <w:pPr>
        <w:numPr>
          <w:ilvl w:val="0"/>
          <w:numId w:val="3"/>
        </w:numPr>
        <w:snapToGrid w:val="0"/>
        <w:spacing w:line="360" w:lineRule="auto"/>
        <w:ind w:firstLine="548" w:firstLineChars="196"/>
        <w:outlineLvl w:val="1"/>
        <w:rPr>
          <w:rFonts w:hint="eastAsia" w:ascii="宋体" w:hAnsi="宋体" w:eastAsia="宋体" w:cs="宋体"/>
          <w:color w:val="auto"/>
          <w:sz w:val="28"/>
          <w:szCs w:val="28"/>
        </w:rPr>
      </w:pPr>
      <w:r>
        <w:rPr>
          <w:rFonts w:hint="eastAsia" w:ascii="宋体" w:hAnsi="宋体" w:eastAsia="宋体" w:cs="宋体"/>
          <w:color w:val="auto"/>
          <w:sz w:val="28"/>
          <w:szCs w:val="28"/>
        </w:rPr>
        <w:t>本次报价应包含完成招标文件所确定的全部货物和服务所发生的费用，以及为完成上述内容所必须的材料、保险、劳务及所需的全部费用。具体包括全部货物的提供、包装费、仓储费、运杂费（运抵现场）、装卸费、运输保险费、配合检测费、利润、税金、技术服务指导、售后服务等一切费用，同时投标人所报的综合单价在合同实施期间不因市场变化因素而变动。</w:t>
      </w:r>
    </w:p>
    <w:p>
      <w:pPr>
        <w:numPr>
          <w:ilvl w:val="0"/>
          <w:numId w:val="3"/>
        </w:numPr>
        <w:snapToGrid w:val="0"/>
        <w:spacing w:line="360" w:lineRule="auto"/>
        <w:ind w:firstLine="548" w:firstLineChars="196"/>
        <w:outlineLvl w:val="1"/>
        <w:rPr>
          <w:rFonts w:hint="eastAsia" w:ascii="宋体" w:hAnsi="宋体" w:eastAsia="宋体" w:cs="宋体"/>
          <w:color w:val="auto"/>
          <w:sz w:val="28"/>
          <w:szCs w:val="28"/>
        </w:rPr>
      </w:pPr>
      <w:r>
        <w:rPr>
          <w:rFonts w:hint="eastAsia" w:ascii="宋体" w:hAnsi="宋体" w:eastAsia="宋体" w:cs="宋体"/>
          <w:color w:val="auto"/>
          <w:sz w:val="28"/>
          <w:szCs w:val="28"/>
        </w:rPr>
        <w:t>关于疫情防疫产生的相关费用，由投标人自行报价考虑在投标报价中，费用结算时一律不作调整。一次报定的投标报价为成交价，同时，中标人的成交价在合同实施期间不因市场变化因素而变动。</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投标供应商应详细阅读招标文件的全部内容，根据采购项目需求，准确制定相关工作方案等，在合同期限内所必须的材料和配件均应列入报价清单内，本项目终验合格前若因报价清单内出现遗漏均视为赠送，不予增补。不按招标文件的要求提供投标文件，导致报价无效，按无效标处理。</w:t>
      </w:r>
    </w:p>
    <w:p>
      <w:pPr>
        <w:snapToGrid w:val="0"/>
        <w:spacing w:line="360" w:lineRule="auto"/>
        <w:ind w:firstLine="562" w:firstLineChars="200"/>
        <w:outlineLvl w:val="1"/>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八、投标费用</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1.供应商承担参与比选可能发生的全部费用，代理机构在任何情况下均无义务和责任承担这些费用。</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2.本项目资料费300元/份，在开标时支付给代理机构，无论中标与否该项目不予退还。</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3.本项目代理费</w:t>
      </w:r>
      <w:r>
        <w:rPr>
          <w:rFonts w:hint="eastAsia" w:ascii="宋体" w:hAnsi="宋体" w:eastAsia="宋体" w:cs="宋体"/>
          <w:color w:val="auto"/>
          <w:sz w:val="28"/>
          <w:szCs w:val="28"/>
          <w:lang w:val="en-US" w:eastAsia="zh-CN"/>
        </w:rPr>
        <w:t>按照【2011】534号文标准的60%收取</w:t>
      </w:r>
      <w:r>
        <w:rPr>
          <w:rFonts w:hint="eastAsia" w:ascii="宋体" w:hAnsi="宋体" w:eastAsia="宋体" w:cs="宋体"/>
          <w:color w:val="auto"/>
          <w:sz w:val="28"/>
          <w:szCs w:val="28"/>
        </w:rPr>
        <w:t>；由中标候选人在开标现场支付给代理机构。供应商报价时需综合考虑以上费用（不单列</w:t>
      </w:r>
      <w:r>
        <w:rPr>
          <w:rFonts w:hint="eastAsia" w:ascii="宋体" w:hAnsi="宋体" w:eastAsia="宋体" w:cs="宋体"/>
          <w:color w:val="auto"/>
          <w:sz w:val="28"/>
          <w:szCs w:val="28"/>
          <w:lang w:eastAsia="zh-CN"/>
        </w:rPr>
        <w:t>）</w:t>
      </w:r>
    </w:p>
    <w:p>
      <w:pPr>
        <w:spacing w:line="360" w:lineRule="auto"/>
        <w:ind w:firstLine="562" w:firstLineChars="200"/>
        <w:rPr>
          <w:rFonts w:hint="eastAsia" w:ascii="宋体" w:hAnsi="宋体" w:eastAsia="宋体" w:cs="宋体"/>
          <w:color w:val="auto"/>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sz w:val="28"/>
          <w:szCs w:val="28"/>
        </w:rPr>
        <w:t>九、投标保证金：免收</w:t>
      </w:r>
      <w:r>
        <w:rPr>
          <w:rFonts w:hint="eastAsia" w:ascii="宋体" w:hAnsi="宋体" w:eastAsia="宋体" w:cs="宋体"/>
          <w:b/>
          <w:bCs/>
          <w:color w:val="auto"/>
          <w:sz w:val="28"/>
          <w:szCs w:val="28"/>
          <w:lang w:eastAsia="zh-CN"/>
        </w:rPr>
        <w:t>。</w:t>
      </w:r>
    </w:p>
    <w:p>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第三章  项目需求</w:t>
      </w:r>
      <w:bookmarkEnd w:id="0"/>
    </w:p>
    <w:p>
      <w:pPr>
        <w:snapToGrid w:val="0"/>
        <w:spacing w:line="500" w:lineRule="exact"/>
        <w:ind w:firstLine="560" w:firstLineChars="200"/>
        <w:rPr>
          <w:rFonts w:hint="eastAsia" w:ascii="宋体" w:hAnsi="宋体" w:eastAsia="宋体" w:cs="宋体"/>
          <w:color w:val="auto"/>
          <w:sz w:val="28"/>
          <w:szCs w:val="28"/>
        </w:rPr>
      </w:pPr>
      <w:bookmarkStart w:id="1" w:name="_Toc182848971"/>
      <w:r>
        <w:rPr>
          <w:rFonts w:hint="eastAsia" w:ascii="宋体" w:hAnsi="宋体" w:eastAsia="宋体" w:cs="宋体"/>
          <w:color w:val="auto"/>
          <w:sz w:val="28"/>
          <w:szCs w:val="28"/>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hint="eastAsia" w:ascii="宋体" w:hAnsi="宋体" w:eastAsia="宋体" w:cs="宋体"/>
          <w:color w:val="auto"/>
          <w:sz w:val="28"/>
          <w:szCs w:val="28"/>
        </w:rPr>
        <w:t>示，如不明示的视同完全响应</w:t>
      </w:r>
      <w:r>
        <w:rPr>
          <w:rFonts w:hint="eastAsia" w:ascii="宋体" w:hAnsi="宋体" w:eastAsia="宋体" w:cs="宋体"/>
          <w:color w:val="auto"/>
          <w:sz w:val="28"/>
          <w:szCs w:val="28"/>
          <w:lang w:val="zh-CN"/>
        </w:rPr>
        <w:t>。</w:t>
      </w:r>
      <w:bookmarkEnd w:id="1"/>
    </w:p>
    <w:p>
      <w:pPr>
        <w:keepNext w:val="0"/>
        <w:keepLines w:val="0"/>
        <w:pageBreakBefore w:val="0"/>
        <w:widowControl/>
        <w:kinsoku/>
        <w:wordWrap/>
        <w:overflowPunct/>
        <w:topLinePunct w:val="0"/>
        <w:autoSpaceDE/>
        <w:autoSpaceDN/>
        <w:bidi w:val="0"/>
        <w:adjustRightInd/>
        <w:spacing w:line="460" w:lineRule="exact"/>
        <w:ind w:firstLine="361"/>
        <w:jc w:val="left"/>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矩形 2" hidden="1"/>
                <wp:cNvGraphicFramePr/>
                <a:graphic xmlns:a="http://schemas.openxmlformats.org/drawingml/2006/main">
                  <a:graphicData uri="http://schemas.microsoft.com/office/word/2010/wordprocessingShape">
                    <wps:wsp>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pt;margin-top:0pt;height:50pt;width:50pt;visibility:hidden;z-index:251660288;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bpes0gAAAAUBAAAPAAAAAAAAAAEAIAAAACIAAABkcnMvZG93bnJl&#10;di54bWxQSwECFAAUAAAACACHTuJAP8iOnQMCAAAzBAAADgAAAAAAAAABACAAAAAhAQAAZHJzL2Uy&#10;b0RvYy54bWxQSwUGAAAAAAYABgBZAQAAlgUAAAAA&#10;">
                <v:fill on="t" focussize="0,0"/>
                <v:stroke color="#000000" joinstyle="miter"/>
                <v:imagedata o:title=""/>
                <o:lock v:ext="edit" aspectratio="f"/>
                <v:textbox>
                  <w:txbxContent>
                    <w:p/>
                  </w:txbxContent>
                </v:textbox>
              </v:rect>
            </w:pict>
          </mc:Fallback>
        </mc:AlternateContent>
      </w:r>
      <w:r>
        <w:rPr>
          <w:rFonts w:hint="eastAsia" w:ascii="宋体" w:hAnsi="宋体" w:eastAsia="宋体" w:cs="宋体"/>
          <w:b/>
          <w:bCs/>
          <w:color w:val="auto"/>
          <w:sz w:val="28"/>
          <w:szCs w:val="28"/>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任意多边形 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000" cy="635000"/>
                        </a:xfrm>
                        <a:custGeom>
                          <a:avLst/>
                          <a:gdLst>
                            <a:gd name="A1" fmla="val 0"/>
                            <a:gd name="A2" fmla="val 0"/>
                          </a:gdLst>
                          <a:ahLst/>
                          <a:cxnLst/>
                          <a:pathLst/>
                        </a:custGeom>
                        <a:noFill/>
                        <a:ln>
                          <a:noFill/>
                        </a:ln>
                      </wps:spPr>
                      <wps:txbx>
                        <w:txbxContent>
                          <w:p/>
                        </w:txbxContent>
                      </wps:txbx>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FYon/PAAAABQEAAA8A&#10;AAAAAAAAAQAgAAAAIgAAAGRycy9kb3ducmV2LnhtbFBLAQIUABQAAAAIAIdO4kB0crQe5wEAAOQD&#10;AAAOAAAAAAAAAAEAIAAAAB4BAABkcnMvZTJvRG9jLnhtbFBLBQYAAAAABgAGAFkBAAB3BQAAAAA=&#10;">
                <v:fill on="f" focussize="0,0"/>
                <v:stroke on="f"/>
                <v:imagedata o:title=""/>
                <o:lock v:ext="edit" aspectratio="t"/>
                <v:textbox>
                  <w:txbxContent>
                    <w:p/>
                  </w:txbxContent>
                </v:textbox>
              </v:shape>
            </w:pict>
          </mc:Fallback>
        </mc:AlternateContent>
      </w: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lang w:val="en-US" w:eastAsia="zh-CN"/>
        </w:rPr>
        <w:t>招标内容</w:t>
      </w:r>
      <w:r>
        <w:rPr>
          <w:rFonts w:hint="eastAsia" w:ascii="宋体" w:hAnsi="宋体" w:eastAsia="宋体" w:cs="宋体"/>
          <w:b/>
          <w:bCs/>
          <w:color w:val="auto"/>
          <w:sz w:val="28"/>
          <w:szCs w:val="28"/>
          <w:highlight w:val="none"/>
        </w:rPr>
        <w:t>：</w:t>
      </w:r>
    </w:p>
    <w:p>
      <w:pPr>
        <w:snapToGrid w:val="0"/>
        <w:spacing w:line="50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zh-CN"/>
        </w:rPr>
        <w:t>2024年度春、秋两季中职专业课教师及学生用教材，包括声像出版物和2024年执业护士资格考试辅导教材。</w:t>
      </w:r>
    </w:p>
    <w:p>
      <w:pPr>
        <w:snapToGrid w:val="0"/>
        <w:spacing w:line="50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2.本项目含春秋两季中职专业课教材，春季约35万元，秋季约35万元。执业护士资格考试辅导教材约30万元。成人继续教育教材60万元</w:t>
      </w:r>
    </w:p>
    <w:p>
      <w:pPr>
        <w:snapToGrid w:val="0"/>
        <w:spacing w:line="50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合计约160万元。</w:t>
      </w:r>
    </w:p>
    <w:p>
      <w:pPr>
        <w:snapToGrid w:val="0"/>
        <w:spacing w:line="50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二、项目要求</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（一）项目报价</w:t>
      </w:r>
      <w:bookmarkStart w:id="2" w:name="_Toc292368013"/>
      <w:bookmarkEnd w:id="2"/>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 包一2024年度春、秋两季中职专业课教材报优惠折率。</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 包二2024年度执业护士资格考试辅导教材打包报优惠折率。</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2.1教材目录</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lang w:val="en-US" w:eastAsia="zh-CN" w:bidi="ar"/>
        </w:rPr>
        <w:t>2024年1月16日前送到学校）</w:t>
      </w:r>
    </w:p>
    <w:tbl>
      <w:tblPr>
        <w:tblStyle w:val="56"/>
        <w:tblW w:w="8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9"/>
        <w:gridCol w:w="1290"/>
        <w:gridCol w:w="898"/>
        <w:gridCol w:w="912"/>
        <w:gridCol w:w="1001"/>
        <w:gridCol w:w="1755"/>
        <w:gridCol w:w="903"/>
        <w:gridCol w:w="5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68" w:type="dxa"/>
            <w:gridSpan w:val="7"/>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2024年版护士执业资格考试用书</w:t>
            </w:r>
          </w:p>
        </w:tc>
        <w:tc>
          <w:tcPr>
            <w:tcW w:w="553" w:type="dxa"/>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7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本版选题号</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2024年版书号</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2023年版书号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考试类型</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书名</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作者</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定价</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2023000422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35172</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33482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2024全国护士执业资格考试指导</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全国护士执业资格考试用书编写专家委员会</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2023000423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35215</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33656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2024全国护士执业资格考试指导要点精编</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全国护士执业资格考试用书编写专家委员会</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2023000424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35484</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33593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2024全国护士执业资格考试指导同步练习题集</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全国护士执业资格考试用书编写专家委员会</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2023000425</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35345</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33595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2024全国护士执业资格考试模拟试卷</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全国护士执业资格考试用书编写专家委员会</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2023000426</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35389</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33608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考试达人：2024全国护士执业资格考试 轻松过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罗先武、王冉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2023000427</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35344</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33784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考试达人：2024全国护士执业资格考试 冲刺跑</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罗先武、俞宝明</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2023000431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35404</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33578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领你过：2024全国护士执业资格考试 同步考题</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王秀玲</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2023000434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35316</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33575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领你过：2024全国护士执业资格考试 人机对话题图汇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王秀玲</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2023000439</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35111</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2024全国护士执业资格考试 精选模拟5套卷</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王玉升</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2023000440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35556</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33972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2024全国护士执业资格考试 考前预测卷</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王玉升</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2023000437</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35502</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33769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护士执业资格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2024全国护士执业资格考试 习题精选与答案解析</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胡荣</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bl>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3.包三2024年度成人继续教育教材优惠折率。</w:t>
      </w:r>
    </w:p>
    <w:p>
      <w:pPr>
        <w:snapToGrid w:val="0"/>
        <w:spacing w:line="500" w:lineRule="exact"/>
        <w:ind w:firstLine="562" w:firstLineChars="2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u w:val="single"/>
        </w:rPr>
        <w:t>本项目可兼投兼中，即同一个投标人可同时参与多个分包，并且可同时被推荐为多个分包的第一中标候选人。</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（二）供货要求</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 中标人必须保证提供招标人指定出版社出版的正版教材，不得提供盗版教材，一经发现所造成的所有经济和法律后果由投标人负责。</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 在投标人同一次供应的教材中不得出现不同版次、不同印次的教材。</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 投标人在收到招标人订单后在双方约定时间内一次性书面反馈因改版或停止出版而订购不到的教材。</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 中标人必须保证100%的到书率（不出版或暂未出版的教材例外），不得因各种理由拒绝量少教材的订购。</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 中标人必须保证在招标人发出征订通知后在双方约定时间内送货至招标人指定地点。2024年度执业护士资格考试辅导教材（包二）需2024年1月16日前送到学校。</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6.投标人必须负责因各种原因造成的差漏教材的追订，追订教材必须在7个工作日内到位，并不得收取相关费用（如快件费、运输费等）。</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 教材清退：教材发放结束后出现的多余教材或破损、缺页等问题教材由招标人清退给投标人。</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 结帐方式：教材清退结束后，投标人与招标人共同核帐，投标人根据核对后的实际供货数开据足额发票，由中标人在15个工作日内一次性支付书款。</w:t>
      </w:r>
    </w:p>
    <w:p>
      <w:pPr>
        <w:snapToGrid w:val="0"/>
        <w:spacing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 违约处理：超过规定时间7个工作日教材未到位的，则由中标人按总书款的1%支付违约金；超过规定时间8~15个工作日的，按总书款的2%支付违约金；超过规定时间15个工作日以上的按总书款的4%支付违约金；违约金在结帐时一次性扣除。中标人所提供的教材如为盗版或同一次供应的教材为不同版次、不同印次的教材，招标人有权没收合同保证金并终止合同。</w:t>
      </w:r>
    </w:p>
    <w:p>
      <w:pPr>
        <w:snapToGrid w:val="0"/>
        <w:spacing w:line="480" w:lineRule="exact"/>
        <w:ind w:firstLine="720" w:firstLineChars="200"/>
        <w:jc w:val="center"/>
        <w:rPr>
          <w:rFonts w:hint="eastAsia" w:ascii="宋体" w:hAnsi="宋体" w:eastAsia="宋体" w:cs="宋体"/>
          <w:color w:val="auto"/>
          <w:sz w:val="36"/>
          <w:szCs w:val="36"/>
        </w:rPr>
      </w:pPr>
    </w:p>
    <w:p>
      <w:pPr>
        <w:snapToGrid w:val="0"/>
        <w:spacing w:line="480" w:lineRule="exact"/>
        <w:rPr>
          <w:rFonts w:hint="eastAsia" w:ascii="宋体" w:hAnsi="宋体" w:eastAsia="宋体" w:cs="宋体"/>
          <w:color w:val="auto"/>
          <w:sz w:val="36"/>
          <w:szCs w:val="36"/>
        </w:rPr>
      </w:pPr>
    </w:p>
    <w:p>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pPr>
        <w:snapToGrid w:val="0"/>
        <w:spacing w:line="480" w:lineRule="exact"/>
        <w:ind w:firstLine="723"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第四章 评审方法和程序</w:t>
      </w:r>
    </w:p>
    <w:p>
      <w:pPr>
        <w:adjustRightInd w:val="0"/>
        <w:snapToGrid w:val="0"/>
        <w:spacing w:line="360" w:lineRule="auto"/>
        <w:ind w:firstLine="568"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一、采购人组织开标</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1．成立评标委员会小组，由采购人代表和有关专家依法组成。</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2．投标供应商的法定代表人或被授权人须持身份证准时参加投标会。</w:t>
      </w:r>
    </w:p>
    <w:p>
      <w:pPr>
        <w:adjustRightInd w:val="0"/>
        <w:snapToGrid w:val="0"/>
        <w:spacing w:line="360" w:lineRule="auto"/>
        <w:ind w:firstLine="568"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二、开标</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1．采购人主持开标并记录，及时处理投标供应商代表提出的询问或者回避申请。</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2．投标供应商不足3家的不得开标，相应处理方式见本招标文件第四章第十一条的规定。</w:t>
      </w:r>
    </w:p>
    <w:p>
      <w:pPr>
        <w:adjustRightInd w:val="0"/>
        <w:snapToGrid w:val="0"/>
        <w:spacing w:line="360" w:lineRule="auto"/>
        <w:ind w:firstLine="568"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三、资格审查</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1．开标后，采购人依据中华人民共和国财政部令第87号文件第四十四条的规定，根据招标文件载明的资格审查要求，对投标供应商的资格进行审查。</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2．资格审查合格的供应商进入评标。</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3．合格投标供应商不足3家的，不得评标，相应处理方式见本招标文件第四章第十一条的规定。</w:t>
      </w:r>
    </w:p>
    <w:p>
      <w:pPr>
        <w:adjustRightInd w:val="0"/>
        <w:snapToGrid w:val="0"/>
        <w:spacing w:line="360" w:lineRule="auto"/>
        <w:ind w:firstLine="568"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四、评标</w:t>
      </w:r>
    </w:p>
    <w:p>
      <w:pPr>
        <w:adjustRightInd w:val="0"/>
        <w:snapToGrid w:val="0"/>
        <w:spacing w:line="360" w:lineRule="auto"/>
        <w:ind w:firstLine="565" w:firstLineChars="202"/>
        <w:rPr>
          <w:rFonts w:hint="eastAsia" w:ascii="宋体" w:hAnsi="宋体" w:eastAsia="宋体" w:cs="宋体"/>
          <w:b/>
          <w:bCs/>
          <w:color w:val="auto"/>
          <w:sz w:val="28"/>
          <w:szCs w:val="28"/>
        </w:rPr>
      </w:pPr>
      <w:r>
        <w:rPr>
          <w:rFonts w:hint="eastAsia" w:ascii="宋体" w:hAnsi="宋体" w:eastAsia="宋体" w:cs="宋体"/>
          <w:color w:val="auto"/>
          <w:sz w:val="28"/>
          <w:szCs w:val="28"/>
        </w:rPr>
        <w:t>1．评标时间：资格审查结束以后。</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2．采购人负责组织评标工作，并履行下列职责：</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（1）核对评审专家身份和采购人代表授权函，对评审专家在采购活动中的职责履行情况予以记录，并及时将有关违法违规行为向有关部门报告。</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（2）宣布评标纪律。</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（3）公布投标供应商名单，告知评审专家应当回避的情形。</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（4）组织评标委员会推选评标组长，采购人代表不得担任组长。</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（6）根据评标委员会的要求介绍采购相关政策法规、招标文件。</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（8）核对评标结果，有下列规定情形的，要求评标委员会复核或者书面说明理由，评标委员会拒绝的，则予以书面记录并向学校招标管理部门报告：</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① 分值汇总计算错误的；</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② 分项评分超出评分标准范围的；</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③ 评标委员会成员对客观评审因素评分不一致的；</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④ 经评标委员会认定评分畸高、畸低的。</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（9）处理与评标有关的其他事项。</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4．评标委员会负责具体评标事务：</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独立履行审查、评价合格投标供应商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对于投标文件中含义不明确、同类问题表述不一致或者有明显文字和计算错误的内容，评标委员会应当以书面形式要求投标供应商作出必要的澄清、说明或者补正。投标供应商的澄清、说明或者补正，应当采用书面形式由投标供应商代表签字，但不得超出招标文件的范围或者改变其实质性内容。</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3）评标委员会发现招标文件存在歧义、重大缺陷导致评标工作无法进行，或者招标文件内容违反国家有关强制性规定的，应当停止评标工作，与采购人沟通并作书面记录。采购人确认后，应当修改招标文件，重新组织采购活动。</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5．评标委员会成员独立履行以下职责与义务：</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（1）遵纪守法，客观、公正、廉洁地履行职责；</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（2）审查合格投标供应商的投标文件是否实质性响应招标文件要求，并做出评价；</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（3）按照招标文件规定的评标办法和评标标准进行评标，对评审意见承担个人责任；</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（4）可以要求投标供应商对投标文件有关事项做出解释或澄清；</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（5）对评标过程和结果，以及投标供应商的商业秘密保密；</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（6）配合相关部门的投诉处理工作；</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（7）配合采购人答复投标供应商提出的质疑。</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6．除采购人代表、评标现场组织人员外，采购人的其他工作人员以及与评标工作无关的人员不得进入评标现场；有关人员对评标情况以及在评标过程中获悉的国家秘密、商业秘密负有保密责任。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7．开标后直到公告项目成交结果发出成交通知书并授予中标人合同为止，凡属于评审、澄清、评价和比较投标的所有资料及有关授予合同等的相关信息，都不应向投标供应商或与评标无关的其他人泄露。</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8．评审期间，合格投标供应商的投标文件仍有可能被评标委员会根据规定判为无效投标。</w:t>
      </w:r>
    </w:p>
    <w:p>
      <w:pPr>
        <w:adjustRightInd w:val="0"/>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9．在投标文件的评审、澄清、评价和比较以及授予合同的过程中，投标供应商对采购人和评标委员会成员有施加影响的任何行为，都将取消其可能的中标资格。</w:t>
      </w:r>
    </w:p>
    <w:p>
      <w:pPr>
        <w:adjustRightInd w:val="0"/>
        <w:snapToGrid w:val="0"/>
        <w:spacing w:line="360" w:lineRule="auto"/>
        <w:ind w:firstLine="568" w:firstLineChars="202"/>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五、评审原则</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1．本项目采用</w:t>
      </w:r>
      <w:r>
        <w:rPr>
          <w:rFonts w:hint="eastAsia" w:ascii="宋体" w:hAnsi="宋体" w:eastAsia="宋体" w:cs="宋体"/>
          <w:color w:val="auto"/>
          <w:sz w:val="28"/>
          <w:szCs w:val="28"/>
          <w:u w:val="single"/>
        </w:rPr>
        <w:t xml:space="preserve">  </w:t>
      </w:r>
      <w:r>
        <w:rPr>
          <w:rFonts w:hint="eastAsia" w:ascii="宋体" w:hAnsi="宋体" w:eastAsia="宋体" w:cs="宋体"/>
          <w:b/>
          <w:bCs/>
          <w:color w:val="auto"/>
          <w:sz w:val="28"/>
          <w:szCs w:val="28"/>
          <w:u w:val="single"/>
        </w:rPr>
        <w:t>综合评分法</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，即指投标文件满足本项目招标文件全部实质性要求，且按照评审因素的量化指标，经评审后得分最高的投标供应商推荐为中标人的评标方法。</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评标委员会成员：对符合资格的投标供应商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3．评标委员会严格按照招标文件规定的要求、条件、评分标准，对投标供应商所提供的完整计划标的物的科学性、可行性、产品质量、服务质量的保证及承诺等实质性响应内容进行比较评价。</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4．对投标文件的评审判定，只依据投标文件内容本身，不依靠开标后任何外来证明文件。</w:t>
      </w:r>
    </w:p>
    <w:p>
      <w:pPr>
        <w:adjustRightInd w:val="0"/>
        <w:snapToGrid w:val="0"/>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u w:val="single"/>
        </w:rPr>
        <w:t>本项目可兼投兼中，即同一个投标人可同时参与多个分包，并且可同时被推荐为多个分包的第一中标候选人。</w:t>
      </w:r>
    </w:p>
    <w:p>
      <w:pPr>
        <w:snapToGrid w:val="0"/>
        <w:spacing w:line="360" w:lineRule="auto"/>
        <w:ind w:firstLine="568" w:firstLineChars="202"/>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六、评审方法</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1．评标程序：</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资格符合性评审——技术标评审——价格标</w:t>
      </w:r>
      <w:r>
        <w:rPr>
          <w:rFonts w:hint="eastAsia" w:ascii="宋体" w:hAnsi="宋体" w:eastAsia="宋体" w:cs="宋体"/>
          <w:color w:val="auto"/>
          <w:sz w:val="28"/>
          <w:szCs w:val="28"/>
          <w:lang w:val="en-US" w:eastAsia="zh-CN"/>
        </w:rPr>
        <w:t>分包一</w:t>
      </w:r>
      <w:r>
        <w:rPr>
          <w:rFonts w:hint="eastAsia" w:ascii="宋体" w:hAnsi="宋体" w:eastAsia="宋体" w:cs="宋体"/>
          <w:color w:val="auto"/>
          <w:sz w:val="28"/>
          <w:szCs w:val="28"/>
        </w:rPr>
        <w:t>评审——确定</w:t>
      </w:r>
      <w:r>
        <w:rPr>
          <w:rFonts w:hint="eastAsia" w:ascii="宋体" w:hAnsi="宋体" w:eastAsia="宋体" w:cs="宋体"/>
          <w:color w:val="auto"/>
          <w:sz w:val="28"/>
          <w:szCs w:val="28"/>
          <w:lang w:val="en-US" w:eastAsia="zh-CN"/>
        </w:rPr>
        <w:t>分包一</w:t>
      </w:r>
      <w:r>
        <w:rPr>
          <w:rFonts w:hint="eastAsia" w:ascii="宋体" w:hAnsi="宋体" w:eastAsia="宋体" w:cs="宋体"/>
          <w:color w:val="auto"/>
          <w:sz w:val="28"/>
          <w:szCs w:val="28"/>
        </w:rPr>
        <w:t>中标候选人</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价格标</w:t>
      </w:r>
      <w:r>
        <w:rPr>
          <w:rFonts w:hint="eastAsia" w:ascii="宋体" w:hAnsi="宋体" w:eastAsia="宋体" w:cs="宋体"/>
          <w:color w:val="auto"/>
          <w:sz w:val="28"/>
          <w:szCs w:val="28"/>
          <w:lang w:val="en-US" w:eastAsia="zh-CN"/>
        </w:rPr>
        <w:t>分包二</w:t>
      </w:r>
      <w:r>
        <w:rPr>
          <w:rFonts w:hint="eastAsia" w:ascii="宋体" w:hAnsi="宋体" w:eastAsia="宋体" w:cs="宋体"/>
          <w:color w:val="auto"/>
          <w:sz w:val="28"/>
          <w:szCs w:val="28"/>
        </w:rPr>
        <w:t>评审——确定</w:t>
      </w:r>
      <w:r>
        <w:rPr>
          <w:rFonts w:hint="eastAsia" w:ascii="宋体" w:hAnsi="宋体" w:eastAsia="宋体" w:cs="宋体"/>
          <w:color w:val="auto"/>
          <w:sz w:val="28"/>
          <w:szCs w:val="28"/>
          <w:lang w:val="en-US" w:eastAsia="zh-CN"/>
        </w:rPr>
        <w:t>分包二</w:t>
      </w:r>
      <w:r>
        <w:rPr>
          <w:rFonts w:hint="eastAsia" w:ascii="宋体" w:hAnsi="宋体" w:eastAsia="宋体" w:cs="宋体"/>
          <w:color w:val="auto"/>
          <w:sz w:val="28"/>
          <w:szCs w:val="28"/>
        </w:rPr>
        <w:t>中标候选人</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价格标</w:t>
      </w:r>
      <w:r>
        <w:rPr>
          <w:rFonts w:hint="eastAsia" w:ascii="宋体" w:hAnsi="宋体" w:eastAsia="宋体" w:cs="宋体"/>
          <w:color w:val="auto"/>
          <w:sz w:val="28"/>
          <w:szCs w:val="28"/>
          <w:lang w:val="en-US" w:eastAsia="zh-CN"/>
        </w:rPr>
        <w:t>分包三</w:t>
      </w:r>
      <w:r>
        <w:rPr>
          <w:rFonts w:hint="eastAsia" w:ascii="宋体" w:hAnsi="宋体" w:eastAsia="宋体" w:cs="宋体"/>
          <w:color w:val="auto"/>
          <w:sz w:val="28"/>
          <w:szCs w:val="28"/>
        </w:rPr>
        <w:t>评审——确定</w:t>
      </w:r>
      <w:r>
        <w:rPr>
          <w:rFonts w:hint="eastAsia" w:ascii="宋体" w:hAnsi="宋体" w:eastAsia="宋体" w:cs="宋体"/>
          <w:color w:val="auto"/>
          <w:sz w:val="28"/>
          <w:szCs w:val="28"/>
          <w:lang w:val="en-US" w:eastAsia="zh-CN"/>
        </w:rPr>
        <w:t>分包三</w:t>
      </w:r>
      <w:r>
        <w:rPr>
          <w:rFonts w:hint="eastAsia" w:ascii="宋体" w:hAnsi="宋体" w:eastAsia="宋体" w:cs="宋体"/>
          <w:color w:val="auto"/>
          <w:sz w:val="28"/>
          <w:szCs w:val="28"/>
        </w:rPr>
        <w:t>中标候选人。</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本次资格审查采用资格后审，各投标供应商资格审查通过后方能进入技术标的开标。先开技术标，技术标打分结束后再</w:t>
      </w:r>
      <w:r>
        <w:rPr>
          <w:rFonts w:hint="eastAsia" w:ascii="宋体" w:hAnsi="宋体" w:eastAsia="宋体" w:cs="宋体"/>
          <w:color w:val="auto"/>
          <w:sz w:val="28"/>
          <w:szCs w:val="28"/>
          <w:lang w:val="en-US" w:eastAsia="zh-CN"/>
        </w:rPr>
        <w:t>依次</w:t>
      </w:r>
      <w:r>
        <w:rPr>
          <w:rFonts w:hint="eastAsia" w:ascii="宋体" w:hAnsi="宋体" w:eastAsia="宋体" w:cs="宋体"/>
          <w:color w:val="auto"/>
          <w:sz w:val="28"/>
          <w:szCs w:val="28"/>
        </w:rPr>
        <w:t>开</w:t>
      </w:r>
      <w:r>
        <w:rPr>
          <w:rFonts w:hint="eastAsia" w:ascii="宋体" w:hAnsi="宋体" w:eastAsia="宋体" w:cs="宋体"/>
          <w:color w:val="auto"/>
          <w:sz w:val="28"/>
          <w:szCs w:val="28"/>
          <w:lang w:val="en-US" w:eastAsia="zh-CN"/>
        </w:rPr>
        <w:t>各分包的</w:t>
      </w:r>
      <w:r>
        <w:rPr>
          <w:rFonts w:hint="eastAsia" w:ascii="宋体" w:hAnsi="宋体" w:eastAsia="宋体" w:cs="宋体"/>
          <w:color w:val="auto"/>
          <w:sz w:val="28"/>
          <w:szCs w:val="28"/>
        </w:rPr>
        <w:t>价格标。</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2．评标委员会将仅对按本招标文件载明的方法与规定，为实质上响应招标文件要求的投标文件评审并进行评价和比较。</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3．本次项目的技术标和价格标评审总分值为100分。两部分评审因素比重如下：</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技术标分值占总分值的比重为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50</w:t>
      </w:r>
      <w:r>
        <w:rPr>
          <w:rFonts w:hint="eastAsia" w:ascii="宋体" w:hAnsi="宋体" w:eastAsia="宋体" w:cs="宋体"/>
          <w:b/>
          <w:bCs/>
          <w:color w:val="auto"/>
          <w:sz w:val="28"/>
          <w:szCs w:val="28"/>
          <w:u w:val="single"/>
        </w:rPr>
        <w:t xml:space="preserve">%（权重）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（计算结果均四舍五入保留两位小数）；</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价格标分值占总分值的比重为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50</w:t>
      </w:r>
      <w:r>
        <w:rPr>
          <w:rFonts w:hint="eastAsia" w:ascii="宋体" w:hAnsi="宋体" w:eastAsia="宋体" w:cs="宋体"/>
          <w:b/>
          <w:bCs/>
          <w:color w:val="auto"/>
          <w:sz w:val="28"/>
          <w:szCs w:val="28"/>
          <w:u w:val="single"/>
        </w:rPr>
        <w:t>%（权重）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（计算结果均四舍五入保留两位小数）；</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4．评标委员会严格按照招标文件的要求、条件、评分标准，对投标供应商所提供货物或服务的先进性、可靠性、售后服务承诺、质量保证承诺等实质性响应内容进行比较。</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5．评标委员会各成员独立对每个进入打分程序的有效投标供应商的投标文件的技术部分以打分的形式进行评审和评价。</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6．开启投标供应商的商务报价标，现场唱标后由投标供应商代表签名确认。</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7．投标供应商的价格标评审得分直接计算取得，并与其技术标得分相加为该投标供应商的综合得分（计算结果均四舍五入保留两位小数）。</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8．评审后的综合得分相同的，按投标报价由低到高顺序排列。综合得分且投标报价相同的并列，则采取现场抽签的方式确定（投标供应商的抽签顺序分别为各投标供应商递交投标文件签到顺序号）</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9．评标结果按投标文件满足招标文件全部实质性要求，且按照评审因素的量化指标评审综合得分（技术标得分+价格标得分）最高的投标供应商，</w:t>
      </w:r>
      <w:r>
        <w:rPr>
          <w:rFonts w:hint="eastAsia" w:ascii="宋体" w:hAnsi="宋体" w:eastAsia="宋体" w:cs="宋体"/>
          <w:color w:val="auto"/>
          <w:sz w:val="28"/>
          <w:szCs w:val="28"/>
          <w:lang w:val="en-US" w:eastAsia="zh-CN"/>
        </w:rPr>
        <w:t>每个分包</w:t>
      </w:r>
      <w:r>
        <w:rPr>
          <w:rFonts w:hint="eastAsia" w:ascii="宋体" w:hAnsi="宋体" w:eastAsia="宋体" w:cs="宋体"/>
          <w:color w:val="auto"/>
          <w:sz w:val="28"/>
          <w:szCs w:val="28"/>
        </w:rPr>
        <w:t>排名第一的确定为第一中标候选人，出具评审报告并将结果通知所有投标供应商。</w:t>
      </w:r>
    </w:p>
    <w:p>
      <w:pPr>
        <w:snapToGrid w:val="0"/>
        <w:spacing w:line="360" w:lineRule="auto"/>
        <w:ind w:firstLine="568"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七、关于投标价格评审</w:t>
      </w:r>
    </w:p>
    <w:p>
      <w:pPr>
        <w:snapToGrid w:val="0"/>
        <w:spacing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1．针对投标价格实质响应的评审</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供应商的竞争地位产生不公正的影响。如未实质上响应 ，则按无效投标处理。</w:t>
      </w:r>
    </w:p>
    <w:p>
      <w:pPr>
        <w:snapToGrid w:val="0"/>
        <w:spacing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2．针对投标价格合理性的评审</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 </w:t>
      </w:r>
    </w:p>
    <w:p>
      <w:pPr>
        <w:snapToGrid w:val="0"/>
        <w:spacing w:line="360" w:lineRule="auto"/>
        <w:ind w:firstLine="568"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八、评审评分项</w:t>
      </w:r>
    </w:p>
    <w:p>
      <w:pPr>
        <w:snapToGrid w:val="0"/>
        <w:spacing w:line="480" w:lineRule="exact"/>
        <w:ind w:firstLine="565" w:firstLineChars="202"/>
        <w:outlineLvl w:val="2"/>
        <w:rPr>
          <w:rFonts w:hint="eastAsia" w:ascii="宋体" w:hAnsi="宋体" w:eastAsia="宋体" w:cs="宋体"/>
          <w:color w:val="auto"/>
          <w:sz w:val="28"/>
          <w:szCs w:val="28"/>
        </w:rPr>
      </w:pPr>
      <w:r>
        <w:rPr>
          <w:rFonts w:hint="eastAsia" w:ascii="宋体" w:hAnsi="宋体" w:eastAsia="宋体" w:cs="宋体"/>
          <w:color w:val="auto"/>
          <w:sz w:val="28"/>
          <w:szCs w:val="28"/>
        </w:rPr>
        <w:t>（一）技术标评分：（</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分）</w:t>
      </w:r>
    </w:p>
    <w:p>
      <w:pPr>
        <w:autoSpaceDE w:val="0"/>
        <w:autoSpaceDN w:val="0"/>
        <w:adjustRightInd w:val="0"/>
        <w:snapToGrid w:val="0"/>
        <w:spacing w:line="46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sz w:val="28"/>
          <w:szCs w:val="28"/>
        </w:rPr>
        <w:t>各投标人得分为评委会成员评分的算术平均分，分值四舍五入保留小数点后两位。</w:t>
      </w:r>
    </w:p>
    <w:tbl>
      <w:tblPr>
        <w:tblStyle w:val="56"/>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960"/>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hint="eastAsia" w:ascii="宋体" w:hAnsi="宋体" w:eastAsia="宋体" w:cs="宋体"/>
                <w:color w:val="auto"/>
                <w:kern w:val="0"/>
                <w:sz w:val="28"/>
                <w:szCs w:val="28"/>
              </w:rPr>
            </w:pPr>
            <w:bookmarkStart w:id="3" w:name="_Toc182849073"/>
            <w:r>
              <w:rPr>
                <w:rFonts w:hint="eastAsia" w:ascii="宋体" w:hAnsi="宋体" w:eastAsia="宋体" w:cs="宋体"/>
                <w:color w:val="auto"/>
                <w:kern w:val="0"/>
                <w:sz w:val="28"/>
                <w:szCs w:val="28"/>
              </w:rPr>
              <w:t>经营业绩</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10分</w:t>
            </w:r>
          </w:p>
        </w:tc>
        <w:tc>
          <w:tcPr>
            <w:tcW w:w="5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投标供应商提供</w:t>
            </w:r>
            <w:r>
              <w:rPr>
                <w:rFonts w:hint="eastAsia" w:ascii="宋体" w:hAnsi="宋体" w:eastAsia="宋体" w:cs="宋体"/>
                <w:color w:val="auto"/>
                <w:kern w:val="0"/>
                <w:sz w:val="28"/>
                <w:szCs w:val="28"/>
              </w:rPr>
              <w:t>2O</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年1月1日</w:t>
            </w:r>
            <w:r>
              <w:rPr>
                <w:rFonts w:hint="eastAsia" w:ascii="宋体" w:hAnsi="宋体" w:eastAsia="宋体" w:cs="宋体"/>
                <w:color w:val="auto"/>
                <w:kern w:val="0"/>
                <w:sz w:val="28"/>
                <w:szCs w:val="28"/>
                <w:lang w:val="en-US" w:eastAsia="zh-CN"/>
              </w:rPr>
              <w:t>至今（时间以合同进的为准），有类似</w:t>
            </w:r>
            <w:r>
              <w:rPr>
                <w:rFonts w:hint="eastAsia" w:ascii="宋体" w:hAnsi="宋体" w:eastAsia="宋体" w:cs="宋体"/>
                <w:color w:val="auto"/>
                <w:kern w:val="0"/>
                <w:sz w:val="28"/>
                <w:szCs w:val="28"/>
              </w:rPr>
              <w:t>高校教材</w:t>
            </w:r>
            <w:r>
              <w:rPr>
                <w:rFonts w:hint="eastAsia" w:ascii="宋体" w:hAnsi="宋体" w:eastAsia="宋体" w:cs="宋体"/>
                <w:color w:val="auto"/>
                <w:kern w:val="0"/>
                <w:sz w:val="28"/>
                <w:szCs w:val="28"/>
                <w:lang w:val="en-US" w:eastAsia="zh-CN"/>
              </w:rPr>
              <w:t>案例</w:t>
            </w:r>
            <w:r>
              <w:rPr>
                <w:rFonts w:hint="eastAsia" w:ascii="宋体" w:hAnsi="宋体" w:eastAsia="宋体" w:cs="宋体"/>
                <w:color w:val="auto"/>
                <w:kern w:val="0"/>
                <w:sz w:val="28"/>
                <w:szCs w:val="28"/>
              </w:rPr>
              <w:t>（高校普教或继续教育学院）（</w:t>
            </w:r>
            <w:r>
              <w:rPr>
                <w:rFonts w:hint="eastAsia" w:ascii="宋体" w:hAnsi="宋体" w:eastAsia="宋体" w:cs="宋体"/>
                <w:color w:val="auto"/>
                <w:kern w:val="0"/>
                <w:sz w:val="28"/>
                <w:szCs w:val="28"/>
                <w:lang w:val="en-US" w:eastAsia="zh-CN"/>
              </w:rPr>
              <w:t>提供</w:t>
            </w:r>
            <w:r>
              <w:rPr>
                <w:rFonts w:hint="eastAsia" w:ascii="宋体" w:hAnsi="宋体" w:eastAsia="宋体" w:cs="宋体"/>
                <w:color w:val="auto"/>
                <w:kern w:val="0"/>
                <w:sz w:val="28"/>
                <w:szCs w:val="28"/>
              </w:rPr>
              <w:t>合同</w:t>
            </w:r>
            <w:r>
              <w:rPr>
                <w:rFonts w:hint="eastAsia" w:ascii="宋体" w:hAnsi="宋体" w:eastAsia="宋体" w:cs="宋体"/>
                <w:color w:val="auto"/>
                <w:kern w:val="0"/>
                <w:sz w:val="28"/>
                <w:szCs w:val="28"/>
                <w:lang w:val="en-US" w:eastAsia="zh-CN"/>
              </w:rPr>
              <w:t>复印件</w:t>
            </w:r>
            <w:r>
              <w:rPr>
                <w:rFonts w:hint="eastAsia" w:ascii="宋体" w:hAnsi="宋体" w:eastAsia="宋体" w:cs="宋体"/>
                <w:color w:val="auto"/>
                <w:kern w:val="0"/>
                <w:sz w:val="28"/>
                <w:szCs w:val="28"/>
              </w:rPr>
              <w:t>、同一学校不重复计算），有1个合同得2分</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最多10分</w:t>
            </w:r>
            <w:r>
              <w:rPr>
                <w:rFonts w:hint="eastAsia" w:ascii="宋体" w:hAnsi="宋体" w:eastAsia="宋体" w:cs="宋体"/>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服务方案</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分</w:t>
            </w:r>
          </w:p>
        </w:tc>
        <w:tc>
          <w:tcPr>
            <w:tcW w:w="5997"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根据投标方教材回告及征订速度、储备、运输、到书率、调剂能力以及协助教材发放、补书换书、退货处理及账目结算等方面是否有详细方案酌情给分。优</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0分，良好</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分，一般</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分，差</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服务能力</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分</w:t>
            </w:r>
          </w:p>
        </w:tc>
        <w:tc>
          <w:tcPr>
            <w:tcW w:w="5997"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售后服务响应时间、仓储条件、运送能力、服务能力等方面，根据详细方案酌情给分。优秀</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0分，良好</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分，一般</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分，差</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出版社代理资质</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20分</w:t>
            </w:r>
          </w:p>
        </w:tc>
        <w:tc>
          <w:tcPr>
            <w:tcW w:w="5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投标单位合作出版社：提供出版社的代理证明（以出版社授权书证明或资格证明的有效证件复印件为准。）</w:t>
            </w:r>
          </w:p>
          <w:p>
            <w:pPr>
              <w:spacing w:line="360" w:lineRule="exact"/>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提供任意一份</w:t>
            </w:r>
            <w:bookmarkStart w:id="7" w:name="_GoBack"/>
            <w:bookmarkEnd w:id="7"/>
            <w:r>
              <w:rPr>
                <w:rFonts w:hint="eastAsia" w:ascii="宋体" w:hAnsi="宋体" w:eastAsia="宋体" w:cs="宋体"/>
                <w:color w:val="auto"/>
                <w:kern w:val="0"/>
                <w:sz w:val="28"/>
                <w:szCs w:val="28"/>
              </w:rPr>
              <w:t>出版社代理证明的，每份证明得</w:t>
            </w:r>
            <w:r>
              <w:rPr>
                <w:rFonts w:hint="eastAsia" w:ascii="宋体" w:hAnsi="宋体" w:eastAsia="宋体" w:cs="宋体"/>
                <w:color w:val="auto"/>
                <w:kern w:val="0"/>
                <w:sz w:val="28"/>
                <w:szCs w:val="28"/>
                <w:lang w:val="en-US" w:eastAsia="zh-CN"/>
              </w:rPr>
              <w:t>1分</w:t>
            </w:r>
            <w:r>
              <w:rPr>
                <w:rFonts w:hint="eastAsia" w:ascii="宋体" w:hAnsi="宋体" w:eastAsia="宋体" w:cs="宋体"/>
                <w:color w:val="auto"/>
                <w:kern w:val="0"/>
                <w:sz w:val="28"/>
                <w:szCs w:val="28"/>
              </w:rPr>
              <w:t>，满分</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分。</w:t>
            </w:r>
          </w:p>
        </w:tc>
      </w:tr>
    </w:tbl>
    <w:p>
      <w:pPr>
        <w:autoSpaceDE w:val="0"/>
        <w:autoSpaceDN w:val="0"/>
        <w:adjustRightInd w:val="0"/>
        <w:snapToGrid w:val="0"/>
        <w:spacing w:line="460" w:lineRule="exact"/>
        <w:ind w:firstLine="562" w:firstLineChars="200"/>
        <w:rPr>
          <w:rFonts w:hint="eastAsia" w:ascii="宋体" w:hAnsi="宋体" w:eastAsia="宋体" w:cs="宋体"/>
          <w:b/>
          <w:color w:val="auto"/>
          <w:sz w:val="28"/>
          <w:szCs w:val="28"/>
        </w:rPr>
      </w:pPr>
    </w:p>
    <w:p>
      <w:pPr>
        <w:autoSpaceDE w:val="0"/>
        <w:autoSpaceDN w:val="0"/>
        <w:adjustRightInd w:val="0"/>
        <w:snapToGrid w:val="0"/>
        <w:spacing w:line="46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（二）</w:t>
      </w:r>
      <w:r>
        <w:rPr>
          <w:rFonts w:hint="eastAsia" w:ascii="宋体" w:hAnsi="宋体" w:eastAsia="宋体" w:cs="宋体"/>
          <w:b/>
          <w:color w:val="auto"/>
          <w:sz w:val="28"/>
          <w:szCs w:val="28"/>
          <w:lang w:val="zh-CN"/>
        </w:rPr>
        <w:t>价格标</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lang w:val="en-US" w:eastAsia="zh-CN"/>
        </w:rPr>
        <w:t>0</w:t>
      </w:r>
      <w:r>
        <w:rPr>
          <w:rFonts w:hint="eastAsia" w:ascii="宋体" w:hAnsi="宋体" w:eastAsia="宋体" w:cs="宋体"/>
          <w:b/>
          <w:color w:val="auto"/>
          <w:sz w:val="28"/>
          <w:szCs w:val="28"/>
          <w:lang w:val="zh-CN"/>
        </w:rPr>
        <w:t>分</w:t>
      </w:r>
    </w:p>
    <w:p>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价格分统一采用低价优先法计算，即满足招标文件要求且投标价格最低的投标报价为评标基准价，其价格分为满分。其他投标人的价格分统一按照下列公式计算：</w:t>
      </w:r>
    </w:p>
    <w:p>
      <w:pPr>
        <w:adjustRightInd w:val="0"/>
        <w:snapToGrid w:val="0"/>
        <w:spacing w:line="460" w:lineRule="exact"/>
        <w:ind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投标报价得分=（评标基准价/</w:t>
      </w:r>
      <w:r>
        <w:rPr>
          <w:rFonts w:hint="eastAsia" w:ascii="宋体" w:hAnsi="宋体" w:eastAsia="宋体" w:cs="宋体"/>
          <w:color w:val="auto"/>
          <w:sz w:val="28"/>
          <w:szCs w:val="28"/>
          <w:lang w:val="en-US" w:eastAsia="zh-CN"/>
        </w:rPr>
        <w:t>报价折扣</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×100</w:t>
      </w:r>
    </w:p>
    <w:p>
      <w:pPr>
        <w:snapToGrid w:val="0"/>
        <w:spacing w:line="360" w:lineRule="auto"/>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九</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出现下列情形之一的，作无效投标处理：</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1.未按照招标文件的规定提交投标保证金的；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2.投标文件未按招标文件要求签署、盖章的；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3.不具备招标文件中规定的资格要求的；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4.报价超过招标文件中规定的预算金额或者最高限价的；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5.投标文件含有采购人不能接受的附加条件的；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6.未按文件要求提供样品或提供的样品不符合要求的；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7.法律、法规和招标文件规定的其他无效情形。</w:t>
      </w:r>
    </w:p>
    <w:p>
      <w:pPr>
        <w:snapToGrid w:val="0"/>
        <w:spacing w:line="360" w:lineRule="auto"/>
        <w:ind w:firstLine="562" w:firstLineChars="200"/>
        <w:outlineLvl w:val="1"/>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十</w:t>
      </w:r>
      <w:r>
        <w:rPr>
          <w:rFonts w:hint="eastAsia" w:ascii="宋体" w:hAnsi="宋体" w:eastAsia="宋体" w:cs="宋体"/>
          <w:b/>
          <w:bCs/>
          <w:color w:val="auto"/>
          <w:sz w:val="28"/>
          <w:szCs w:val="28"/>
        </w:rPr>
        <w:t>、有下列情形之一的，视为投标供应商串通投标，其投标无效</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1.不同投标供应商的投标文件由同一单位或者个人编制；</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2.不同投标供应商委托同一单位或者个人办理投标事宜；</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3.不同投标供应商的投标文件载明的项目管理成员或者联系人员为同一人；</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4.不同投标供应商的投标文件异常一致或者投标报价呈规律性差异；</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5.不同投标供应商的投标文件相互混装；</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6.不同投标供应商的投标保证金从同一单位或者个人的账户转出。</w:t>
      </w:r>
    </w:p>
    <w:p>
      <w:pPr>
        <w:snapToGrid w:val="0"/>
        <w:spacing w:line="360" w:lineRule="auto"/>
        <w:ind w:firstLine="562" w:firstLineChars="200"/>
        <w:outlineLvl w:val="1"/>
        <w:rPr>
          <w:rFonts w:hint="eastAsia" w:ascii="宋体" w:hAnsi="宋体" w:eastAsia="宋体" w:cs="宋体"/>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、变更为其他方式采购的情形处理</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依据财政部87号令第四十三条的规定：公开招标数额标准以上的采购项目，投标截止后供应商不足3家或者通过资格审查或符合性审查的供应商不足3家的，除采购任务取消情形外，按照以下方式处理：</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1.招标文件存在不合理条款或者招标程序不符合规定的，采购人、改正后依法重新招标；</w:t>
      </w:r>
    </w:p>
    <w:p>
      <w:pPr>
        <w:snapToGrid w:val="0"/>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2.招标文件没有不合理条款、招标程序符合规定，需要采用其他采购方式采购的，采购人应当依法报学院采购与招标领导小组批准。</w:t>
      </w:r>
    </w:p>
    <w:p>
      <w:pPr>
        <w:snapToGrid w:val="0"/>
        <w:spacing w:line="360" w:lineRule="auto"/>
        <w:ind w:firstLine="658" w:firstLineChars="235"/>
        <w:rPr>
          <w:rFonts w:hint="eastAsia" w:ascii="宋体" w:hAnsi="宋体" w:eastAsia="宋体" w:cs="宋体"/>
          <w:color w:val="auto"/>
          <w:sz w:val="28"/>
          <w:szCs w:val="28"/>
        </w:rPr>
      </w:pPr>
      <w:r>
        <w:rPr>
          <w:rFonts w:hint="eastAsia" w:ascii="宋体" w:hAnsi="宋体" w:eastAsia="宋体" w:cs="宋体"/>
          <w:color w:val="auto"/>
          <w:sz w:val="28"/>
          <w:szCs w:val="28"/>
        </w:rPr>
        <w:t>3.依据财政部74号令第三条第（三）款的规定：达到公开招标数额标准、经批准采用非公开招标的货物、服务，可以采用竞争性谈判、单一来源采购方式采购，采购货物的，还可以采用询价采购方式。</w:t>
      </w:r>
    </w:p>
    <w:p>
      <w:pPr>
        <w:snapToGrid w:val="0"/>
        <w:spacing w:line="360" w:lineRule="auto"/>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、出现下列情形之一的，作废标处理：</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1.出现影响采购公正的违法违规行为的；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2.所有投标供应商报价超出采购预算价的；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3.因重大变故，采购任务被取消的；</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4.评标委员会依据法律法规可以认定为废标的其他情况。</w:t>
      </w:r>
    </w:p>
    <w:p>
      <w:pPr>
        <w:snapToGrid w:val="0"/>
        <w:ind w:firstLine="562" w:firstLineChars="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、中标通知</w:t>
      </w:r>
    </w:p>
    <w:p>
      <w:pPr>
        <w:ind w:firstLine="565" w:firstLineChars="202"/>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1.投标结束后，采购单位将成交结果在指定媒体上公示1个日历天。</w:t>
      </w:r>
    </w:p>
    <w:p>
      <w:pPr>
        <w:ind w:firstLine="565" w:firstLineChars="202"/>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2.公示期满，如无异议的，采购单位向成交供应商发出《成交通知书》。</w:t>
      </w:r>
    </w:p>
    <w:p>
      <w:pPr>
        <w:ind w:firstLine="565" w:firstLineChars="202"/>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3.《成交通知书》一经发出，即具有法律效力。采购单位、成交供应商依法承担法律责任。</w:t>
      </w:r>
    </w:p>
    <w:p>
      <w:pPr>
        <w:spacing w:after="60" w:line="360" w:lineRule="auto"/>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p>
    <w:p>
      <w:pPr>
        <w:adjustRightInd w:val="0"/>
        <w:snapToGrid w:val="0"/>
        <w:spacing w:line="480" w:lineRule="exact"/>
        <w:jc w:val="center"/>
        <w:textAlignment w:val="baseline"/>
        <w:outlineLvl w:val="0"/>
        <w:rPr>
          <w:rFonts w:hint="eastAsia" w:ascii="宋体" w:hAnsi="宋体" w:eastAsia="宋体" w:cs="宋体"/>
          <w:color w:val="auto"/>
          <w:sz w:val="36"/>
          <w:szCs w:val="36"/>
        </w:rPr>
      </w:pPr>
      <w:r>
        <w:rPr>
          <w:rFonts w:hint="eastAsia" w:ascii="宋体" w:hAnsi="宋体" w:eastAsia="宋体" w:cs="宋体"/>
          <w:b/>
          <w:color w:val="auto"/>
          <w:sz w:val="36"/>
          <w:szCs w:val="36"/>
        </w:rPr>
        <w:t>第五章 合同授予</w:t>
      </w:r>
    </w:p>
    <w:p>
      <w:pPr>
        <w:spacing w:line="50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一、成交供应商在《成交通知书》发出</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 xml:space="preserve">日内必须按照采购文件确定的事项签订采购合同。合同一式陆份，采购单位伍份、供应商壹份。所签合同不得对采购文件作实质性修改。采购单位不得向成交供应商提出不合理的要求作为签订合同的条件，不得与成交供应商私下订立背离采购文件实质性内容的协议。  </w:t>
      </w:r>
    </w:p>
    <w:p>
      <w:pPr>
        <w:spacing w:line="50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二、采购人按合同约定积极配合中标人履约，中标人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pacing w:line="50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三、采购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50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四、中标人出现违约情形，应当及时纠正或补偿；造成损失的，按合同约定追究违约责任；发现有假冒、伪劣、走私产品、商业贿赂等违法情形的，应由采购人移交工商、质监、公安等行政执法部门依法查处。</w:t>
      </w:r>
    </w:p>
    <w:p>
      <w:pPr>
        <w:spacing w:line="50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五、按采购合同约定支付的货款进行支付。</w:t>
      </w:r>
    </w:p>
    <w:p>
      <w:pPr>
        <w:spacing w:line="50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六、不响应付款方式的，视同响应文件无效，按无效响应文件处理。</w:t>
      </w:r>
    </w:p>
    <w:p>
      <w:pPr>
        <w:spacing w:line="50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七、付款方式详见招标文件第</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章，以上项目款的支付不计息。</w:t>
      </w:r>
    </w:p>
    <w:p>
      <w:pPr>
        <w:spacing w:line="500" w:lineRule="exact"/>
        <w:ind w:firstLine="565" w:firstLineChars="202"/>
        <w:rPr>
          <w:rFonts w:hint="eastAsia" w:ascii="宋体" w:hAnsi="宋体" w:eastAsia="宋体" w:cs="宋体"/>
          <w:color w:val="auto"/>
          <w:sz w:val="28"/>
          <w:szCs w:val="28"/>
        </w:rPr>
      </w:pPr>
    </w:p>
    <w:p>
      <w:pPr>
        <w:spacing w:line="500" w:lineRule="exact"/>
        <w:rPr>
          <w:rFonts w:hint="eastAsia" w:ascii="宋体" w:hAnsi="宋体" w:eastAsia="宋体" w:cs="宋体"/>
          <w:color w:val="auto"/>
          <w:sz w:val="28"/>
          <w:szCs w:val="28"/>
        </w:rPr>
      </w:pPr>
    </w:p>
    <w:p>
      <w:pPr>
        <w:spacing w:line="500" w:lineRule="exact"/>
        <w:rPr>
          <w:rFonts w:hint="eastAsia" w:ascii="宋体" w:hAnsi="宋体" w:eastAsia="宋体" w:cs="宋体"/>
          <w:color w:val="auto"/>
          <w:sz w:val="28"/>
          <w:szCs w:val="28"/>
        </w:rPr>
      </w:pPr>
    </w:p>
    <w:p>
      <w:pPr>
        <w:spacing w:line="500" w:lineRule="exact"/>
        <w:rPr>
          <w:rFonts w:hint="eastAsia" w:ascii="宋体" w:hAnsi="宋体" w:eastAsia="宋体" w:cs="宋体"/>
          <w:color w:val="auto"/>
          <w:sz w:val="28"/>
          <w:szCs w:val="28"/>
        </w:rPr>
      </w:pPr>
    </w:p>
    <w:p>
      <w:pPr>
        <w:adjustRightInd w:val="0"/>
        <w:snapToGrid w:val="0"/>
        <w:spacing w:line="480" w:lineRule="exact"/>
        <w:jc w:val="center"/>
        <w:textAlignment w:val="baseline"/>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六</w:t>
      </w:r>
      <w:r>
        <w:rPr>
          <w:rFonts w:hint="eastAsia" w:ascii="宋体" w:hAnsi="宋体" w:eastAsia="宋体" w:cs="宋体"/>
          <w:b/>
          <w:color w:val="auto"/>
          <w:sz w:val="36"/>
          <w:szCs w:val="36"/>
        </w:rPr>
        <w:t>章 质疑与投诉</w:t>
      </w:r>
      <w:bookmarkEnd w:id="3"/>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一、质疑的提出</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1.质疑人必须是直接参加本次投标活动的当事人。</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下载招标文件的供应商应根据第二章“投标供应商须知”中第一条第4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对不能提供相关佐证材料的、涉及商业秘密的、非书面形式的、非送达的、匿名的《质疑函》将不予受理。</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相关佐证材料要具备客观性、关联性、合法性，无法查实的（如宣传册、媒体报道、猜测、推理等）不能作为佐证材料。</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采购单位不负责搜集相关佐证材料等工作。</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二、《质疑函》的受理和回复</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1.《质疑函》须由质疑人的法定代表人或参加本次投标授权人送达采购单位。</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4.采购单位负责将质疑人提出的质疑相关材料提供给相关专家或评标小组审核，并将审核意见回复质疑人。</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5.因质疑情况复杂，组织论证或审查时间较长的，采购单位以书面形式通知质疑人，可适当延长质疑回复处理时间。</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三、质疑处理</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1.质疑成立的处理。采购单位终止采购，并建议有关部门给相关当事人予以处理。</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2.质疑不成立的处理。</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（1）质疑人</w:t>
      </w:r>
      <w:r>
        <w:rPr>
          <w:rFonts w:hint="eastAsia" w:ascii="宋体" w:hAnsi="宋体" w:eastAsia="宋体" w:cs="宋体"/>
          <w:color w:val="auto"/>
          <w:sz w:val="28"/>
          <w:szCs w:val="28"/>
          <w:shd w:val="clear" w:color="auto" w:fill="FFFFFF" w:themeFill="background1"/>
        </w:rPr>
        <w:t>书面提供《申请</w:t>
      </w:r>
      <w:r>
        <w:rPr>
          <w:rFonts w:hint="eastAsia" w:ascii="宋体" w:hAnsi="宋体" w:eastAsia="宋体" w:cs="宋体"/>
          <w:color w:val="auto"/>
          <w:sz w:val="28"/>
          <w:szCs w:val="28"/>
        </w:rPr>
        <w:t>撤回质疑函》的，不作违约处理。</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（2）质疑人在规定的时间内不配合进行质疑调查处理的，按自动撤回《质疑函》处理。</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（3）质疑人不按《质疑函》格式就提出质疑的，作违约处理。同时，视情列入不良供应商名单。</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（4）质疑人虽提供了相关佐证材料，但不能证明其质疑成立的，采购单位请质疑人补充相关佐证材料，仍不能证明其质疑成立的，作违约处理。并将其列入不良供应商名单。</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（5）质疑人不能提供相关佐证材料的，采购单位已指出，质疑人仍然坚持提出质疑的，作违约处理。同时，列入不良供应商名单。</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对明显有违事实的、经相关专家或评标小组认定无依据的、经其他供应商举证无依据的质疑，作违约处理，列入不良供应商名单；同时，对其中每一项不成立的质疑给予质疑人1年内禁入本区域内的采购活动的违约处理，依次类推；视情在南通政府采购网、省、国家级相关媒体予以披露。</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（7）质疑人承担使用虚假材料或恶意方式质疑的法律责任。</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无佐证材料的举报作违约处理。供应商不得进行不提供相关佐证材料（含无法查实的如宣传册、媒体报道、猜测、推理等）向有关部门的举报，否则作违约处理。同时对其在1至3年内禁入由采购单位组织的采购活动的违约处理。</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投诉不成立的作违约处理。供应商进行质疑后，采购单位回复质疑不成立，供应商仍进行投诉的，并最终投诉不成立的，作违约处理。采购单位有权对其在1至3年内禁入由采购单位组织的采购活动的违约处理。</w:t>
      </w:r>
    </w:p>
    <w:p>
      <w:pPr>
        <w:adjustRightInd w:val="0"/>
        <w:snapToGrid w:val="0"/>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480" w:lineRule="exact"/>
        <w:ind w:firstLine="560" w:firstLineChars="200"/>
        <w:rPr>
          <w:rFonts w:hint="eastAsia" w:ascii="宋体" w:hAnsi="宋体" w:eastAsia="宋体" w:cs="宋体"/>
          <w:dstrike/>
          <w:color w:val="auto"/>
          <w:sz w:val="24"/>
          <w:szCs w:val="24"/>
        </w:rPr>
      </w:pPr>
      <w:r>
        <w:rPr>
          <w:rFonts w:hint="eastAsia" w:ascii="宋体" w:hAnsi="宋体" w:eastAsia="宋体" w:cs="宋体"/>
          <w:color w:val="auto"/>
          <w:sz w:val="28"/>
          <w:szCs w:val="28"/>
        </w:rPr>
        <w:t>七、质疑供应商对采购单位的答复不满意或者采购单位未在规定的时间内作出答复的，可以在答复期满后15个工作日内向相关监督管理部门投诉。</w:t>
      </w:r>
    </w:p>
    <w:p>
      <w:pPr>
        <w:pStyle w:val="152"/>
        <w:spacing w:before="312" w:after="312" w:line="400" w:lineRule="exact"/>
        <w:rPr>
          <w:rFonts w:hint="eastAsia" w:ascii="宋体" w:hAnsi="宋体" w:eastAsia="宋体" w:cs="宋体"/>
          <w:color w:val="auto"/>
          <w:sz w:val="36"/>
          <w:szCs w:val="36"/>
        </w:rPr>
      </w:pPr>
      <w:r>
        <w:rPr>
          <w:rFonts w:hint="eastAsia" w:ascii="宋体" w:hAnsi="宋体" w:eastAsia="宋体" w:cs="宋体"/>
          <w:b w:val="0"/>
          <w:color w:val="auto"/>
          <w:w w:val="80"/>
          <w:sz w:val="24"/>
          <w:szCs w:val="24"/>
        </w:rPr>
        <w:br w:type="page"/>
      </w:r>
      <w:r>
        <w:rPr>
          <w:rFonts w:hint="eastAsia" w:ascii="宋体" w:hAnsi="宋体" w:eastAsia="宋体" w:cs="宋体"/>
          <w:color w:val="auto"/>
          <w:sz w:val="36"/>
          <w:szCs w:val="36"/>
        </w:rPr>
        <w:t>第</w:t>
      </w:r>
      <w:r>
        <w:rPr>
          <w:rFonts w:hint="eastAsia" w:ascii="宋体" w:hAnsi="宋体" w:eastAsia="宋体" w:cs="宋体"/>
          <w:color w:val="auto"/>
          <w:sz w:val="36"/>
          <w:szCs w:val="36"/>
          <w:lang w:val="en-US" w:eastAsia="zh-CN"/>
        </w:rPr>
        <w:t>七</w:t>
      </w:r>
      <w:r>
        <w:rPr>
          <w:rFonts w:hint="eastAsia" w:ascii="宋体" w:hAnsi="宋体" w:eastAsia="宋体" w:cs="宋体"/>
          <w:color w:val="auto"/>
          <w:sz w:val="36"/>
          <w:szCs w:val="36"/>
        </w:rPr>
        <w:t>章 投标文件组成及格式</w:t>
      </w:r>
    </w:p>
    <w:p>
      <w:pPr>
        <w:adjustRightInd w:val="0"/>
        <w:snapToGrid w:val="0"/>
        <w:spacing w:line="40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投标文件由资格审查文件、技术标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价格标</w:t>
      </w:r>
      <w:r>
        <w:rPr>
          <w:rFonts w:hint="eastAsia" w:ascii="宋体" w:hAnsi="宋体" w:eastAsia="宋体" w:cs="宋体"/>
          <w:color w:val="auto"/>
          <w:sz w:val="28"/>
          <w:szCs w:val="28"/>
          <w:lang w:val="en-US" w:eastAsia="zh-CN"/>
        </w:rPr>
        <w:t>和电子文件四</w:t>
      </w:r>
      <w:r>
        <w:rPr>
          <w:rFonts w:hint="eastAsia" w:ascii="宋体" w:hAnsi="宋体" w:eastAsia="宋体" w:cs="宋体"/>
          <w:color w:val="auto"/>
          <w:sz w:val="28"/>
          <w:szCs w:val="28"/>
        </w:rPr>
        <w:t>部分组成。本次招标采用资格后审方式。</w:t>
      </w:r>
    </w:p>
    <w:p>
      <w:pPr>
        <w:adjustRightInd w:val="0"/>
        <w:snapToGrid w:val="0"/>
        <w:spacing w:line="400" w:lineRule="exact"/>
        <w:ind w:firstLine="548" w:firstLineChars="196"/>
        <w:rPr>
          <w:rFonts w:hint="eastAsia" w:ascii="宋体" w:hAnsi="宋体" w:eastAsia="宋体" w:cs="宋体"/>
          <w:b w:val="0"/>
          <w:bCs w:val="0"/>
          <w:color w:val="auto"/>
          <w:spacing w:val="-6"/>
          <w:sz w:val="28"/>
          <w:szCs w:val="28"/>
        </w:rPr>
      </w:pPr>
      <w:r>
        <w:rPr>
          <w:rFonts w:hint="eastAsia" w:ascii="宋体" w:hAnsi="宋体" w:eastAsia="宋体" w:cs="宋体"/>
          <w:b w:val="0"/>
          <w:bCs w:val="0"/>
          <w:color w:val="auto"/>
          <w:sz w:val="28"/>
          <w:szCs w:val="28"/>
        </w:rPr>
        <w:t>本项目资格审查文件、技术标</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价格标</w:t>
      </w:r>
      <w:r>
        <w:rPr>
          <w:rFonts w:hint="eastAsia" w:ascii="宋体" w:hAnsi="宋体" w:eastAsia="宋体" w:cs="宋体"/>
          <w:b w:val="0"/>
          <w:bCs w:val="0"/>
          <w:color w:val="auto"/>
          <w:sz w:val="28"/>
          <w:szCs w:val="28"/>
          <w:lang w:val="en-US" w:eastAsia="zh-CN"/>
        </w:rPr>
        <w:t>和电子文件</w:t>
      </w:r>
      <w:r>
        <w:rPr>
          <w:rFonts w:hint="eastAsia" w:ascii="宋体" w:hAnsi="宋体" w:eastAsia="宋体" w:cs="宋体"/>
          <w:b w:val="0"/>
          <w:bCs w:val="0"/>
          <w:color w:val="auto"/>
          <w:spacing w:val="-6"/>
          <w:sz w:val="28"/>
          <w:szCs w:val="28"/>
        </w:rPr>
        <w:t>请分别装订、分别单独密封后一起递交。</w:t>
      </w:r>
    </w:p>
    <w:p>
      <w:pPr>
        <w:adjustRightInd w:val="0"/>
        <w:snapToGrid w:val="0"/>
        <w:spacing w:line="400" w:lineRule="exact"/>
        <w:ind w:left="487"/>
        <w:jc w:val="left"/>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一、资格审查文件（单独密封</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无需分分包</w:t>
      </w:r>
      <w:r>
        <w:rPr>
          <w:rFonts w:hint="eastAsia" w:ascii="宋体" w:hAnsi="宋体" w:eastAsia="宋体" w:cs="宋体"/>
          <w:b/>
          <w:bCs/>
          <w:color w:val="auto"/>
          <w:sz w:val="28"/>
          <w:szCs w:val="28"/>
        </w:rPr>
        <w:t>）：</w:t>
      </w:r>
    </w:p>
    <w:p>
      <w:pPr>
        <w:spacing w:line="40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1.投标供应商提供有效的营业执照复印件加盖公章；</w:t>
      </w:r>
    </w:p>
    <w:p>
      <w:pPr>
        <w:spacing w:line="40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2.出版物经营许可证</w:t>
      </w:r>
      <w:r>
        <w:rPr>
          <w:rFonts w:hint="eastAsia" w:ascii="宋体" w:hAnsi="宋体" w:eastAsia="宋体" w:cs="宋体"/>
          <w:b w:val="0"/>
          <w:bCs w:val="0"/>
          <w:color w:val="auto"/>
          <w:sz w:val="28"/>
          <w:szCs w:val="28"/>
          <w:lang w:eastAsia="zh-CN"/>
        </w:rPr>
        <w:t>、授权经营证书（销售代理商）</w:t>
      </w:r>
      <w:r>
        <w:rPr>
          <w:rFonts w:hint="eastAsia" w:ascii="宋体" w:hAnsi="宋体" w:eastAsia="宋体" w:cs="宋体"/>
          <w:b w:val="0"/>
          <w:bCs w:val="0"/>
          <w:color w:val="auto"/>
          <w:sz w:val="28"/>
          <w:szCs w:val="28"/>
        </w:rPr>
        <w:t>证明材料</w:t>
      </w:r>
      <w:r>
        <w:rPr>
          <w:rFonts w:hint="eastAsia" w:ascii="宋体" w:hAnsi="宋体" w:eastAsia="宋体" w:cs="宋体"/>
          <w:b w:val="0"/>
          <w:bCs w:val="0"/>
          <w:color w:val="auto"/>
          <w:sz w:val="28"/>
          <w:szCs w:val="28"/>
          <w:lang w:eastAsia="zh-CN"/>
        </w:rPr>
        <w:t>；</w:t>
      </w:r>
    </w:p>
    <w:p>
      <w:pPr>
        <w:spacing w:line="40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资格声明函（格式详见附件）</w:t>
      </w:r>
      <w:r>
        <w:rPr>
          <w:rFonts w:hint="eastAsia" w:ascii="宋体" w:hAnsi="宋体" w:eastAsia="宋体" w:cs="宋体"/>
          <w:b w:val="0"/>
          <w:bCs w:val="0"/>
          <w:color w:val="auto"/>
          <w:sz w:val="28"/>
          <w:szCs w:val="28"/>
          <w:lang w:eastAsia="zh-CN"/>
        </w:rPr>
        <w:t>；</w:t>
      </w:r>
    </w:p>
    <w:p>
      <w:pPr>
        <w:spacing w:line="40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法定代表人参加投标的，必须提供法定代表人身份证明原件及法定代表人本人身份证复印件加盖公章；非法定代表人参加投标的，必须提供法定代表人签名或盖章的授权委托书原件及法定代表人和委托代理人两个人的身份证复印件加盖公章（格式参见第</w:t>
      </w:r>
      <w:r>
        <w:rPr>
          <w:rFonts w:hint="eastAsia" w:ascii="宋体" w:hAnsi="宋体" w:eastAsia="宋体" w:cs="宋体"/>
          <w:b w:val="0"/>
          <w:bCs w:val="0"/>
          <w:color w:val="auto"/>
          <w:sz w:val="28"/>
          <w:szCs w:val="28"/>
          <w:lang w:val="en-US" w:eastAsia="zh-CN"/>
        </w:rPr>
        <w:t>七</w:t>
      </w:r>
      <w:r>
        <w:rPr>
          <w:rFonts w:hint="eastAsia" w:ascii="宋体" w:hAnsi="宋体" w:eastAsia="宋体" w:cs="宋体"/>
          <w:b w:val="0"/>
          <w:bCs w:val="0"/>
          <w:color w:val="auto"/>
          <w:sz w:val="28"/>
          <w:szCs w:val="28"/>
        </w:rPr>
        <w:t>章）。授权委托人为投标供应商正式人员证明材料：提供社保机构出具并盖章的投标供应为其缴纳</w:t>
      </w:r>
      <w:r>
        <w:rPr>
          <w:rFonts w:hint="eastAsia" w:ascii="宋体" w:hAnsi="宋体" w:eastAsia="宋体" w:cs="宋体"/>
          <w:b w:val="0"/>
          <w:bCs w:val="0"/>
          <w:color w:val="auto"/>
          <w:sz w:val="28"/>
          <w:szCs w:val="28"/>
          <w:lang w:val="en-US" w:eastAsia="zh-CN"/>
        </w:rPr>
        <w:t>任意一</w:t>
      </w:r>
      <w:r>
        <w:rPr>
          <w:rFonts w:hint="eastAsia" w:ascii="宋体" w:hAnsi="宋体" w:eastAsia="宋体" w:cs="宋体"/>
          <w:b w:val="0"/>
          <w:bCs w:val="0"/>
          <w:color w:val="auto"/>
          <w:sz w:val="28"/>
          <w:szCs w:val="28"/>
        </w:rPr>
        <w:t xml:space="preserve">个月的养老保险缴费清单复印件；     </w:t>
      </w:r>
    </w:p>
    <w:p>
      <w:pPr>
        <w:spacing w:line="40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.关于资格文件的声明函（格式参见第</w:t>
      </w:r>
      <w:r>
        <w:rPr>
          <w:rFonts w:hint="eastAsia" w:ascii="宋体" w:hAnsi="宋体" w:eastAsia="宋体" w:cs="宋体"/>
          <w:b w:val="0"/>
          <w:bCs w:val="0"/>
          <w:color w:val="auto"/>
          <w:sz w:val="28"/>
          <w:szCs w:val="28"/>
          <w:lang w:val="en-US" w:eastAsia="zh-CN"/>
        </w:rPr>
        <w:t>七</w:t>
      </w:r>
      <w:r>
        <w:rPr>
          <w:rFonts w:hint="eastAsia" w:ascii="宋体" w:hAnsi="宋体" w:eastAsia="宋体" w:cs="宋体"/>
          <w:b w:val="0"/>
          <w:bCs w:val="0"/>
          <w:color w:val="auto"/>
          <w:sz w:val="28"/>
          <w:szCs w:val="28"/>
        </w:rPr>
        <w:t>章）。</w:t>
      </w:r>
    </w:p>
    <w:p>
      <w:pPr>
        <w:numPr>
          <w:ilvl w:val="0"/>
          <w:numId w:val="4"/>
        </w:numPr>
        <w:spacing w:line="40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技术响应文件 （不得出现报价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无需分分包</w:t>
      </w:r>
      <w:r>
        <w:rPr>
          <w:rFonts w:hint="eastAsia" w:ascii="宋体" w:hAnsi="宋体" w:eastAsia="宋体" w:cs="宋体"/>
          <w:b/>
          <w:bCs/>
          <w:color w:val="auto"/>
          <w:sz w:val="28"/>
          <w:szCs w:val="28"/>
        </w:rPr>
        <w:t>）</w:t>
      </w:r>
    </w:p>
    <w:p>
      <w:pPr>
        <w:adjustRightInd w:val="0"/>
        <w:snapToGrid w:val="0"/>
        <w:spacing w:line="400" w:lineRule="exact"/>
        <w:ind w:firstLine="548" w:firstLineChars="196"/>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1.投标响应函。 （格式参见第</w:t>
      </w:r>
      <w:r>
        <w:rPr>
          <w:rFonts w:hint="eastAsia" w:ascii="宋体" w:hAnsi="宋体" w:eastAsia="宋体" w:cs="宋体"/>
          <w:b w:val="0"/>
          <w:bCs w:val="0"/>
          <w:color w:val="auto"/>
          <w:sz w:val="28"/>
          <w:szCs w:val="28"/>
          <w:lang w:val="en-US" w:eastAsia="zh-CN"/>
        </w:rPr>
        <w:t>七</w:t>
      </w:r>
      <w:r>
        <w:rPr>
          <w:rFonts w:hint="eastAsia" w:ascii="宋体" w:hAnsi="宋体" w:eastAsia="宋体" w:cs="宋体"/>
          <w:b w:val="0"/>
          <w:bCs w:val="0"/>
          <w:color w:val="auto"/>
          <w:sz w:val="28"/>
          <w:szCs w:val="28"/>
        </w:rPr>
        <w:t>章）</w:t>
      </w:r>
    </w:p>
    <w:p>
      <w:pPr>
        <w:adjustRightInd w:val="0"/>
        <w:snapToGrid w:val="0"/>
        <w:spacing w:line="400" w:lineRule="exact"/>
        <w:ind w:firstLine="548" w:firstLineChars="196"/>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2.针对本项目的实施方案；（根据项目需求编写）</w:t>
      </w:r>
    </w:p>
    <w:p>
      <w:pPr>
        <w:adjustRightInd w:val="0"/>
        <w:snapToGrid w:val="0"/>
        <w:spacing w:line="400" w:lineRule="exact"/>
        <w:ind w:firstLine="548" w:firstLineChars="196"/>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3.针对本项目的售后服务方案；（根据项目需求编写）</w:t>
      </w:r>
    </w:p>
    <w:p>
      <w:pPr>
        <w:pStyle w:val="19"/>
        <w:spacing w:after="0" w:line="40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4.商务部分正负偏离表（格式参见第</w:t>
      </w:r>
      <w:r>
        <w:rPr>
          <w:rFonts w:hint="eastAsia" w:ascii="宋体" w:hAnsi="宋体" w:eastAsia="宋体" w:cs="宋体"/>
          <w:b w:val="0"/>
          <w:bCs w:val="0"/>
          <w:color w:val="auto"/>
          <w:sz w:val="28"/>
          <w:szCs w:val="28"/>
          <w:lang w:val="en-US" w:eastAsia="zh-CN"/>
        </w:rPr>
        <w:t>七</w:t>
      </w:r>
      <w:r>
        <w:rPr>
          <w:rFonts w:hint="eastAsia" w:ascii="宋体" w:hAnsi="宋体" w:eastAsia="宋体" w:cs="宋体"/>
          <w:b w:val="0"/>
          <w:bCs w:val="0"/>
          <w:color w:val="auto"/>
          <w:sz w:val="28"/>
          <w:szCs w:val="28"/>
        </w:rPr>
        <w:t>章）；</w:t>
      </w:r>
    </w:p>
    <w:p>
      <w:pPr>
        <w:pStyle w:val="19"/>
        <w:spacing w:after="0" w:line="40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5.技术部分正负偏离表（格式参见第</w:t>
      </w:r>
      <w:r>
        <w:rPr>
          <w:rFonts w:hint="eastAsia" w:ascii="宋体" w:hAnsi="宋体" w:eastAsia="宋体" w:cs="宋体"/>
          <w:b w:val="0"/>
          <w:bCs w:val="0"/>
          <w:color w:val="auto"/>
          <w:sz w:val="28"/>
          <w:szCs w:val="28"/>
          <w:lang w:val="en-US" w:eastAsia="zh-CN"/>
        </w:rPr>
        <w:t>七</w:t>
      </w:r>
      <w:r>
        <w:rPr>
          <w:rFonts w:hint="eastAsia" w:ascii="宋体" w:hAnsi="宋体" w:eastAsia="宋体" w:cs="宋体"/>
          <w:b w:val="0"/>
          <w:bCs w:val="0"/>
          <w:color w:val="auto"/>
          <w:sz w:val="28"/>
          <w:szCs w:val="28"/>
        </w:rPr>
        <w:t>章）；</w:t>
      </w:r>
    </w:p>
    <w:p>
      <w:pPr>
        <w:adjustRightInd w:val="0"/>
        <w:snapToGrid w:val="0"/>
        <w:spacing w:line="400" w:lineRule="exact"/>
        <w:ind w:firstLine="548" w:firstLineChars="196"/>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6.评审评分项技术响应评分中所涉及的事项需提供的所有资料。</w:t>
      </w:r>
    </w:p>
    <w:p>
      <w:pPr>
        <w:adjustRightInd w:val="0"/>
        <w:snapToGrid w:val="0"/>
        <w:spacing w:line="400" w:lineRule="exact"/>
        <w:ind w:firstLine="548" w:firstLineChars="196"/>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7.评审评分项中未涉及的事项，投标供应商认为需要提交的其他资料。</w:t>
      </w:r>
    </w:p>
    <w:p>
      <w:pPr>
        <w:adjustRightInd w:val="0"/>
        <w:snapToGrid w:val="0"/>
        <w:spacing w:line="40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8.招标文件中要求提供的其他材料。</w:t>
      </w:r>
    </w:p>
    <w:p>
      <w:pPr>
        <w:pStyle w:val="179"/>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注：为方便评委评审，请投标供应商按评审评分项中所涉及的事项顺序进行编制，可以补充相关材料。</w:t>
      </w:r>
    </w:p>
    <w:p>
      <w:pPr>
        <w:pStyle w:val="179"/>
        <w:spacing w:line="400" w:lineRule="exact"/>
        <w:ind w:firstLine="48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三、价格标</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需分分包）</w:t>
      </w:r>
    </w:p>
    <w:p>
      <w:pPr>
        <w:pStyle w:val="19"/>
        <w:spacing w:after="0"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报价总表</w:t>
      </w:r>
      <w:r>
        <w:rPr>
          <w:rFonts w:hint="eastAsia" w:ascii="宋体" w:hAnsi="宋体" w:eastAsia="宋体" w:cs="宋体"/>
          <w:color w:val="auto"/>
          <w:sz w:val="28"/>
          <w:szCs w:val="28"/>
        </w:rPr>
        <w:t>。（格式参见第</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章）</w:t>
      </w:r>
    </w:p>
    <w:p>
      <w:pPr>
        <w:pStyle w:val="179"/>
        <w:spacing w:line="400" w:lineRule="exact"/>
        <w:ind w:firstLine="48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四、电子文件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电子文件的内容为资格审查文件、技术</w:t>
      </w:r>
      <w:r>
        <w:rPr>
          <w:rFonts w:hint="eastAsia" w:ascii="宋体" w:hAnsi="宋体" w:eastAsia="宋体" w:cs="宋体"/>
          <w:b w:val="0"/>
          <w:bCs/>
          <w:color w:val="auto"/>
          <w:sz w:val="28"/>
          <w:szCs w:val="28"/>
          <w:highlight w:val="none"/>
          <w:lang w:val="en-US" w:eastAsia="zh-CN"/>
        </w:rPr>
        <w:t>标</w:t>
      </w:r>
      <w:r>
        <w:rPr>
          <w:rFonts w:hint="eastAsia" w:ascii="宋体" w:hAnsi="宋体" w:eastAsia="宋体" w:cs="宋体"/>
          <w:b w:val="0"/>
          <w:bCs/>
          <w:color w:val="auto"/>
          <w:sz w:val="28"/>
          <w:szCs w:val="28"/>
          <w:highlight w:val="none"/>
        </w:rPr>
        <w:t>、价格</w:t>
      </w:r>
      <w:r>
        <w:rPr>
          <w:rFonts w:hint="eastAsia" w:ascii="宋体" w:hAnsi="宋体" w:eastAsia="宋体" w:cs="宋体"/>
          <w:b w:val="0"/>
          <w:bCs/>
          <w:color w:val="auto"/>
          <w:sz w:val="28"/>
          <w:szCs w:val="28"/>
          <w:highlight w:val="none"/>
          <w:lang w:val="en-US" w:eastAsia="zh-CN"/>
        </w:rPr>
        <w:t>标</w:t>
      </w:r>
      <w:r>
        <w:rPr>
          <w:rFonts w:hint="eastAsia" w:ascii="宋体" w:hAnsi="宋体" w:eastAsia="宋体" w:cs="宋体"/>
          <w:b w:val="0"/>
          <w:bCs/>
          <w:color w:val="auto"/>
          <w:sz w:val="28"/>
          <w:szCs w:val="28"/>
          <w:highlight w:val="none"/>
        </w:rPr>
        <w:t>打印盖章</w:t>
      </w:r>
      <w:r>
        <w:rPr>
          <w:rFonts w:hint="eastAsia" w:ascii="宋体" w:hAnsi="宋体" w:eastAsia="宋体" w:cs="宋体"/>
          <w:b w:val="0"/>
          <w:bCs/>
          <w:color w:val="auto"/>
          <w:sz w:val="28"/>
          <w:szCs w:val="28"/>
          <w:highlight w:val="none"/>
          <w:lang w:val="en-US" w:eastAsia="zh-CN"/>
        </w:rPr>
        <w:t>或电子签章</w:t>
      </w:r>
      <w:r>
        <w:rPr>
          <w:rFonts w:hint="eastAsia" w:ascii="宋体" w:hAnsi="宋体" w:eastAsia="宋体" w:cs="宋体"/>
          <w:b w:val="0"/>
          <w:bCs/>
          <w:color w:val="auto"/>
          <w:sz w:val="28"/>
          <w:szCs w:val="28"/>
          <w:highlight w:val="none"/>
        </w:rPr>
        <w:t>后的响应文件的扫描件（资格审查文件、技术</w:t>
      </w:r>
      <w:r>
        <w:rPr>
          <w:rFonts w:hint="eastAsia" w:ascii="宋体" w:hAnsi="宋体" w:eastAsia="宋体" w:cs="宋体"/>
          <w:b w:val="0"/>
          <w:bCs/>
          <w:color w:val="auto"/>
          <w:sz w:val="28"/>
          <w:szCs w:val="28"/>
          <w:highlight w:val="none"/>
          <w:lang w:val="en-US" w:eastAsia="zh-CN"/>
        </w:rPr>
        <w:t>标</w:t>
      </w:r>
      <w:r>
        <w:rPr>
          <w:rFonts w:hint="eastAsia" w:ascii="宋体" w:hAnsi="宋体" w:eastAsia="宋体" w:cs="宋体"/>
          <w:b w:val="0"/>
          <w:bCs/>
          <w:color w:val="auto"/>
          <w:sz w:val="28"/>
          <w:szCs w:val="28"/>
          <w:highlight w:val="none"/>
        </w:rPr>
        <w:t>、价格</w:t>
      </w:r>
      <w:r>
        <w:rPr>
          <w:rFonts w:hint="eastAsia" w:ascii="宋体" w:hAnsi="宋体" w:eastAsia="宋体" w:cs="宋体"/>
          <w:b w:val="0"/>
          <w:bCs/>
          <w:color w:val="auto"/>
          <w:sz w:val="28"/>
          <w:szCs w:val="28"/>
          <w:highlight w:val="none"/>
          <w:lang w:val="en-US" w:eastAsia="zh-CN"/>
        </w:rPr>
        <w:t>标</w:t>
      </w:r>
      <w:r>
        <w:rPr>
          <w:rFonts w:hint="eastAsia" w:ascii="宋体" w:hAnsi="宋体" w:eastAsia="宋体" w:cs="宋体"/>
          <w:b w:val="0"/>
          <w:bCs/>
          <w:color w:val="auto"/>
          <w:sz w:val="28"/>
          <w:szCs w:val="28"/>
          <w:highlight w:val="none"/>
        </w:rPr>
        <w:t>需分别逐页连续扫描为三个独立的PDF文件），可以采取U盘、电子光盘两种方式中任意一种方式提交，需单独密封提交。</w:t>
      </w:r>
      <w:r>
        <w:rPr>
          <w:rFonts w:hint="eastAsia" w:ascii="宋体" w:hAnsi="宋体" w:eastAsia="宋体" w:cs="宋体"/>
          <w:b w:val="0"/>
          <w:bCs/>
          <w:color w:val="auto"/>
          <w:sz w:val="28"/>
          <w:szCs w:val="28"/>
          <w:highlight w:val="none"/>
          <w:lang w:eastAsia="zh-CN"/>
        </w:rPr>
        <w:t>未按要求提供电子文件的，代理机构有权拒收其所有响应文件。</w:t>
      </w:r>
      <w:r>
        <w:rPr>
          <w:rFonts w:hint="eastAsia" w:ascii="宋体" w:hAnsi="宋体" w:eastAsia="宋体" w:cs="宋体"/>
          <w:b w:val="0"/>
          <w:bCs/>
          <w:color w:val="auto"/>
          <w:sz w:val="28"/>
          <w:szCs w:val="28"/>
          <w:highlight w:val="none"/>
        </w:rPr>
        <w:t>电子文件内容应与提交</w:t>
      </w:r>
      <w:r>
        <w:rPr>
          <w:rFonts w:hint="eastAsia" w:ascii="宋体" w:hAnsi="宋体" w:eastAsia="宋体" w:cs="宋体"/>
          <w:b w:val="0"/>
          <w:bCs/>
          <w:color w:val="auto"/>
          <w:sz w:val="28"/>
          <w:szCs w:val="28"/>
          <w:highlight w:val="none"/>
          <w:lang w:eastAsia="zh-CN"/>
        </w:rPr>
        <w:t>的</w:t>
      </w:r>
      <w:r>
        <w:rPr>
          <w:rFonts w:hint="eastAsia" w:ascii="宋体" w:hAnsi="宋体" w:eastAsia="宋体" w:cs="宋体"/>
          <w:b w:val="0"/>
          <w:bCs/>
          <w:color w:val="auto"/>
          <w:sz w:val="28"/>
          <w:szCs w:val="28"/>
          <w:highlight w:val="none"/>
        </w:rPr>
        <w:t>纸质响应文件内容一致。否则，由此产生的后果投标人自负。</w:t>
      </w:r>
    </w:p>
    <w:p>
      <w:pPr>
        <w:spacing w:line="400" w:lineRule="exact"/>
        <w:ind w:firstLine="42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32"/>
          <w:szCs w:val="32"/>
        </w:rPr>
        <w:t>附件：</w:t>
      </w:r>
    </w:p>
    <w:p>
      <w:pPr>
        <w:spacing w:line="360" w:lineRule="auto"/>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项目名称：</w:t>
      </w: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color w:val="auto"/>
          <w:sz w:val="30"/>
          <w:szCs w:val="30"/>
        </w:rPr>
        <w:t>项目编号：</w:t>
      </w:r>
    </w:p>
    <w:p>
      <w:pPr>
        <w:spacing w:line="360" w:lineRule="auto"/>
        <w:ind w:firstLine="3000" w:firstLineChars="1000"/>
        <w:rPr>
          <w:rFonts w:hint="eastAsia" w:ascii="宋体" w:hAnsi="宋体" w:eastAsia="宋体" w:cs="宋体"/>
          <w:color w:val="auto"/>
          <w:sz w:val="30"/>
          <w:szCs w:val="30"/>
        </w:rPr>
      </w:pPr>
    </w:p>
    <w:p>
      <w:pPr>
        <w:spacing w:line="360" w:lineRule="auto"/>
        <w:rPr>
          <w:rFonts w:hint="eastAsia" w:ascii="宋体" w:hAnsi="宋体" w:eastAsia="宋体" w:cs="宋体"/>
          <w:color w:val="auto"/>
          <w:sz w:val="36"/>
          <w:szCs w:val="36"/>
        </w:rPr>
      </w:pPr>
    </w:p>
    <w:p>
      <w:pPr>
        <w:spacing w:line="360" w:lineRule="auto"/>
        <w:rPr>
          <w:rFonts w:hint="eastAsia" w:ascii="宋体" w:hAnsi="宋体" w:eastAsia="宋体" w:cs="宋体"/>
          <w:color w:val="auto"/>
          <w:sz w:val="36"/>
          <w:szCs w:val="36"/>
        </w:rPr>
      </w:pPr>
    </w:p>
    <w:p>
      <w:pPr>
        <w:spacing w:line="360" w:lineRule="auto"/>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投标文件</w:t>
      </w:r>
    </w:p>
    <w:p>
      <w:pPr>
        <w:spacing w:line="360" w:lineRule="auto"/>
        <w:rPr>
          <w:rFonts w:hint="eastAsia" w:ascii="宋体" w:hAnsi="宋体" w:eastAsia="宋体" w:cs="宋体"/>
          <w:color w:val="auto"/>
          <w:sz w:val="28"/>
          <w:szCs w:val="28"/>
        </w:rPr>
      </w:pPr>
    </w:p>
    <w:p>
      <w:pPr>
        <w:spacing w:line="360" w:lineRule="auto"/>
        <w:ind w:firstLine="2400" w:firstLineChars="800"/>
        <w:rPr>
          <w:rFonts w:hint="eastAsia" w:ascii="宋体" w:hAnsi="宋体" w:eastAsia="宋体" w:cs="宋体"/>
          <w:color w:val="auto"/>
          <w:sz w:val="30"/>
          <w:szCs w:val="30"/>
        </w:rPr>
      </w:pPr>
      <w:r>
        <w:rPr>
          <w:rFonts w:hint="eastAsia" w:ascii="宋体" w:hAnsi="宋体" w:eastAsia="宋体" w:cs="宋体"/>
          <w:color w:val="auto"/>
          <w:sz w:val="30"/>
          <w:szCs w:val="30"/>
        </w:rPr>
        <w:t>对应投标文件填写：资格审查文件</w:t>
      </w:r>
    </w:p>
    <w:p>
      <w:pPr>
        <w:spacing w:line="360" w:lineRule="auto"/>
        <w:ind w:firstLine="2400" w:firstLineChars="800"/>
        <w:rPr>
          <w:rFonts w:hint="eastAsia" w:ascii="宋体" w:hAnsi="宋体" w:eastAsia="宋体" w:cs="宋体"/>
          <w:color w:val="auto"/>
          <w:sz w:val="30"/>
          <w:szCs w:val="30"/>
        </w:rPr>
      </w:pPr>
      <w:r>
        <w:rPr>
          <w:rFonts w:hint="eastAsia" w:ascii="宋体" w:hAnsi="宋体" w:eastAsia="宋体" w:cs="宋体"/>
          <w:color w:val="auto"/>
          <w:sz w:val="30"/>
          <w:szCs w:val="30"/>
        </w:rPr>
        <w:t>对应投标文件填写：技术标</w:t>
      </w:r>
    </w:p>
    <w:p>
      <w:pPr>
        <w:spacing w:line="360" w:lineRule="auto"/>
        <w:ind w:firstLine="2400" w:firstLineChars="800"/>
        <w:rPr>
          <w:rFonts w:hint="eastAsia" w:ascii="宋体" w:hAnsi="宋体" w:eastAsia="宋体" w:cs="宋体"/>
          <w:color w:val="auto"/>
          <w:sz w:val="30"/>
          <w:szCs w:val="30"/>
        </w:rPr>
      </w:pPr>
      <w:r>
        <w:rPr>
          <w:rFonts w:hint="eastAsia" w:ascii="宋体" w:hAnsi="宋体" w:eastAsia="宋体" w:cs="宋体"/>
          <w:color w:val="auto"/>
          <w:sz w:val="30"/>
          <w:szCs w:val="30"/>
        </w:rPr>
        <w:t>对应投标文件填写：价格标</w:t>
      </w:r>
    </w:p>
    <w:p>
      <w:pPr>
        <w:spacing w:line="360" w:lineRule="auto"/>
        <w:ind w:firstLine="2400" w:firstLineChars="8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对应投标文件填写：</w:t>
      </w:r>
      <w:r>
        <w:rPr>
          <w:rFonts w:hint="eastAsia" w:ascii="宋体" w:hAnsi="宋体" w:eastAsia="宋体" w:cs="宋体"/>
          <w:color w:val="auto"/>
          <w:sz w:val="30"/>
          <w:szCs w:val="30"/>
          <w:lang w:val="en-US" w:eastAsia="zh-CN"/>
        </w:rPr>
        <w:t>电子文件</w:t>
      </w: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（资格后审）</w:t>
      </w:r>
    </w:p>
    <w:p>
      <w:pPr>
        <w:jc w:val="center"/>
        <w:rPr>
          <w:rFonts w:hint="eastAsia" w:ascii="宋体" w:hAnsi="宋体" w:eastAsia="宋体" w:cs="宋体"/>
          <w:b/>
          <w:bCs/>
          <w:color w:val="auto"/>
          <w:sz w:val="44"/>
          <w:szCs w:val="44"/>
        </w:rPr>
      </w:pPr>
    </w:p>
    <w:p>
      <w:pPr>
        <w:snapToGrid w:val="0"/>
        <w:spacing w:line="520" w:lineRule="exact"/>
        <w:jc w:val="center"/>
        <w:rPr>
          <w:rFonts w:hint="eastAsia" w:ascii="宋体" w:hAnsi="宋体" w:eastAsia="宋体" w:cs="宋体"/>
          <w:color w:val="auto"/>
          <w:sz w:val="28"/>
          <w:szCs w:val="28"/>
        </w:rPr>
      </w:pPr>
      <w:r>
        <w:rPr>
          <w:rFonts w:hint="eastAsia" w:ascii="宋体" w:hAnsi="宋体" w:eastAsia="宋体" w:cs="宋体"/>
          <w:b/>
          <w:bCs/>
          <w:color w:val="auto"/>
          <w:sz w:val="44"/>
          <w:szCs w:val="44"/>
        </w:rPr>
        <w:t xml:space="preserve"> </w:t>
      </w:r>
    </w:p>
    <w:p>
      <w:pPr>
        <w:spacing w:line="360" w:lineRule="auto"/>
        <w:rPr>
          <w:rFonts w:hint="eastAsia" w:ascii="宋体" w:hAnsi="宋体" w:eastAsia="宋体" w:cs="宋体"/>
          <w:color w:val="auto"/>
          <w:sz w:val="28"/>
          <w:szCs w:val="28"/>
        </w:rPr>
      </w:pPr>
    </w:p>
    <w:p>
      <w:pPr>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投标供应商：参加投标供应商全称（公章）</w:t>
      </w:r>
    </w:p>
    <w:p>
      <w:pPr>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日  期：      年  月  日</w:t>
      </w:r>
    </w:p>
    <w:p>
      <w:pPr>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 xml:space="preserve"> </w:t>
      </w:r>
    </w:p>
    <w:p>
      <w:pPr>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8"/>
          <w:szCs w:val="28"/>
        </w:rPr>
        <w:t>一、资格审查文件相关的格式文件及表格</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法定代表人身份证明</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（法定代表人参加投标时，须出示此证明）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江苏省南通卫生高等职业技术学校</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（采购项目名称及项目编号)项目公开招标采购活动，全权代表我公司处理投标的有关事宜。</w:t>
      </w:r>
    </w:p>
    <w:p>
      <w:pPr>
        <w:spacing w:line="360" w:lineRule="auto"/>
        <w:ind w:firstLine="480" w:firstLineChars="200"/>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附：法定代表人情况：</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手机：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单位名称（公章）             法定代表人（签字或盖章）</w:t>
      </w:r>
    </w:p>
    <w:p>
      <w:pPr>
        <w:spacing w:line="360" w:lineRule="auto"/>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年   月    日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ind w:firstLine="2280" w:firstLineChars="950"/>
        <w:rPr>
          <w:rFonts w:hint="eastAsia" w:ascii="宋体" w:hAnsi="宋体" w:eastAsia="宋体" w:cs="宋体"/>
          <w:color w:val="auto"/>
          <w:sz w:val="24"/>
          <w:szCs w:val="24"/>
        </w:rPr>
      </w:pPr>
      <w:r>
        <w:rPr>
          <w:rFonts w:hint="eastAsia" w:ascii="宋体" w:hAnsi="宋体" w:eastAsia="宋体" w:cs="宋体"/>
          <w:color w:val="auto"/>
          <w:sz w:val="24"/>
          <w:szCs w:val="24"/>
        </w:rPr>
        <w:t>（粘贴此处）</w:t>
      </w:r>
    </w:p>
    <w:p>
      <w:pPr>
        <w:spacing w:line="360" w:lineRule="auto"/>
        <w:ind w:firstLine="2289" w:firstLineChars="95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授权委托书</w:t>
      </w:r>
    </w:p>
    <w:p>
      <w:pPr>
        <w:snapToGrid w:val="0"/>
        <w:spacing w:line="360" w:lineRule="auto"/>
        <w:jc w:val="center"/>
        <w:rPr>
          <w:rFonts w:hint="eastAsia" w:ascii="宋体" w:hAnsi="宋体" w:eastAsia="宋体" w:cs="宋体"/>
          <w:color w:val="auto"/>
          <w:sz w:val="24"/>
          <w:szCs w:val="24"/>
          <w:u w:val="single"/>
        </w:rPr>
      </w:pPr>
      <w:bookmarkStart w:id="4" w:name="_Toc360526534"/>
      <w:r>
        <w:rPr>
          <w:rFonts w:hint="eastAsia" w:ascii="宋体" w:hAnsi="宋体" w:eastAsia="宋体" w:cs="宋体"/>
          <w:color w:val="auto"/>
          <w:sz w:val="24"/>
          <w:szCs w:val="24"/>
          <w:u w:val="single"/>
        </w:rPr>
        <w:t>（被授权人参加投标时，须出示此证明）</w:t>
      </w:r>
    </w:p>
    <w:p>
      <w:pPr>
        <w:snapToGrid w:val="0"/>
        <w:spacing w:line="360" w:lineRule="auto"/>
        <w:rPr>
          <w:rFonts w:hint="eastAsia" w:ascii="宋体" w:hAnsi="宋体" w:eastAsia="宋体" w:cs="宋体"/>
          <w:color w:val="auto"/>
          <w:sz w:val="24"/>
          <w:szCs w:val="24"/>
        </w:rPr>
      </w:pPr>
    </w:p>
    <w:p>
      <w:pPr>
        <w:snapToGrid w:val="0"/>
        <w:spacing w:line="360" w:lineRule="auto"/>
        <w:rPr>
          <w:rFonts w:hint="eastAsia" w:ascii="宋体" w:hAnsi="宋体" w:eastAsia="宋体" w:cs="宋体"/>
          <w:color w:val="auto"/>
          <w:sz w:val="24"/>
          <w:szCs w:val="24"/>
        </w:rPr>
      </w:pP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江苏省南通卫生高等职业技术学校</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被授权人的姓名）代表我公司参加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（采购项目名称及项目编号)项目的采购活动，全权处理一切与该项目公开招标有关的事务。其在办理上述事宜过程中所签署的所有文件我公司均予以承认。</w:t>
      </w:r>
    </w:p>
    <w:p>
      <w:pPr>
        <w:pStyle w:val="29"/>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被授权人无转委托权，特此委托。</w:t>
      </w:r>
    </w:p>
    <w:p>
      <w:pPr>
        <w:pStyle w:val="29"/>
        <w:adjustRightInd w:val="0"/>
        <w:snapToGrid w:val="0"/>
        <w:spacing w:line="360" w:lineRule="auto"/>
        <w:ind w:firstLine="480" w:firstLineChars="200"/>
        <w:jc w:val="left"/>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附：被授权人情况：</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单位名称（公章）             法定代表人（签字或盖章）</w:t>
      </w:r>
    </w:p>
    <w:p>
      <w:pPr>
        <w:spacing w:line="360" w:lineRule="auto"/>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年   月    日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ind w:firstLine="2280" w:firstLineChars="950"/>
        <w:rPr>
          <w:rFonts w:hint="eastAsia" w:ascii="宋体" w:hAnsi="宋体" w:eastAsia="宋体" w:cs="宋体"/>
          <w:color w:val="auto"/>
          <w:sz w:val="24"/>
          <w:szCs w:val="24"/>
        </w:rPr>
      </w:pPr>
      <w:r>
        <w:rPr>
          <w:rFonts w:hint="eastAsia" w:ascii="宋体" w:hAnsi="宋体" w:eastAsia="宋体" w:cs="宋体"/>
          <w:color w:val="auto"/>
          <w:sz w:val="24"/>
          <w:szCs w:val="24"/>
        </w:rPr>
        <w:t>（粘贴此处）</w:t>
      </w:r>
    </w:p>
    <w:p>
      <w:pPr>
        <w:spacing w:line="360" w:lineRule="auto"/>
        <w:ind w:firstLine="2289" w:firstLineChars="950"/>
        <w:rPr>
          <w:rFonts w:hint="eastAsia" w:ascii="宋体" w:hAnsi="宋体" w:eastAsia="宋体" w:cs="宋体"/>
          <w:b/>
          <w:bCs/>
          <w:color w:val="auto"/>
          <w:sz w:val="24"/>
          <w:szCs w:val="24"/>
        </w:rPr>
      </w:pPr>
    </w:p>
    <w:p>
      <w:pPr>
        <w:snapToGrid w:val="0"/>
        <w:spacing w:line="360" w:lineRule="auto"/>
        <w:jc w:val="center"/>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3、资格声明函</w:t>
      </w:r>
    </w:p>
    <w:p>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bCs/>
          <w:color w:val="auto"/>
          <w:sz w:val="24"/>
        </w:rPr>
        <w:t>我单位参加</w:t>
      </w:r>
      <w:r>
        <w:rPr>
          <w:rFonts w:hint="eastAsia" w:ascii="宋体" w:hAnsi="宋体" w:eastAsia="宋体" w:cs="宋体"/>
          <w:bCs/>
          <w:color w:val="auto"/>
          <w:sz w:val="24"/>
          <w:u w:val="single"/>
        </w:rPr>
        <w:t>________________ _</w:t>
      </w:r>
      <w:r>
        <w:rPr>
          <w:rFonts w:hint="eastAsia" w:ascii="宋体" w:hAnsi="宋体" w:eastAsia="宋体" w:cs="宋体"/>
          <w:bCs/>
          <w:color w:val="auto"/>
          <w:sz w:val="24"/>
        </w:rPr>
        <w:t>（项目名称），</w:t>
      </w:r>
      <w:r>
        <w:rPr>
          <w:rFonts w:hint="eastAsia" w:ascii="宋体" w:hAnsi="宋体" w:eastAsia="宋体" w:cs="宋体"/>
          <w:bCs/>
          <w:color w:val="auto"/>
          <w:sz w:val="24"/>
          <w:u w:val="single"/>
        </w:rPr>
        <w:t>_______ __________</w:t>
      </w:r>
      <w:r>
        <w:rPr>
          <w:rFonts w:hint="eastAsia" w:ascii="宋体" w:hAnsi="宋体" w:eastAsia="宋体" w:cs="宋体"/>
          <w:bCs/>
          <w:color w:val="auto"/>
          <w:sz w:val="24"/>
        </w:rPr>
        <w:t>（项目编号）投标活动，现做出如下声明：</w:t>
      </w:r>
    </w:p>
    <w:p>
      <w:pPr>
        <w:spacing w:line="520" w:lineRule="exact"/>
        <w:ind w:firstLine="482"/>
        <w:rPr>
          <w:rFonts w:hint="eastAsia" w:ascii="宋体" w:hAnsi="宋体" w:eastAsia="宋体" w:cs="宋体"/>
          <w:color w:val="auto"/>
          <w:sz w:val="24"/>
        </w:rPr>
      </w:pPr>
      <w:r>
        <w:rPr>
          <w:rFonts w:hint="eastAsia" w:ascii="宋体" w:hAnsi="宋体" w:eastAsia="宋体" w:cs="宋体"/>
          <w:bCs/>
          <w:color w:val="auto"/>
          <w:sz w:val="24"/>
        </w:rPr>
        <w:t>1.我单位具有独立承担民事责任的能力；</w:t>
      </w:r>
    </w:p>
    <w:p>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2.我单位具有良好的商业信誉和健全的财务会计制度；</w:t>
      </w:r>
    </w:p>
    <w:p>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3.我单位具有履行合同所必需的设备和专业技术能力；</w:t>
      </w:r>
    </w:p>
    <w:p>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4.我单位有依法缴纳税收和社会保障资金的良好记录；</w:t>
      </w:r>
    </w:p>
    <w:p>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5.我单位参加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6.我单位满足法律、行政法规规定的其他条件。</w:t>
      </w:r>
    </w:p>
    <w:p>
      <w:pPr>
        <w:spacing w:line="500" w:lineRule="exact"/>
        <w:ind w:firstLine="482"/>
        <w:rPr>
          <w:rFonts w:hint="eastAsia" w:ascii="宋体" w:hAnsi="宋体" w:eastAsia="宋体" w:cs="宋体"/>
          <w:color w:val="auto"/>
          <w:sz w:val="24"/>
        </w:rPr>
      </w:pPr>
    </w:p>
    <w:p>
      <w:pPr>
        <w:spacing w:line="500" w:lineRule="exact"/>
        <w:rPr>
          <w:rFonts w:hint="eastAsia" w:ascii="宋体" w:hAnsi="宋体" w:eastAsia="宋体" w:cs="宋体"/>
          <w:color w:val="auto"/>
          <w:sz w:val="24"/>
        </w:rPr>
      </w:pPr>
    </w:p>
    <w:p>
      <w:pPr>
        <w:spacing w:line="500" w:lineRule="exact"/>
        <w:rPr>
          <w:rFonts w:hint="eastAsia" w:ascii="宋体" w:hAnsi="宋体" w:eastAsia="宋体" w:cs="宋体"/>
          <w:bCs/>
          <w:color w:val="auto"/>
          <w:sz w:val="24"/>
        </w:rPr>
      </w:pPr>
    </w:p>
    <w:p>
      <w:pPr>
        <w:spacing w:line="500" w:lineRule="exact"/>
        <w:rPr>
          <w:rFonts w:hint="eastAsia" w:ascii="宋体" w:hAnsi="宋体" w:eastAsia="宋体" w:cs="宋体"/>
          <w:bCs/>
          <w:color w:val="auto"/>
          <w:sz w:val="24"/>
        </w:rPr>
      </w:pPr>
    </w:p>
    <w:p>
      <w:pPr>
        <w:spacing w:line="500" w:lineRule="exact"/>
        <w:rPr>
          <w:rFonts w:hint="eastAsia" w:ascii="宋体" w:hAnsi="宋体" w:eastAsia="宋体" w:cs="宋体"/>
          <w:bCs/>
          <w:color w:val="auto"/>
          <w:sz w:val="24"/>
        </w:rPr>
      </w:pPr>
    </w:p>
    <w:p>
      <w:pPr>
        <w:spacing w:line="460" w:lineRule="exact"/>
        <w:jc w:val="center"/>
        <w:rPr>
          <w:rFonts w:hint="eastAsia" w:ascii="宋体" w:hAnsi="宋体" w:eastAsia="宋体" w:cs="宋体"/>
          <w:bCs/>
          <w:color w:val="auto"/>
          <w:sz w:val="24"/>
        </w:rPr>
      </w:pPr>
      <w:r>
        <w:rPr>
          <w:rFonts w:hint="eastAsia" w:ascii="宋体" w:hAnsi="宋体" w:eastAsia="宋体" w:cs="宋体"/>
          <w:bCs/>
          <w:color w:val="auto"/>
          <w:sz w:val="24"/>
        </w:rPr>
        <w:t xml:space="preserve">                                             承诺人名称（公章）：</w:t>
      </w:r>
    </w:p>
    <w:p>
      <w:pPr>
        <w:spacing w:line="460" w:lineRule="exact"/>
        <w:jc w:val="right"/>
        <w:rPr>
          <w:rFonts w:hint="eastAsia" w:ascii="宋体" w:hAnsi="宋体" w:eastAsia="宋体" w:cs="宋体"/>
          <w:bCs/>
          <w:color w:val="auto"/>
          <w:sz w:val="24"/>
        </w:rPr>
      </w:pPr>
    </w:p>
    <w:p>
      <w:pPr>
        <w:spacing w:line="460" w:lineRule="exact"/>
        <w:jc w:val="right"/>
        <w:rPr>
          <w:rFonts w:hint="eastAsia" w:ascii="宋体" w:hAnsi="宋体" w:eastAsia="宋体" w:cs="宋体"/>
          <w:bCs/>
          <w:color w:val="auto"/>
          <w:sz w:val="24"/>
        </w:rPr>
      </w:pPr>
      <w:r>
        <w:rPr>
          <w:rFonts w:hint="eastAsia" w:ascii="宋体" w:hAnsi="宋体" w:eastAsia="宋体" w:cs="宋体"/>
          <w:bCs/>
          <w:color w:val="auto"/>
          <w:sz w:val="24"/>
        </w:rPr>
        <w:t xml:space="preserve">                                 日期：</w:t>
      </w:r>
      <w:r>
        <w:rPr>
          <w:rFonts w:hint="eastAsia" w:ascii="宋体" w:hAnsi="宋体" w:eastAsia="宋体" w:cs="宋体"/>
          <w:bCs/>
          <w:color w:val="auto"/>
          <w:sz w:val="24"/>
          <w:u w:val="single"/>
        </w:rPr>
        <w:t>______</w:t>
      </w:r>
      <w:r>
        <w:rPr>
          <w:rFonts w:hint="eastAsia" w:ascii="宋体" w:hAnsi="宋体" w:eastAsia="宋体" w:cs="宋体"/>
          <w:bCs/>
          <w:color w:val="auto"/>
          <w:sz w:val="24"/>
        </w:rPr>
        <w:t>年月日</w:t>
      </w:r>
    </w:p>
    <w:p>
      <w:pPr>
        <w:rPr>
          <w:rFonts w:hint="eastAsia" w:ascii="宋体" w:hAnsi="宋体" w:eastAsia="宋体" w:cs="宋体"/>
          <w:color w:val="auto"/>
        </w:rPr>
      </w:pPr>
    </w:p>
    <w:p>
      <w:pPr>
        <w:spacing w:line="480" w:lineRule="exact"/>
        <w:rPr>
          <w:rFonts w:hint="eastAsia" w:ascii="宋体" w:hAnsi="宋体" w:eastAsia="宋体" w:cs="宋体"/>
          <w:color w:val="auto"/>
          <w:sz w:val="28"/>
          <w:szCs w:val="28"/>
        </w:rPr>
      </w:pPr>
      <w:r>
        <w:rPr>
          <w:rFonts w:hint="eastAsia" w:ascii="宋体" w:hAnsi="宋体" w:eastAsia="宋体" w:cs="宋体"/>
          <w:b/>
          <w:bCs/>
          <w:color w:val="auto"/>
          <w:sz w:val="24"/>
          <w:szCs w:val="24"/>
        </w:rPr>
        <w:br w:type="page"/>
      </w:r>
      <w:r>
        <w:rPr>
          <w:rFonts w:hint="eastAsia" w:ascii="宋体" w:hAnsi="宋体" w:eastAsia="宋体" w:cs="宋体"/>
          <w:b/>
          <w:bCs/>
          <w:color w:val="auto"/>
          <w:sz w:val="28"/>
          <w:szCs w:val="28"/>
        </w:rPr>
        <w:t>二、技术标相关的格式文件及表格</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1、投标响应函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江苏省南通卫生高等职业技术学校</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依据贵单位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（投标项目名称及项目编号）项目采购的邀请，我方授权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（职务）为全权代表参加该项目的投标工作，全权处理本次采购的有关事宜。同时，我公司声明如下：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1、同意并接受招标文件的各项要求，遵守招标文件中的各项规定，按招标文件的要求提供报价。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2、我方已经详细阅读了全部招标文件及其附件，完全清晰理解招标文件的要求，不存在任何含糊不清和误解之处，同意放弃对这些文件所提出的异议和质疑的权利。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3、我方已毫无保留地向贵方提供一切所需的证明材料。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4、我公司承诺在本次投标响应中提供的一切文件，无论是原件还是复印件均真实有效，绝无任何虚假、伪造和夸大的成份。否则，愿承担相应的后果和法律责任。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5、我方尊重评标委员会所作的评定结果，同时清楚理解到报价最低并非意味着必定获得成交资格。</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6、一旦我方成交,我方将根据招标文件的规定，严格履行合同的责任和义务,并保证按招标文件规定的项目工期时间内完成，交付采购人验收、使用。</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（加盖公章）</w:t>
      </w:r>
    </w:p>
    <w:p>
      <w:pPr>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360" w:lineRule="auto"/>
        <w:ind w:firstLine="1320" w:firstLineChars="55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pPr>
        <w:spacing w:line="360" w:lineRule="auto"/>
        <w:jc w:val="right"/>
        <w:rPr>
          <w:rFonts w:hint="eastAsia" w:ascii="宋体" w:hAnsi="宋体" w:eastAsia="宋体" w:cs="宋体"/>
          <w:b/>
          <w:bCs/>
          <w:color w:val="auto"/>
          <w:sz w:val="24"/>
          <w:szCs w:val="24"/>
        </w:rPr>
      </w:pPr>
      <w:bookmarkStart w:id="5" w:name="_Toc342487729"/>
      <w:bookmarkStart w:id="6" w:name="_Toc360526535"/>
    </w:p>
    <w:p>
      <w:pPr>
        <w:spacing w:line="360" w:lineRule="auto"/>
        <w:jc w:val="right"/>
        <w:rPr>
          <w:rFonts w:hint="eastAsia" w:ascii="宋体" w:hAnsi="宋体" w:eastAsia="宋体" w:cs="宋体"/>
          <w:b/>
          <w:bCs/>
          <w:color w:val="auto"/>
          <w:sz w:val="24"/>
          <w:szCs w:val="24"/>
        </w:rPr>
      </w:pPr>
    </w:p>
    <w:p>
      <w:pPr>
        <w:spacing w:line="360" w:lineRule="auto"/>
        <w:jc w:val="right"/>
        <w:rPr>
          <w:rFonts w:hint="eastAsia" w:ascii="宋体" w:hAnsi="宋体" w:eastAsia="宋体" w:cs="宋体"/>
          <w:b/>
          <w:bCs/>
          <w:color w:val="auto"/>
          <w:sz w:val="24"/>
          <w:szCs w:val="24"/>
        </w:rPr>
        <w:sectPr>
          <w:pgSz w:w="11906" w:h="16838"/>
          <w:pgMar w:top="1440" w:right="1800" w:bottom="1440" w:left="1800" w:header="851" w:footer="992" w:gutter="0"/>
          <w:cols w:space="425" w:num="1"/>
          <w:docGrid w:type="lines" w:linePitch="312" w:charSpace="0"/>
        </w:sectPr>
      </w:pPr>
    </w:p>
    <w:p>
      <w:pPr>
        <w:snapToGrid w:val="0"/>
        <w:spacing w:line="300" w:lineRule="auto"/>
        <w:contextualSpacing/>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2.商务部分正负偏离表</w:t>
      </w:r>
    </w:p>
    <w:p>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56"/>
        <w:tblW w:w="507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1"/>
        <w:gridCol w:w="2290"/>
        <w:gridCol w:w="1982"/>
        <w:gridCol w:w="2140"/>
        <w:gridCol w:w="14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32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货物或服务名称</w:t>
            </w:r>
          </w:p>
        </w:tc>
        <w:tc>
          <w:tcPr>
            <w:tcW w:w="11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招标文件要求的商务条款</w:t>
            </w:r>
          </w:p>
        </w:tc>
        <w:tc>
          <w:tcPr>
            <w:tcW w:w="1236"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响应文件响应情况</w:t>
            </w:r>
          </w:p>
        </w:tc>
        <w:tc>
          <w:tcPr>
            <w:tcW w:w="843"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宋体" w:hAnsi="宋体" w:eastAsia="宋体" w:cs="宋体"/>
                <w:color w:val="auto"/>
                <w:sz w:val="28"/>
                <w:szCs w:val="28"/>
              </w:rPr>
            </w:pPr>
          </w:p>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1"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32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14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843"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1"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32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14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843"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1"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32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14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843"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1"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132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14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843"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8"/>
                <w:szCs w:val="28"/>
              </w:rPr>
            </w:pPr>
          </w:p>
        </w:tc>
      </w:tr>
    </w:tbl>
    <w:p>
      <w:pPr>
        <w:snapToGrid w:val="0"/>
        <w:spacing w:line="300" w:lineRule="auto"/>
        <w:contextualSpacing/>
        <w:rPr>
          <w:rFonts w:hint="eastAsia" w:ascii="宋体" w:hAnsi="宋体" w:eastAsia="宋体" w:cs="宋体"/>
          <w:b/>
          <w:color w:val="auto"/>
          <w:sz w:val="28"/>
          <w:szCs w:val="28"/>
        </w:rPr>
      </w:pPr>
      <w:r>
        <w:rPr>
          <w:rFonts w:hint="eastAsia" w:ascii="宋体" w:hAnsi="宋体" w:eastAsia="宋体" w:cs="宋体"/>
          <w:b/>
          <w:color w:val="auto"/>
          <w:sz w:val="28"/>
          <w:szCs w:val="28"/>
        </w:rPr>
        <w:t>注：</w:t>
      </w:r>
    </w:p>
    <w:p>
      <w:pPr>
        <w:snapToGrid w:val="0"/>
        <w:spacing w:line="300" w:lineRule="auto"/>
        <w:ind w:firstLine="560" w:firstLineChars="200"/>
        <w:contextualSpacing/>
        <w:rPr>
          <w:rFonts w:hint="eastAsia" w:ascii="宋体" w:hAnsi="宋体" w:eastAsia="宋体" w:cs="宋体"/>
          <w:color w:val="auto"/>
          <w:sz w:val="28"/>
          <w:szCs w:val="28"/>
        </w:rPr>
      </w:pPr>
      <w:r>
        <w:rPr>
          <w:rFonts w:hint="eastAsia" w:ascii="宋体" w:hAnsi="宋体" w:eastAsia="宋体" w:cs="宋体"/>
          <w:color w:val="auto"/>
          <w:sz w:val="28"/>
          <w:szCs w:val="28"/>
        </w:rPr>
        <w:t>1.供应商提交的响应文件中与招标文件第三部分“项目需求”中的商务部分的要求，应逐条填列在偏离表中。</w:t>
      </w:r>
    </w:p>
    <w:p>
      <w:pPr>
        <w:snapToGrid w:val="0"/>
        <w:spacing w:line="300" w:lineRule="auto"/>
        <w:ind w:firstLine="560" w:firstLineChars="200"/>
        <w:contextualSpacing/>
        <w:rPr>
          <w:rFonts w:hint="eastAsia" w:ascii="宋体" w:hAnsi="宋体" w:eastAsia="宋体" w:cs="宋体"/>
          <w:color w:val="auto"/>
          <w:sz w:val="28"/>
          <w:szCs w:val="28"/>
        </w:rPr>
      </w:pPr>
      <w:r>
        <w:rPr>
          <w:rFonts w:hint="eastAsia" w:ascii="宋体" w:hAnsi="宋体" w:eastAsia="宋体" w:cs="宋体"/>
          <w:color w:val="auto"/>
          <w:sz w:val="28"/>
          <w:szCs w:val="28"/>
        </w:rPr>
        <w:t>2.“偏离说明”一栏选择“正偏离”、“负偏离”、“无偏离”进行填写。正偏离、负偏离、无偏离的确认，由评标小组认定。</w:t>
      </w:r>
    </w:p>
    <w:p>
      <w:pPr>
        <w:snapToGrid w:val="0"/>
        <w:spacing w:line="300" w:lineRule="auto"/>
        <w:ind w:firstLine="560" w:firstLineChars="200"/>
        <w:contextualSpacing/>
        <w:rPr>
          <w:rFonts w:hint="eastAsia" w:ascii="宋体" w:hAnsi="宋体" w:eastAsia="宋体" w:cs="宋体"/>
          <w:bCs/>
          <w:color w:val="auto"/>
          <w:sz w:val="24"/>
        </w:rPr>
      </w:pPr>
      <w:r>
        <w:rPr>
          <w:rFonts w:hint="eastAsia" w:ascii="宋体" w:hAnsi="宋体" w:eastAsia="宋体" w:cs="宋体"/>
          <w:bCs/>
          <w:color w:val="auto"/>
          <w:sz w:val="28"/>
          <w:szCs w:val="28"/>
        </w:rPr>
        <w:t>3.供应商若提供其他增值服务，可以在表中自行据实填写。</w:t>
      </w: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ind w:firstLine="540" w:firstLineChars="192"/>
        <w:contextualSpacing/>
        <w:rPr>
          <w:rFonts w:hint="eastAsia" w:ascii="宋体" w:hAnsi="宋体" w:eastAsia="宋体" w:cs="宋体"/>
          <w:b/>
          <w:color w:val="auto"/>
          <w:kern w:val="0"/>
          <w:sz w:val="28"/>
          <w:szCs w:val="28"/>
        </w:rPr>
      </w:pPr>
    </w:p>
    <w:p>
      <w:pPr>
        <w:snapToGrid w:val="0"/>
        <w:spacing w:line="400" w:lineRule="exact"/>
        <w:contextualSpacing/>
        <w:rPr>
          <w:rFonts w:hint="eastAsia" w:ascii="宋体" w:hAnsi="宋体" w:eastAsia="宋体" w:cs="宋体"/>
          <w:color w:val="auto"/>
          <w:kern w:val="0"/>
          <w:sz w:val="28"/>
          <w:szCs w:val="28"/>
        </w:rPr>
      </w:pPr>
    </w:p>
    <w:p>
      <w:pPr>
        <w:snapToGrid w:val="0"/>
        <w:spacing w:line="300" w:lineRule="auto"/>
        <w:contextualSpacing/>
        <w:jc w:val="both"/>
        <w:rPr>
          <w:rFonts w:hint="eastAsia" w:ascii="宋体" w:hAnsi="宋体" w:eastAsia="宋体" w:cs="宋体"/>
          <w:b/>
          <w:color w:val="auto"/>
          <w:sz w:val="28"/>
          <w:szCs w:val="28"/>
        </w:rPr>
      </w:pPr>
    </w:p>
    <w:p>
      <w:pPr>
        <w:snapToGrid w:val="0"/>
        <w:spacing w:line="300" w:lineRule="auto"/>
        <w:contextualSpacing/>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3.技术部分正负偏离表</w:t>
      </w:r>
    </w:p>
    <w:p>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56"/>
        <w:tblW w:w="517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8"/>
        <w:gridCol w:w="2214"/>
        <w:gridCol w:w="1921"/>
        <w:gridCol w:w="2479"/>
        <w:gridCol w:w="14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4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25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货物或服务名称</w:t>
            </w:r>
          </w:p>
        </w:tc>
        <w:tc>
          <w:tcPr>
            <w:tcW w:w="1089"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招标文件要求的技术要求</w:t>
            </w:r>
          </w:p>
        </w:tc>
        <w:tc>
          <w:tcPr>
            <w:tcW w:w="140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响应文件响应情况</w:t>
            </w:r>
          </w:p>
        </w:tc>
        <w:tc>
          <w:tcPr>
            <w:tcW w:w="80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宋体" w:hAnsi="宋体" w:eastAsia="宋体" w:cs="宋体"/>
                <w:color w:val="auto"/>
                <w:sz w:val="28"/>
                <w:szCs w:val="28"/>
              </w:rPr>
            </w:pPr>
          </w:p>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41"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25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08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40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80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41"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25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08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40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80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1"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25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08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40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80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41"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125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08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140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eastAsia="宋体" w:cs="宋体"/>
                <w:color w:val="auto"/>
                <w:sz w:val="28"/>
                <w:szCs w:val="28"/>
              </w:rPr>
            </w:pPr>
          </w:p>
        </w:tc>
        <w:tc>
          <w:tcPr>
            <w:tcW w:w="80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宋体" w:hAnsi="宋体" w:eastAsia="宋体" w:cs="宋体"/>
                <w:color w:val="auto"/>
                <w:sz w:val="28"/>
                <w:szCs w:val="28"/>
              </w:rPr>
            </w:pPr>
          </w:p>
        </w:tc>
      </w:tr>
    </w:tbl>
    <w:p>
      <w:pPr>
        <w:snapToGrid w:val="0"/>
        <w:spacing w:line="300" w:lineRule="auto"/>
        <w:contextualSpacing/>
        <w:rPr>
          <w:rFonts w:hint="eastAsia" w:ascii="宋体" w:hAnsi="宋体" w:eastAsia="宋体" w:cs="宋体"/>
          <w:b/>
          <w:color w:val="auto"/>
          <w:sz w:val="28"/>
          <w:szCs w:val="28"/>
        </w:rPr>
      </w:pPr>
      <w:r>
        <w:rPr>
          <w:rFonts w:hint="eastAsia" w:ascii="宋体" w:hAnsi="宋体" w:eastAsia="宋体" w:cs="宋体"/>
          <w:b/>
          <w:color w:val="auto"/>
          <w:sz w:val="28"/>
          <w:szCs w:val="28"/>
        </w:rPr>
        <w:t>注：</w:t>
      </w:r>
    </w:p>
    <w:p>
      <w:pPr>
        <w:snapToGrid w:val="0"/>
        <w:spacing w:line="300" w:lineRule="auto"/>
        <w:ind w:firstLine="560" w:firstLineChars="200"/>
        <w:contextualSpacing/>
        <w:rPr>
          <w:rFonts w:hint="eastAsia" w:ascii="宋体" w:hAnsi="宋体" w:eastAsia="宋体" w:cs="宋体"/>
          <w:color w:val="auto"/>
          <w:sz w:val="28"/>
          <w:szCs w:val="28"/>
        </w:rPr>
      </w:pPr>
      <w:r>
        <w:rPr>
          <w:rFonts w:hint="eastAsia" w:ascii="宋体" w:hAnsi="宋体" w:eastAsia="宋体" w:cs="宋体"/>
          <w:color w:val="auto"/>
          <w:sz w:val="28"/>
          <w:szCs w:val="28"/>
        </w:rPr>
        <w:t>1.供应商提交的响应文件中与招标文件第三部分“项目需求”中的技术部分的要求，应逐条填列在偏离表中。</w:t>
      </w:r>
    </w:p>
    <w:p>
      <w:pPr>
        <w:snapToGrid w:val="0"/>
        <w:spacing w:line="300" w:lineRule="auto"/>
        <w:ind w:firstLine="560" w:firstLineChars="200"/>
        <w:contextualSpacing/>
        <w:rPr>
          <w:rFonts w:hint="eastAsia" w:ascii="宋体" w:hAnsi="宋体" w:eastAsia="宋体" w:cs="宋体"/>
          <w:color w:val="auto"/>
          <w:sz w:val="28"/>
          <w:szCs w:val="28"/>
        </w:rPr>
      </w:pPr>
      <w:r>
        <w:rPr>
          <w:rFonts w:hint="eastAsia" w:ascii="宋体" w:hAnsi="宋体" w:eastAsia="宋体" w:cs="宋体"/>
          <w:color w:val="auto"/>
          <w:sz w:val="28"/>
          <w:szCs w:val="28"/>
        </w:rPr>
        <w:t>2.“偏离说明”一栏选择“正偏离”、“负偏离”、“无偏离”进行填写。正偏离、负偏离、无偏离的确认，由评标小组认定。</w:t>
      </w:r>
    </w:p>
    <w:p>
      <w:pPr>
        <w:snapToGrid w:val="0"/>
        <w:spacing w:line="300" w:lineRule="auto"/>
        <w:ind w:firstLine="560" w:firstLineChars="200"/>
        <w:contextualSpacing/>
        <w:rPr>
          <w:rFonts w:hint="eastAsia" w:ascii="宋体" w:hAnsi="宋体" w:eastAsia="宋体" w:cs="宋体"/>
          <w:color w:val="auto"/>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auto"/>
          <w:sz w:val="28"/>
          <w:szCs w:val="28"/>
        </w:rPr>
        <w:t>3..供应商若提供其他增值服务，可以在表中自行据实填写。</w:t>
      </w:r>
    </w:p>
    <w:bookmarkEnd w:id="4"/>
    <w:bookmarkEnd w:id="5"/>
    <w:bookmarkEnd w:id="6"/>
    <w:p>
      <w:pPr>
        <w:spacing w:line="360" w:lineRule="auto"/>
        <w:ind w:right="480"/>
        <w:rPr>
          <w:rFonts w:hint="eastAsia" w:ascii="宋体" w:hAnsi="宋体" w:eastAsia="宋体" w:cs="宋体"/>
          <w:b/>
          <w:bCs/>
          <w:color w:val="auto"/>
          <w:sz w:val="24"/>
          <w:szCs w:val="24"/>
        </w:rPr>
      </w:pPr>
    </w:p>
    <w:p>
      <w:pPr>
        <w:numPr>
          <w:ilvl w:val="0"/>
          <w:numId w:val="4"/>
        </w:numPr>
        <w:spacing w:line="520" w:lineRule="exact"/>
        <w:ind w:left="0" w:leftChars="0"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价格标相关的格式文件及表格</w:t>
      </w:r>
    </w:p>
    <w:p>
      <w:pPr>
        <w:widowControl/>
        <w:spacing w:before="100" w:beforeAutospacing="1" w:after="100" w:afterAutospacing="1" w:line="500" w:lineRule="atLeast"/>
        <w:jc w:val="center"/>
        <w:rPr>
          <w:rFonts w:hint="eastAsia" w:ascii="宋体" w:hAnsi="宋体" w:eastAsia="宋体" w:cs="宋体"/>
          <w:color w:val="auto"/>
          <w:kern w:val="0"/>
          <w:sz w:val="32"/>
          <w:szCs w:val="32"/>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kern w:val="0"/>
          <w:sz w:val="32"/>
          <w:szCs w:val="32"/>
        </w:rPr>
        <w:t>报价总表</w:t>
      </w:r>
    </w:p>
    <w:p>
      <w:pPr>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供应商全称（加盖公章）：</w:t>
      </w:r>
    </w:p>
    <w:p>
      <w:pPr>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项目名称：</w:t>
      </w:r>
    </w:p>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项目编号：</w:t>
      </w:r>
    </w:p>
    <w:p>
      <w:pPr>
        <w:rPr>
          <w:rFonts w:hint="eastAsia" w:ascii="宋体" w:hAnsi="宋体" w:eastAsia="宋体" w:cs="宋体"/>
          <w:color w:val="auto"/>
          <w:kern w:val="0"/>
          <w:sz w:val="28"/>
          <w:szCs w:val="28"/>
          <w:lang w:val="en-US"/>
        </w:rPr>
      </w:pPr>
      <w:r>
        <w:rPr>
          <w:rFonts w:hint="eastAsia" w:ascii="宋体" w:hAnsi="宋体" w:eastAsia="宋体" w:cs="宋体"/>
          <w:color w:val="auto"/>
          <w:kern w:val="0"/>
          <w:sz w:val="28"/>
          <w:szCs w:val="28"/>
        </w:rPr>
        <w:t>分包号：</w:t>
      </w:r>
      <w:r>
        <w:rPr>
          <w:rFonts w:hint="eastAsia" w:ascii="宋体" w:hAnsi="宋体" w:eastAsia="宋体" w:cs="宋体"/>
          <w:color w:val="auto"/>
          <w:kern w:val="0"/>
          <w:sz w:val="28"/>
          <w:szCs w:val="28"/>
          <w:lang w:val="en-US" w:eastAsia="zh-CN"/>
        </w:rPr>
        <w:t>包1/包2/包3</w:t>
      </w:r>
    </w:p>
    <w:tbl>
      <w:tblPr>
        <w:tblStyle w:val="5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6"/>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6" w:type="dxa"/>
            <w:noWrap w:val="0"/>
            <w:vAlign w:val="top"/>
          </w:tcPr>
          <w:p>
            <w:pPr>
              <w:jc w:val="center"/>
              <w:rPr>
                <w:rFonts w:hint="eastAsia" w:ascii="宋体" w:hAnsi="宋体" w:eastAsia="宋体" w:cs="宋体"/>
                <w:color w:val="auto"/>
                <w:szCs w:val="22"/>
              </w:rPr>
            </w:pPr>
            <w:r>
              <w:rPr>
                <w:rFonts w:hint="eastAsia" w:ascii="宋体" w:hAnsi="宋体" w:eastAsia="宋体" w:cs="宋体"/>
                <w:color w:val="auto"/>
                <w:kern w:val="0"/>
                <w:sz w:val="28"/>
                <w:szCs w:val="28"/>
                <w:lang w:val="en-US" w:eastAsia="zh-CN"/>
              </w:rPr>
              <w:t>招标</w:t>
            </w:r>
            <w:r>
              <w:rPr>
                <w:rFonts w:hint="eastAsia" w:ascii="宋体" w:hAnsi="宋体" w:eastAsia="宋体" w:cs="宋体"/>
                <w:color w:val="auto"/>
                <w:kern w:val="0"/>
                <w:sz w:val="28"/>
                <w:szCs w:val="28"/>
              </w:rPr>
              <w:t>货物、服务名称</w:t>
            </w:r>
          </w:p>
        </w:tc>
        <w:tc>
          <w:tcPr>
            <w:tcW w:w="4479" w:type="dxa"/>
            <w:noWrap w:val="0"/>
            <w:vAlign w:val="top"/>
          </w:tcPr>
          <w:p>
            <w:pPr>
              <w:jc w:val="center"/>
              <w:rPr>
                <w:rFonts w:hint="eastAsia" w:ascii="宋体" w:hAnsi="宋体" w:eastAsia="宋体" w:cs="宋体"/>
                <w:color w:val="auto"/>
                <w:szCs w:val="22"/>
                <w:lang w:eastAsia="zh-CN"/>
              </w:rPr>
            </w:pPr>
            <w:r>
              <w:rPr>
                <w:rFonts w:hint="eastAsia" w:ascii="宋体" w:hAnsi="宋体" w:eastAsia="宋体" w:cs="宋体"/>
                <w:color w:val="auto"/>
                <w:kern w:val="0"/>
                <w:sz w:val="28"/>
                <w:szCs w:val="28"/>
                <w:lang w:val="en-US" w:eastAsia="zh-CN"/>
              </w:rPr>
              <w:t>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276" w:type="dxa"/>
            <w:noWrap w:val="0"/>
            <w:vAlign w:val="top"/>
          </w:tcPr>
          <w:p>
            <w:pPr>
              <w:rPr>
                <w:rFonts w:hint="eastAsia" w:ascii="宋体" w:hAnsi="宋体" w:eastAsia="宋体" w:cs="宋体"/>
                <w:color w:val="auto"/>
                <w:szCs w:val="22"/>
              </w:rPr>
            </w:pPr>
          </w:p>
        </w:tc>
        <w:tc>
          <w:tcPr>
            <w:tcW w:w="4479" w:type="dxa"/>
            <w:noWrap w:val="0"/>
            <w:vAlign w:val="top"/>
          </w:tcPr>
          <w:p>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大写：</w:t>
            </w:r>
            <w:r>
              <w:rPr>
                <w:rFonts w:hint="eastAsia" w:ascii="宋体" w:hAnsi="宋体" w:eastAsia="宋体" w:cs="宋体"/>
                <w:color w:val="auto"/>
                <w:kern w:val="0"/>
                <w:sz w:val="28"/>
                <w:szCs w:val="28"/>
                <w:lang w:val="en-US" w:eastAsia="zh-CN"/>
              </w:rPr>
              <w:t>百分之</w:t>
            </w:r>
          </w:p>
          <w:p>
            <w:pPr>
              <w:rPr>
                <w:rFonts w:hint="eastAsia" w:ascii="宋体" w:hAnsi="宋体" w:eastAsia="宋体" w:cs="宋体"/>
                <w:color w:val="auto"/>
                <w:szCs w:val="22"/>
                <w:u w:val="single"/>
                <w:lang w:val="en-US" w:eastAsia="zh-CN"/>
              </w:rPr>
            </w:pPr>
            <w:r>
              <w:rPr>
                <w:rFonts w:hint="eastAsia" w:ascii="宋体" w:hAnsi="宋体" w:eastAsia="宋体" w:cs="宋体"/>
                <w:color w:val="auto"/>
                <w:kern w:val="0"/>
                <w:sz w:val="28"/>
                <w:szCs w:val="28"/>
              </w:rPr>
              <w:t>小写：</w:t>
            </w:r>
            <w:r>
              <w:rPr>
                <w:rFonts w:hint="eastAsia" w:ascii="宋体" w:hAnsi="宋体" w:eastAsia="宋体" w:cs="宋体"/>
                <w:color w:val="auto"/>
                <w:kern w:val="0"/>
                <w:sz w:val="28"/>
                <w:szCs w:val="28"/>
                <w:lang w:val="en-US" w:eastAsia="zh-CN"/>
              </w:rPr>
              <w:t xml:space="preserve">    %</w:t>
            </w:r>
          </w:p>
        </w:tc>
      </w:tr>
    </w:tbl>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日期：</w:t>
      </w:r>
    </w:p>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填写说明：</w:t>
      </w:r>
    </w:p>
    <w:p>
      <w:pPr>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1、报价总表必须加盖供应商公章（复印件无效）。</w:t>
      </w:r>
    </w:p>
    <w:p>
      <w:pPr>
        <w:snapToGrid w:val="0"/>
        <w:spacing w:line="400" w:lineRule="exact"/>
        <w:ind w:firstLine="537" w:firstLineChars="192"/>
        <w:contextualSpacing/>
        <w:rPr>
          <w:rFonts w:hint="eastAsia" w:ascii="宋体" w:hAnsi="宋体" w:eastAsia="宋体" w:cs="宋体"/>
          <w:b/>
          <w:color w:val="auto"/>
          <w:kern w:val="0"/>
          <w:sz w:val="28"/>
          <w:szCs w:val="28"/>
        </w:rPr>
      </w:pPr>
      <w:r>
        <w:rPr>
          <w:rFonts w:hint="eastAsia" w:ascii="宋体" w:hAnsi="宋体" w:eastAsia="宋体" w:cs="宋体"/>
          <w:color w:val="auto"/>
          <w:kern w:val="0"/>
          <w:sz w:val="28"/>
          <w:szCs w:val="28"/>
        </w:rPr>
        <w:t>2、</w:t>
      </w:r>
      <w:r>
        <w:rPr>
          <w:rFonts w:hint="eastAsia" w:ascii="宋体" w:hAnsi="宋体" w:eastAsia="宋体" w:cs="宋体"/>
          <w:b/>
          <w:bCs/>
          <w:color w:val="auto"/>
          <w:kern w:val="0"/>
          <w:sz w:val="28"/>
          <w:szCs w:val="28"/>
          <w:u w:val="single"/>
        </w:rPr>
        <w:t>如有分包，投标人投任何一个包的标的，都需单独填写开标一览表。</w:t>
      </w:r>
    </w:p>
    <w:p>
      <w:pPr>
        <w:snapToGrid w:val="0"/>
        <w:spacing w:line="400" w:lineRule="exact"/>
        <w:ind w:firstLine="540" w:firstLineChars="192"/>
        <w:contextualSpacing/>
        <w:rPr>
          <w:rFonts w:hint="eastAsia" w:ascii="宋体" w:hAnsi="宋体" w:eastAsia="宋体" w:cs="宋体"/>
          <w:b/>
          <w:color w:val="auto"/>
          <w:kern w:val="0"/>
          <w:sz w:val="28"/>
          <w:szCs w:val="28"/>
        </w:rPr>
      </w:pPr>
    </w:p>
    <w:p>
      <w:pPr>
        <w:pStyle w:val="21"/>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4F33A"/>
    <w:multiLevelType w:val="singleLevel"/>
    <w:tmpl w:val="B0A4F33A"/>
    <w:lvl w:ilvl="0" w:tentative="0">
      <w:start w:val="5"/>
      <w:numFmt w:val="decimal"/>
      <w:lvlText w:val="%1."/>
      <w:lvlJc w:val="left"/>
      <w:pPr>
        <w:tabs>
          <w:tab w:val="left" w:pos="312"/>
        </w:tabs>
      </w:pPr>
    </w:lvl>
  </w:abstractNum>
  <w:abstractNum w:abstractNumId="1">
    <w:nsid w:val="00000009"/>
    <w:multiLevelType w:val="singleLevel"/>
    <w:tmpl w:val="00000009"/>
    <w:lvl w:ilvl="0" w:tentative="0">
      <w:start w:val="3"/>
      <w:numFmt w:val="chineseCounting"/>
      <w:pStyle w:val="15"/>
      <w:suff w:val="space"/>
      <w:lvlText w:val="第%1章"/>
      <w:lvlJc w:val="left"/>
    </w:lvl>
  </w:abstractNum>
  <w:abstractNum w:abstractNumId="2">
    <w:nsid w:val="5A1FC664"/>
    <w:multiLevelType w:val="singleLevel"/>
    <w:tmpl w:val="5A1FC664"/>
    <w:lvl w:ilvl="0" w:tentative="0">
      <w:start w:val="2"/>
      <w:numFmt w:val="chineseCounting"/>
      <w:suff w:val="nothing"/>
      <w:lvlText w:val="%1、"/>
      <w:lvlJc w:val="left"/>
    </w:lvl>
  </w:abstractNum>
  <w:abstractNum w:abstractNumId="3">
    <w:nsid w:val="5E2616E2"/>
    <w:multiLevelType w:val="multilevel"/>
    <w:tmpl w:val="5E2616E2"/>
    <w:lvl w:ilvl="0" w:tentative="0">
      <w:start w:val="1"/>
      <w:numFmt w:val="bullet"/>
      <w:pStyle w:val="20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ED0C28"/>
    <w:rsid w:val="0000156C"/>
    <w:rsid w:val="00004013"/>
    <w:rsid w:val="000055F6"/>
    <w:rsid w:val="00006396"/>
    <w:rsid w:val="00011796"/>
    <w:rsid w:val="00014068"/>
    <w:rsid w:val="00017BD5"/>
    <w:rsid w:val="00022C2E"/>
    <w:rsid w:val="00024ACB"/>
    <w:rsid w:val="00032D15"/>
    <w:rsid w:val="0003405F"/>
    <w:rsid w:val="0004382D"/>
    <w:rsid w:val="00047806"/>
    <w:rsid w:val="00055BF4"/>
    <w:rsid w:val="00057219"/>
    <w:rsid w:val="000657F1"/>
    <w:rsid w:val="00070B5A"/>
    <w:rsid w:val="00081915"/>
    <w:rsid w:val="0009128A"/>
    <w:rsid w:val="00094326"/>
    <w:rsid w:val="000A44D8"/>
    <w:rsid w:val="000A48F2"/>
    <w:rsid w:val="000B0918"/>
    <w:rsid w:val="000B1CC6"/>
    <w:rsid w:val="000C2F79"/>
    <w:rsid w:val="000D29E1"/>
    <w:rsid w:val="000E0565"/>
    <w:rsid w:val="000E0DD1"/>
    <w:rsid w:val="000F30AB"/>
    <w:rsid w:val="0010685A"/>
    <w:rsid w:val="00110404"/>
    <w:rsid w:val="00113224"/>
    <w:rsid w:val="00114642"/>
    <w:rsid w:val="00114C98"/>
    <w:rsid w:val="00123633"/>
    <w:rsid w:val="00123ABE"/>
    <w:rsid w:val="0013073B"/>
    <w:rsid w:val="0013376F"/>
    <w:rsid w:val="00136AE4"/>
    <w:rsid w:val="001501B9"/>
    <w:rsid w:val="001509E2"/>
    <w:rsid w:val="001553E8"/>
    <w:rsid w:val="001646A2"/>
    <w:rsid w:val="00165AC9"/>
    <w:rsid w:val="00171D00"/>
    <w:rsid w:val="0017422A"/>
    <w:rsid w:val="00177F7A"/>
    <w:rsid w:val="00181218"/>
    <w:rsid w:val="00182392"/>
    <w:rsid w:val="00182586"/>
    <w:rsid w:val="00190940"/>
    <w:rsid w:val="0019684F"/>
    <w:rsid w:val="001A0189"/>
    <w:rsid w:val="001A251F"/>
    <w:rsid w:val="001A360A"/>
    <w:rsid w:val="001B0622"/>
    <w:rsid w:val="001B1703"/>
    <w:rsid w:val="001C2459"/>
    <w:rsid w:val="001C3051"/>
    <w:rsid w:val="001C6D05"/>
    <w:rsid w:val="001D10B2"/>
    <w:rsid w:val="001F3D2B"/>
    <w:rsid w:val="001F7D24"/>
    <w:rsid w:val="00202EBA"/>
    <w:rsid w:val="002104BB"/>
    <w:rsid w:val="00210EDD"/>
    <w:rsid w:val="00212C22"/>
    <w:rsid w:val="00215CEE"/>
    <w:rsid w:val="002171E6"/>
    <w:rsid w:val="00220095"/>
    <w:rsid w:val="002229C4"/>
    <w:rsid w:val="00224010"/>
    <w:rsid w:val="00225EAF"/>
    <w:rsid w:val="002311E8"/>
    <w:rsid w:val="002319F8"/>
    <w:rsid w:val="00231D22"/>
    <w:rsid w:val="00234F3B"/>
    <w:rsid w:val="00236237"/>
    <w:rsid w:val="002363E3"/>
    <w:rsid w:val="002410A8"/>
    <w:rsid w:val="00243608"/>
    <w:rsid w:val="00243765"/>
    <w:rsid w:val="00244210"/>
    <w:rsid w:val="0024432D"/>
    <w:rsid w:val="0026420B"/>
    <w:rsid w:val="00267416"/>
    <w:rsid w:val="0027026E"/>
    <w:rsid w:val="0027055D"/>
    <w:rsid w:val="0027061E"/>
    <w:rsid w:val="0027258F"/>
    <w:rsid w:val="002747DD"/>
    <w:rsid w:val="002808F1"/>
    <w:rsid w:val="00284681"/>
    <w:rsid w:val="0029008F"/>
    <w:rsid w:val="00290830"/>
    <w:rsid w:val="00291052"/>
    <w:rsid w:val="0029166A"/>
    <w:rsid w:val="00293F27"/>
    <w:rsid w:val="002A3CFF"/>
    <w:rsid w:val="002B3D70"/>
    <w:rsid w:val="002E7449"/>
    <w:rsid w:val="002F1EF9"/>
    <w:rsid w:val="002F20AD"/>
    <w:rsid w:val="002F2BBF"/>
    <w:rsid w:val="00301515"/>
    <w:rsid w:val="00304632"/>
    <w:rsid w:val="003068FD"/>
    <w:rsid w:val="00313E02"/>
    <w:rsid w:val="003237ED"/>
    <w:rsid w:val="00340106"/>
    <w:rsid w:val="00347976"/>
    <w:rsid w:val="003543DD"/>
    <w:rsid w:val="00360366"/>
    <w:rsid w:val="00365497"/>
    <w:rsid w:val="00367AF6"/>
    <w:rsid w:val="0037102E"/>
    <w:rsid w:val="00373715"/>
    <w:rsid w:val="00374847"/>
    <w:rsid w:val="00380555"/>
    <w:rsid w:val="003823FD"/>
    <w:rsid w:val="00386763"/>
    <w:rsid w:val="00391178"/>
    <w:rsid w:val="00393C36"/>
    <w:rsid w:val="00395EC3"/>
    <w:rsid w:val="003A011B"/>
    <w:rsid w:val="003A0495"/>
    <w:rsid w:val="003A1FA6"/>
    <w:rsid w:val="003A2E26"/>
    <w:rsid w:val="003B013A"/>
    <w:rsid w:val="003B2250"/>
    <w:rsid w:val="003B6022"/>
    <w:rsid w:val="003B665E"/>
    <w:rsid w:val="003C372F"/>
    <w:rsid w:val="003E1B13"/>
    <w:rsid w:val="003F41E1"/>
    <w:rsid w:val="004002A0"/>
    <w:rsid w:val="00401107"/>
    <w:rsid w:val="004023C7"/>
    <w:rsid w:val="00403970"/>
    <w:rsid w:val="00406FEA"/>
    <w:rsid w:val="004142E0"/>
    <w:rsid w:val="0041587C"/>
    <w:rsid w:val="00417ECB"/>
    <w:rsid w:val="00420906"/>
    <w:rsid w:val="00422D3F"/>
    <w:rsid w:val="00422E84"/>
    <w:rsid w:val="00425DC7"/>
    <w:rsid w:val="00426C72"/>
    <w:rsid w:val="0042776C"/>
    <w:rsid w:val="0042793A"/>
    <w:rsid w:val="00436BE6"/>
    <w:rsid w:val="004378D1"/>
    <w:rsid w:val="004439A0"/>
    <w:rsid w:val="004469F2"/>
    <w:rsid w:val="00451451"/>
    <w:rsid w:val="00452071"/>
    <w:rsid w:val="00452734"/>
    <w:rsid w:val="00461959"/>
    <w:rsid w:val="0047388B"/>
    <w:rsid w:val="00473E27"/>
    <w:rsid w:val="004743EE"/>
    <w:rsid w:val="00476FCD"/>
    <w:rsid w:val="004778D8"/>
    <w:rsid w:val="00486A89"/>
    <w:rsid w:val="004A2C45"/>
    <w:rsid w:val="004A2D20"/>
    <w:rsid w:val="004A303F"/>
    <w:rsid w:val="004A3F63"/>
    <w:rsid w:val="004B242D"/>
    <w:rsid w:val="004B63F8"/>
    <w:rsid w:val="004B7193"/>
    <w:rsid w:val="004C20A8"/>
    <w:rsid w:val="004C2267"/>
    <w:rsid w:val="004C3084"/>
    <w:rsid w:val="004C3BEE"/>
    <w:rsid w:val="004D444E"/>
    <w:rsid w:val="004D44BA"/>
    <w:rsid w:val="004D6559"/>
    <w:rsid w:val="004E6643"/>
    <w:rsid w:val="004E6A3D"/>
    <w:rsid w:val="004E7B4B"/>
    <w:rsid w:val="004F2942"/>
    <w:rsid w:val="004F5340"/>
    <w:rsid w:val="004F5532"/>
    <w:rsid w:val="00501198"/>
    <w:rsid w:val="00513895"/>
    <w:rsid w:val="00522DEB"/>
    <w:rsid w:val="00522FCE"/>
    <w:rsid w:val="005231CB"/>
    <w:rsid w:val="005240A5"/>
    <w:rsid w:val="005326E3"/>
    <w:rsid w:val="00532F85"/>
    <w:rsid w:val="00533693"/>
    <w:rsid w:val="00533856"/>
    <w:rsid w:val="00534278"/>
    <w:rsid w:val="00542D40"/>
    <w:rsid w:val="00555337"/>
    <w:rsid w:val="00556C38"/>
    <w:rsid w:val="005603CC"/>
    <w:rsid w:val="00560660"/>
    <w:rsid w:val="005614CD"/>
    <w:rsid w:val="00562F3E"/>
    <w:rsid w:val="00574A53"/>
    <w:rsid w:val="0057565A"/>
    <w:rsid w:val="005849A6"/>
    <w:rsid w:val="00584E19"/>
    <w:rsid w:val="00593DCD"/>
    <w:rsid w:val="005965FC"/>
    <w:rsid w:val="005A2C24"/>
    <w:rsid w:val="005A3A71"/>
    <w:rsid w:val="005B6E7F"/>
    <w:rsid w:val="005B75CE"/>
    <w:rsid w:val="005C0E1B"/>
    <w:rsid w:val="005D5BF3"/>
    <w:rsid w:val="005E09C2"/>
    <w:rsid w:val="005E389C"/>
    <w:rsid w:val="005E4117"/>
    <w:rsid w:val="005E47A3"/>
    <w:rsid w:val="005E77E6"/>
    <w:rsid w:val="005F0CE0"/>
    <w:rsid w:val="00604335"/>
    <w:rsid w:val="00612E23"/>
    <w:rsid w:val="006139CC"/>
    <w:rsid w:val="00636067"/>
    <w:rsid w:val="00644F4A"/>
    <w:rsid w:val="00646CED"/>
    <w:rsid w:val="0065216F"/>
    <w:rsid w:val="00655991"/>
    <w:rsid w:val="00660580"/>
    <w:rsid w:val="00664825"/>
    <w:rsid w:val="00667D91"/>
    <w:rsid w:val="0067060B"/>
    <w:rsid w:val="0067694B"/>
    <w:rsid w:val="00684C14"/>
    <w:rsid w:val="00684D78"/>
    <w:rsid w:val="006869D0"/>
    <w:rsid w:val="006878DA"/>
    <w:rsid w:val="00687B22"/>
    <w:rsid w:val="0069234B"/>
    <w:rsid w:val="00696EBC"/>
    <w:rsid w:val="006A3198"/>
    <w:rsid w:val="006A61AA"/>
    <w:rsid w:val="006B2B28"/>
    <w:rsid w:val="006B4E08"/>
    <w:rsid w:val="006C0760"/>
    <w:rsid w:val="006C4670"/>
    <w:rsid w:val="006D2AEC"/>
    <w:rsid w:val="006D61D2"/>
    <w:rsid w:val="006E4F3F"/>
    <w:rsid w:val="006E5620"/>
    <w:rsid w:val="006E658F"/>
    <w:rsid w:val="006E698D"/>
    <w:rsid w:val="006F30DC"/>
    <w:rsid w:val="006F6909"/>
    <w:rsid w:val="006F6C9E"/>
    <w:rsid w:val="006F7FDA"/>
    <w:rsid w:val="0070003D"/>
    <w:rsid w:val="00710494"/>
    <w:rsid w:val="00720106"/>
    <w:rsid w:val="00720DAC"/>
    <w:rsid w:val="0072120A"/>
    <w:rsid w:val="007305B1"/>
    <w:rsid w:val="00732FB6"/>
    <w:rsid w:val="00742DE1"/>
    <w:rsid w:val="00746AFB"/>
    <w:rsid w:val="007507B2"/>
    <w:rsid w:val="00750CB7"/>
    <w:rsid w:val="0075259D"/>
    <w:rsid w:val="00754788"/>
    <w:rsid w:val="00757B73"/>
    <w:rsid w:val="00761E8F"/>
    <w:rsid w:val="00763193"/>
    <w:rsid w:val="0076718B"/>
    <w:rsid w:val="0076773A"/>
    <w:rsid w:val="00777B59"/>
    <w:rsid w:val="007801B1"/>
    <w:rsid w:val="0078046D"/>
    <w:rsid w:val="00792B4B"/>
    <w:rsid w:val="00796634"/>
    <w:rsid w:val="007A36AB"/>
    <w:rsid w:val="007B6CC8"/>
    <w:rsid w:val="007B7A18"/>
    <w:rsid w:val="007C084C"/>
    <w:rsid w:val="007C2BAF"/>
    <w:rsid w:val="007D0153"/>
    <w:rsid w:val="007D2265"/>
    <w:rsid w:val="007D4DCA"/>
    <w:rsid w:val="007F46AA"/>
    <w:rsid w:val="00805A19"/>
    <w:rsid w:val="00812AD0"/>
    <w:rsid w:val="00816677"/>
    <w:rsid w:val="00820028"/>
    <w:rsid w:val="00822660"/>
    <w:rsid w:val="0082538E"/>
    <w:rsid w:val="0083145F"/>
    <w:rsid w:val="00831E59"/>
    <w:rsid w:val="00836F62"/>
    <w:rsid w:val="00843047"/>
    <w:rsid w:val="00843348"/>
    <w:rsid w:val="00853FF4"/>
    <w:rsid w:val="00854C61"/>
    <w:rsid w:val="00860F83"/>
    <w:rsid w:val="0088029F"/>
    <w:rsid w:val="0088035F"/>
    <w:rsid w:val="00881FE9"/>
    <w:rsid w:val="00882955"/>
    <w:rsid w:val="0088685E"/>
    <w:rsid w:val="00891F9B"/>
    <w:rsid w:val="00892CE7"/>
    <w:rsid w:val="00894160"/>
    <w:rsid w:val="00894A20"/>
    <w:rsid w:val="008C1096"/>
    <w:rsid w:val="008C334B"/>
    <w:rsid w:val="008C63CD"/>
    <w:rsid w:val="008D2B70"/>
    <w:rsid w:val="008D45E5"/>
    <w:rsid w:val="008D573E"/>
    <w:rsid w:val="008E1E18"/>
    <w:rsid w:val="008E500F"/>
    <w:rsid w:val="008E5FB4"/>
    <w:rsid w:val="008F0A76"/>
    <w:rsid w:val="00907B42"/>
    <w:rsid w:val="00910045"/>
    <w:rsid w:val="00924B59"/>
    <w:rsid w:val="0093021E"/>
    <w:rsid w:val="0094188C"/>
    <w:rsid w:val="009548CB"/>
    <w:rsid w:val="00955846"/>
    <w:rsid w:val="0095588E"/>
    <w:rsid w:val="0097048A"/>
    <w:rsid w:val="00971835"/>
    <w:rsid w:val="00973686"/>
    <w:rsid w:val="00973FBE"/>
    <w:rsid w:val="00974F2A"/>
    <w:rsid w:val="0097654B"/>
    <w:rsid w:val="00977685"/>
    <w:rsid w:val="00984574"/>
    <w:rsid w:val="00985314"/>
    <w:rsid w:val="00985FC7"/>
    <w:rsid w:val="009865B0"/>
    <w:rsid w:val="00987105"/>
    <w:rsid w:val="00991B4B"/>
    <w:rsid w:val="00992A28"/>
    <w:rsid w:val="009A1621"/>
    <w:rsid w:val="009B02AF"/>
    <w:rsid w:val="009B0A45"/>
    <w:rsid w:val="009B0DF4"/>
    <w:rsid w:val="009B2EB3"/>
    <w:rsid w:val="009B3A1D"/>
    <w:rsid w:val="009B628C"/>
    <w:rsid w:val="009C0BFD"/>
    <w:rsid w:val="009C2C44"/>
    <w:rsid w:val="009C3801"/>
    <w:rsid w:val="009C5100"/>
    <w:rsid w:val="009D7DC3"/>
    <w:rsid w:val="009E380B"/>
    <w:rsid w:val="009E5522"/>
    <w:rsid w:val="009E66D5"/>
    <w:rsid w:val="009F4184"/>
    <w:rsid w:val="00A06254"/>
    <w:rsid w:val="00A12B24"/>
    <w:rsid w:val="00A170F7"/>
    <w:rsid w:val="00A214E9"/>
    <w:rsid w:val="00A215CB"/>
    <w:rsid w:val="00A2498C"/>
    <w:rsid w:val="00A32A8E"/>
    <w:rsid w:val="00A34309"/>
    <w:rsid w:val="00A35AAF"/>
    <w:rsid w:val="00A37D21"/>
    <w:rsid w:val="00A43474"/>
    <w:rsid w:val="00A46F90"/>
    <w:rsid w:val="00A4732F"/>
    <w:rsid w:val="00A5272E"/>
    <w:rsid w:val="00A550E9"/>
    <w:rsid w:val="00A609F5"/>
    <w:rsid w:val="00A66536"/>
    <w:rsid w:val="00A72BCA"/>
    <w:rsid w:val="00A75E65"/>
    <w:rsid w:val="00A76DD9"/>
    <w:rsid w:val="00A820C7"/>
    <w:rsid w:val="00A85017"/>
    <w:rsid w:val="00A85626"/>
    <w:rsid w:val="00A856AC"/>
    <w:rsid w:val="00A91513"/>
    <w:rsid w:val="00A96E1E"/>
    <w:rsid w:val="00A97FC0"/>
    <w:rsid w:val="00AA321A"/>
    <w:rsid w:val="00AA4EE6"/>
    <w:rsid w:val="00AA7FB6"/>
    <w:rsid w:val="00AB1AF0"/>
    <w:rsid w:val="00AB7B40"/>
    <w:rsid w:val="00AC3709"/>
    <w:rsid w:val="00AC7EA3"/>
    <w:rsid w:val="00AD1597"/>
    <w:rsid w:val="00AE3AD7"/>
    <w:rsid w:val="00AE4946"/>
    <w:rsid w:val="00AF264E"/>
    <w:rsid w:val="00AF34A5"/>
    <w:rsid w:val="00AF5D1D"/>
    <w:rsid w:val="00AF6738"/>
    <w:rsid w:val="00B01F00"/>
    <w:rsid w:val="00B0336D"/>
    <w:rsid w:val="00B07191"/>
    <w:rsid w:val="00B1172E"/>
    <w:rsid w:val="00B11747"/>
    <w:rsid w:val="00B15F33"/>
    <w:rsid w:val="00B16461"/>
    <w:rsid w:val="00B17C0D"/>
    <w:rsid w:val="00B36C3B"/>
    <w:rsid w:val="00B415B8"/>
    <w:rsid w:val="00B436FF"/>
    <w:rsid w:val="00B4412C"/>
    <w:rsid w:val="00B44505"/>
    <w:rsid w:val="00B452E3"/>
    <w:rsid w:val="00B45812"/>
    <w:rsid w:val="00B47952"/>
    <w:rsid w:val="00B505B9"/>
    <w:rsid w:val="00B54925"/>
    <w:rsid w:val="00B550F9"/>
    <w:rsid w:val="00B65444"/>
    <w:rsid w:val="00B665AB"/>
    <w:rsid w:val="00B73637"/>
    <w:rsid w:val="00B736C3"/>
    <w:rsid w:val="00B740B7"/>
    <w:rsid w:val="00B82558"/>
    <w:rsid w:val="00B82820"/>
    <w:rsid w:val="00B91528"/>
    <w:rsid w:val="00BA30E6"/>
    <w:rsid w:val="00BA6B8E"/>
    <w:rsid w:val="00BC355B"/>
    <w:rsid w:val="00BC525A"/>
    <w:rsid w:val="00BC661C"/>
    <w:rsid w:val="00BD0290"/>
    <w:rsid w:val="00BD7137"/>
    <w:rsid w:val="00BE538D"/>
    <w:rsid w:val="00BF308C"/>
    <w:rsid w:val="00BF3787"/>
    <w:rsid w:val="00BF564A"/>
    <w:rsid w:val="00C06AAA"/>
    <w:rsid w:val="00C070F5"/>
    <w:rsid w:val="00C107C2"/>
    <w:rsid w:val="00C136D4"/>
    <w:rsid w:val="00C25231"/>
    <w:rsid w:val="00C311EE"/>
    <w:rsid w:val="00C32185"/>
    <w:rsid w:val="00C32D9F"/>
    <w:rsid w:val="00C40C06"/>
    <w:rsid w:val="00C44EBB"/>
    <w:rsid w:val="00C470EA"/>
    <w:rsid w:val="00C51762"/>
    <w:rsid w:val="00C6599F"/>
    <w:rsid w:val="00C65C64"/>
    <w:rsid w:val="00C71E01"/>
    <w:rsid w:val="00C76086"/>
    <w:rsid w:val="00C910DD"/>
    <w:rsid w:val="00C921FF"/>
    <w:rsid w:val="00C929A2"/>
    <w:rsid w:val="00C958D3"/>
    <w:rsid w:val="00CA28FC"/>
    <w:rsid w:val="00CA2D30"/>
    <w:rsid w:val="00CA398C"/>
    <w:rsid w:val="00CB735D"/>
    <w:rsid w:val="00CC0779"/>
    <w:rsid w:val="00CC2377"/>
    <w:rsid w:val="00CD2C31"/>
    <w:rsid w:val="00CD3662"/>
    <w:rsid w:val="00CD68C1"/>
    <w:rsid w:val="00D03EDF"/>
    <w:rsid w:val="00D07D02"/>
    <w:rsid w:val="00D134AB"/>
    <w:rsid w:val="00D32B38"/>
    <w:rsid w:val="00D338A7"/>
    <w:rsid w:val="00D342EA"/>
    <w:rsid w:val="00D370BF"/>
    <w:rsid w:val="00D42F08"/>
    <w:rsid w:val="00D4650B"/>
    <w:rsid w:val="00D554DA"/>
    <w:rsid w:val="00D55AC7"/>
    <w:rsid w:val="00D560E0"/>
    <w:rsid w:val="00D571EC"/>
    <w:rsid w:val="00D57C59"/>
    <w:rsid w:val="00D6305B"/>
    <w:rsid w:val="00D63F34"/>
    <w:rsid w:val="00D67F8D"/>
    <w:rsid w:val="00D733B4"/>
    <w:rsid w:val="00D74313"/>
    <w:rsid w:val="00D751C2"/>
    <w:rsid w:val="00D81C01"/>
    <w:rsid w:val="00D87567"/>
    <w:rsid w:val="00D97914"/>
    <w:rsid w:val="00DA33AC"/>
    <w:rsid w:val="00DA3F6B"/>
    <w:rsid w:val="00DC5895"/>
    <w:rsid w:val="00DD210C"/>
    <w:rsid w:val="00DF2605"/>
    <w:rsid w:val="00DF6462"/>
    <w:rsid w:val="00E01550"/>
    <w:rsid w:val="00E07CFC"/>
    <w:rsid w:val="00E11641"/>
    <w:rsid w:val="00E15816"/>
    <w:rsid w:val="00E15B96"/>
    <w:rsid w:val="00E17886"/>
    <w:rsid w:val="00E2317D"/>
    <w:rsid w:val="00E33A20"/>
    <w:rsid w:val="00E34EA3"/>
    <w:rsid w:val="00E421D6"/>
    <w:rsid w:val="00E4261A"/>
    <w:rsid w:val="00E528EC"/>
    <w:rsid w:val="00E54D21"/>
    <w:rsid w:val="00E54ED0"/>
    <w:rsid w:val="00E55797"/>
    <w:rsid w:val="00E644D6"/>
    <w:rsid w:val="00E64EA9"/>
    <w:rsid w:val="00E651E4"/>
    <w:rsid w:val="00E678AE"/>
    <w:rsid w:val="00E752BD"/>
    <w:rsid w:val="00E75426"/>
    <w:rsid w:val="00E81325"/>
    <w:rsid w:val="00E813EC"/>
    <w:rsid w:val="00E827DF"/>
    <w:rsid w:val="00E9327A"/>
    <w:rsid w:val="00E9543D"/>
    <w:rsid w:val="00EA0641"/>
    <w:rsid w:val="00EA32F7"/>
    <w:rsid w:val="00EA3AC4"/>
    <w:rsid w:val="00EA5D14"/>
    <w:rsid w:val="00EB0939"/>
    <w:rsid w:val="00EB27A7"/>
    <w:rsid w:val="00EB51F1"/>
    <w:rsid w:val="00EC3B98"/>
    <w:rsid w:val="00ED06F3"/>
    <w:rsid w:val="00ED0C28"/>
    <w:rsid w:val="00ED7B6A"/>
    <w:rsid w:val="00EF42E2"/>
    <w:rsid w:val="00EF5668"/>
    <w:rsid w:val="00F00893"/>
    <w:rsid w:val="00F01752"/>
    <w:rsid w:val="00F02869"/>
    <w:rsid w:val="00F11963"/>
    <w:rsid w:val="00F15CD4"/>
    <w:rsid w:val="00F16B04"/>
    <w:rsid w:val="00F230A1"/>
    <w:rsid w:val="00F25A38"/>
    <w:rsid w:val="00F25D8B"/>
    <w:rsid w:val="00F31AC1"/>
    <w:rsid w:val="00F3376E"/>
    <w:rsid w:val="00F33913"/>
    <w:rsid w:val="00F34B8C"/>
    <w:rsid w:val="00F36148"/>
    <w:rsid w:val="00F43B02"/>
    <w:rsid w:val="00F46FD5"/>
    <w:rsid w:val="00F54978"/>
    <w:rsid w:val="00F57F0B"/>
    <w:rsid w:val="00F62BD1"/>
    <w:rsid w:val="00F67A34"/>
    <w:rsid w:val="00F71CA5"/>
    <w:rsid w:val="00F74CA2"/>
    <w:rsid w:val="00F7625B"/>
    <w:rsid w:val="00F826C2"/>
    <w:rsid w:val="00F862E0"/>
    <w:rsid w:val="00F870D9"/>
    <w:rsid w:val="00F940B1"/>
    <w:rsid w:val="00F96A4F"/>
    <w:rsid w:val="00FA04CA"/>
    <w:rsid w:val="00FA3204"/>
    <w:rsid w:val="00FA3ABF"/>
    <w:rsid w:val="00FA6860"/>
    <w:rsid w:val="00FB02DB"/>
    <w:rsid w:val="00FB04A7"/>
    <w:rsid w:val="00FB4198"/>
    <w:rsid w:val="00FB595F"/>
    <w:rsid w:val="00FB764E"/>
    <w:rsid w:val="00FC0A2B"/>
    <w:rsid w:val="00FD2DC5"/>
    <w:rsid w:val="00FD4985"/>
    <w:rsid w:val="00FE05F9"/>
    <w:rsid w:val="00FE7293"/>
    <w:rsid w:val="00FF2732"/>
    <w:rsid w:val="00FF3A6E"/>
    <w:rsid w:val="00FF6FAE"/>
    <w:rsid w:val="02FA5754"/>
    <w:rsid w:val="03AB3540"/>
    <w:rsid w:val="03C23CC6"/>
    <w:rsid w:val="04450E24"/>
    <w:rsid w:val="044F407A"/>
    <w:rsid w:val="047006DC"/>
    <w:rsid w:val="04777312"/>
    <w:rsid w:val="04C45905"/>
    <w:rsid w:val="04FC44F3"/>
    <w:rsid w:val="05A62142"/>
    <w:rsid w:val="06480A2A"/>
    <w:rsid w:val="06A76BA1"/>
    <w:rsid w:val="06D66EBD"/>
    <w:rsid w:val="06FF6D2E"/>
    <w:rsid w:val="07B53526"/>
    <w:rsid w:val="080B0974"/>
    <w:rsid w:val="087149F8"/>
    <w:rsid w:val="08E6063E"/>
    <w:rsid w:val="08FC6227"/>
    <w:rsid w:val="09024A32"/>
    <w:rsid w:val="09621E65"/>
    <w:rsid w:val="09D37B64"/>
    <w:rsid w:val="0AA065DF"/>
    <w:rsid w:val="0B6F5410"/>
    <w:rsid w:val="0B9E6F6B"/>
    <w:rsid w:val="0BE107C4"/>
    <w:rsid w:val="0C373B3F"/>
    <w:rsid w:val="0C8360A2"/>
    <w:rsid w:val="0CAA69BB"/>
    <w:rsid w:val="0CE26B41"/>
    <w:rsid w:val="0DF27D09"/>
    <w:rsid w:val="0FBA6D43"/>
    <w:rsid w:val="11062688"/>
    <w:rsid w:val="11313B8D"/>
    <w:rsid w:val="11AA463D"/>
    <w:rsid w:val="123D4AE5"/>
    <w:rsid w:val="135A3AAA"/>
    <w:rsid w:val="140A78E4"/>
    <w:rsid w:val="14695C25"/>
    <w:rsid w:val="14735ED6"/>
    <w:rsid w:val="1491738C"/>
    <w:rsid w:val="14AA7709"/>
    <w:rsid w:val="14BB78FC"/>
    <w:rsid w:val="1510541C"/>
    <w:rsid w:val="15C37009"/>
    <w:rsid w:val="15CB3591"/>
    <w:rsid w:val="16113CBC"/>
    <w:rsid w:val="169226F4"/>
    <w:rsid w:val="16E245B3"/>
    <w:rsid w:val="16FE0011"/>
    <w:rsid w:val="170D0932"/>
    <w:rsid w:val="176E1CBA"/>
    <w:rsid w:val="17886593"/>
    <w:rsid w:val="17BD0929"/>
    <w:rsid w:val="18694E6D"/>
    <w:rsid w:val="19176566"/>
    <w:rsid w:val="199C035E"/>
    <w:rsid w:val="19AB0116"/>
    <w:rsid w:val="1A14035F"/>
    <w:rsid w:val="1ABB594C"/>
    <w:rsid w:val="1C0E6CB2"/>
    <w:rsid w:val="1CC93362"/>
    <w:rsid w:val="1DF0067D"/>
    <w:rsid w:val="1E931599"/>
    <w:rsid w:val="201E09CE"/>
    <w:rsid w:val="210B3229"/>
    <w:rsid w:val="210E79BD"/>
    <w:rsid w:val="217E31E4"/>
    <w:rsid w:val="220C0C44"/>
    <w:rsid w:val="23255DE3"/>
    <w:rsid w:val="237D2665"/>
    <w:rsid w:val="23837EE3"/>
    <w:rsid w:val="242C7387"/>
    <w:rsid w:val="24C71002"/>
    <w:rsid w:val="251A3222"/>
    <w:rsid w:val="25820DF3"/>
    <w:rsid w:val="278F3846"/>
    <w:rsid w:val="28D7065A"/>
    <w:rsid w:val="294070BC"/>
    <w:rsid w:val="29461787"/>
    <w:rsid w:val="298009A9"/>
    <w:rsid w:val="2A3C7123"/>
    <w:rsid w:val="2A4A46B4"/>
    <w:rsid w:val="2A885120"/>
    <w:rsid w:val="2B90488D"/>
    <w:rsid w:val="2BE43358"/>
    <w:rsid w:val="2C134DB6"/>
    <w:rsid w:val="2CDD25B0"/>
    <w:rsid w:val="2D23690D"/>
    <w:rsid w:val="2D3C6CD1"/>
    <w:rsid w:val="2D906F6A"/>
    <w:rsid w:val="2EEC5066"/>
    <w:rsid w:val="300B1A56"/>
    <w:rsid w:val="30810D5E"/>
    <w:rsid w:val="3092404F"/>
    <w:rsid w:val="31191AA6"/>
    <w:rsid w:val="31E731D4"/>
    <w:rsid w:val="31FF0B5D"/>
    <w:rsid w:val="320971C0"/>
    <w:rsid w:val="32201188"/>
    <w:rsid w:val="323B7D62"/>
    <w:rsid w:val="35330564"/>
    <w:rsid w:val="35520A5C"/>
    <w:rsid w:val="3575313D"/>
    <w:rsid w:val="35EF39C4"/>
    <w:rsid w:val="3748032F"/>
    <w:rsid w:val="37785979"/>
    <w:rsid w:val="38465865"/>
    <w:rsid w:val="38661DB1"/>
    <w:rsid w:val="3B401CBE"/>
    <w:rsid w:val="3BB6700C"/>
    <w:rsid w:val="3C4F6E9E"/>
    <w:rsid w:val="3C511EC1"/>
    <w:rsid w:val="3C9278CB"/>
    <w:rsid w:val="3CBB3CDA"/>
    <w:rsid w:val="3D0C64DB"/>
    <w:rsid w:val="3D1222B3"/>
    <w:rsid w:val="3DCE6E08"/>
    <w:rsid w:val="3E401F75"/>
    <w:rsid w:val="3F9E5DD6"/>
    <w:rsid w:val="3FDB607F"/>
    <w:rsid w:val="40125E97"/>
    <w:rsid w:val="40AE1330"/>
    <w:rsid w:val="40E3673F"/>
    <w:rsid w:val="42925F27"/>
    <w:rsid w:val="43602633"/>
    <w:rsid w:val="43944CD4"/>
    <w:rsid w:val="43F67E27"/>
    <w:rsid w:val="440A7553"/>
    <w:rsid w:val="442B1412"/>
    <w:rsid w:val="44C21E49"/>
    <w:rsid w:val="453E058F"/>
    <w:rsid w:val="455A4AE2"/>
    <w:rsid w:val="45BD114B"/>
    <w:rsid w:val="46064BA4"/>
    <w:rsid w:val="463577A7"/>
    <w:rsid w:val="4677113D"/>
    <w:rsid w:val="46EF361B"/>
    <w:rsid w:val="472A27BC"/>
    <w:rsid w:val="494D3C14"/>
    <w:rsid w:val="4B9274C1"/>
    <w:rsid w:val="4D3F2F92"/>
    <w:rsid w:val="4F7B2A3B"/>
    <w:rsid w:val="50126E09"/>
    <w:rsid w:val="50451415"/>
    <w:rsid w:val="509D602C"/>
    <w:rsid w:val="524D09F5"/>
    <w:rsid w:val="52722813"/>
    <w:rsid w:val="52F2377D"/>
    <w:rsid w:val="539349F0"/>
    <w:rsid w:val="53DD7103"/>
    <w:rsid w:val="54E93245"/>
    <w:rsid w:val="550C1B16"/>
    <w:rsid w:val="555239AA"/>
    <w:rsid w:val="5555030C"/>
    <w:rsid w:val="555A6B7C"/>
    <w:rsid w:val="55DB151F"/>
    <w:rsid w:val="55EB7604"/>
    <w:rsid w:val="55F654C2"/>
    <w:rsid w:val="56C56931"/>
    <w:rsid w:val="571A1B54"/>
    <w:rsid w:val="5879699A"/>
    <w:rsid w:val="58D35CB6"/>
    <w:rsid w:val="59532024"/>
    <w:rsid w:val="59A944BD"/>
    <w:rsid w:val="59BD478B"/>
    <w:rsid w:val="5A2D6E91"/>
    <w:rsid w:val="5A471D7A"/>
    <w:rsid w:val="5AD859A2"/>
    <w:rsid w:val="5B20172A"/>
    <w:rsid w:val="5B6104AC"/>
    <w:rsid w:val="5C02145B"/>
    <w:rsid w:val="5C186241"/>
    <w:rsid w:val="5C5B527D"/>
    <w:rsid w:val="5D4C0C9D"/>
    <w:rsid w:val="5E19782F"/>
    <w:rsid w:val="5F047390"/>
    <w:rsid w:val="5F265A78"/>
    <w:rsid w:val="5F387182"/>
    <w:rsid w:val="5F967450"/>
    <w:rsid w:val="5FC12603"/>
    <w:rsid w:val="5FCF2B33"/>
    <w:rsid w:val="610A61A7"/>
    <w:rsid w:val="634700D4"/>
    <w:rsid w:val="640740A1"/>
    <w:rsid w:val="64712894"/>
    <w:rsid w:val="64C32B9E"/>
    <w:rsid w:val="64F95030"/>
    <w:rsid w:val="65253744"/>
    <w:rsid w:val="65600F3F"/>
    <w:rsid w:val="65891362"/>
    <w:rsid w:val="67C77DCA"/>
    <w:rsid w:val="67CD4BC3"/>
    <w:rsid w:val="686A1A73"/>
    <w:rsid w:val="68BA187C"/>
    <w:rsid w:val="690361DC"/>
    <w:rsid w:val="6A750155"/>
    <w:rsid w:val="6C645C08"/>
    <w:rsid w:val="6C892B57"/>
    <w:rsid w:val="6C955B85"/>
    <w:rsid w:val="6DD8378F"/>
    <w:rsid w:val="6E370425"/>
    <w:rsid w:val="6EE640D0"/>
    <w:rsid w:val="6F550B9B"/>
    <w:rsid w:val="6F5A6C1E"/>
    <w:rsid w:val="6FDD4D55"/>
    <w:rsid w:val="70A84023"/>
    <w:rsid w:val="70F53CD9"/>
    <w:rsid w:val="71205229"/>
    <w:rsid w:val="72C92970"/>
    <w:rsid w:val="733C27A4"/>
    <w:rsid w:val="734D3F7D"/>
    <w:rsid w:val="750236F7"/>
    <w:rsid w:val="751730CA"/>
    <w:rsid w:val="75472330"/>
    <w:rsid w:val="75702BEE"/>
    <w:rsid w:val="76137DC5"/>
    <w:rsid w:val="76285796"/>
    <w:rsid w:val="769E5342"/>
    <w:rsid w:val="76DD4F9D"/>
    <w:rsid w:val="789A79F1"/>
    <w:rsid w:val="78FA5ED4"/>
    <w:rsid w:val="7AC13362"/>
    <w:rsid w:val="7CB56E3A"/>
    <w:rsid w:val="7D084AAC"/>
    <w:rsid w:val="7DCD6816"/>
    <w:rsid w:val="7F791E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
    <w:qFormat/>
    <w:uiPriority w:val="99"/>
    <w:pPr>
      <w:keepNext/>
      <w:jc w:val="center"/>
      <w:outlineLvl w:val="0"/>
    </w:pPr>
    <w:rPr>
      <w:rFonts w:eastAsia="仿宋_GB2312"/>
      <w:sz w:val="28"/>
      <w:szCs w:val="28"/>
    </w:rPr>
  </w:style>
  <w:style w:type="paragraph" w:styleId="2">
    <w:name w:val="heading 2"/>
    <w:basedOn w:val="1"/>
    <w:next w:val="1"/>
    <w:link w:val="6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69"/>
    <w:qFormat/>
    <w:uiPriority w:val="99"/>
    <w:pPr>
      <w:keepNext/>
      <w:keepLines/>
      <w:spacing w:before="260" w:after="260" w:line="416" w:lineRule="auto"/>
      <w:outlineLvl w:val="2"/>
    </w:pPr>
    <w:rPr>
      <w:b/>
      <w:bCs/>
      <w:sz w:val="32"/>
      <w:szCs w:val="32"/>
    </w:rPr>
  </w:style>
  <w:style w:type="paragraph" w:styleId="5">
    <w:name w:val="heading 4"/>
    <w:basedOn w:val="1"/>
    <w:next w:val="1"/>
    <w:link w:val="70"/>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6">
    <w:name w:val="heading 5"/>
    <w:basedOn w:val="1"/>
    <w:next w:val="1"/>
    <w:link w:val="71"/>
    <w:qFormat/>
    <w:uiPriority w:val="99"/>
    <w:pPr>
      <w:keepNext/>
      <w:keepLines/>
      <w:adjustRightInd w:val="0"/>
      <w:spacing w:before="280" w:after="290" w:line="376" w:lineRule="atLeast"/>
      <w:textAlignment w:val="baseline"/>
      <w:outlineLvl w:val="4"/>
    </w:pPr>
    <w:rPr>
      <w:b/>
      <w:bCs/>
      <w:kern w:val="0"/>
      <w:sz w:val="28"/>
      <w:szCs w:val="28"/>
    </w:rPr>
  </w:style>
  <w:style w:type="paragraph" w:styleId="7">
    <w:name w:val="heading 6"/>
    <w:basedOn w:val="1"/>
    <w:next w:val="1"/>
    <w:link w:val="72"/>
    <w:qFormat/>
    <w:uiPriority w:val="99"/>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8">
    <w:name w:val="heading 7"/>
    <w:basedOn w:val="1"/>
    <w:next w:val="1"/>
    <w:link w:val="73"/>
    <w:qFormat/>
    <w:uiPriority w:val="99"/>
    <w:pPr>
      <w:keepNext/>
      <w:keepLines/>
      <w:spacing w:before="240" w:after="64" w:line="320" w:lineRule="auto"/>
      <w:outlineLvl w:val="6"/>
    </w:pPr>
    <w:rPr>
      <w:b/>
      <w:bCs/>
      <w:sz w:val="24"/>
      <w:szCs w:val="24"/>
    </w:rPr>
  </w:style>
  <w:style w:type="paragraph" w:styleId="9">
    <w:name w:val="heading 8"/>
    <w:basedOn w:val="1"/>
    <w:next w:val="1"/>
    <w:link w:val="74"/>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0">
    <w:name w:val="heading 9"/>
    <w:basedOn w:val="1"/>
    <w:next w:val="1"/>
    <w:link w:val="75"/>
    <w:qFormat/>
    <w:uiPriority w:val="99"/>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semiHidden/>
    <w:qFormat/>
    <w:uiPriority w:val="99"/>
    <w:pPr>
      <w:ind w:left="1260"/>
      <w:jc w:val="left"/>
    </w:pPr>
    <w:rPr>
      <w:sz w:val="18"/>
      <w:szCs w:val="18"/>
    </w:rPr>
  </w:style>
  <w:style w:type="paragraph" w:styleId="13">
    <w:name w:val="Note Heading"/>
    <w:basedOn w:val="1"/>
    <w:next w:val="1"/>
    <w:qFormat/>
    <w:locked/>
    <w:uiPriority w:val="0"/>
    <w:rPr>
      <w:rFonts w:ascii="Verdana" w:hAnsi="Verdana"/>
      <w:szCs w:val="20"/>
    </w:rPr>
  </w:style>
  <w:style w:type="paragraph" w:styleId="14">
    <w:name w:val="Normal Indent"/>
    <w:basedOn w:val="1"/>
    <w:link w:val="113"/>
    <w:qFormat/>
    <w:uiPriority w:val="99"/>
    <w:pPr>
      <w:ind w:firstLine="420" w:firstLineChars="200"/>
    </w:pPr>
    <w:rPr>
      <w:kern w:val="0"/>
      <w:sz w:val="24"/>
      <w:szCs w:val="24"/>
    </w:rPr>
  </w:style>
  <w:style w:type="paragraph" w:styleId="15">
    <w:name w:val="List Bullet"/>
    <w:basedOn w:val="1"/>
    <w:qFormat/>
    <w:uiPriority w:val="99"/>
    <w:pPr>
      <w:numPr>
        <w:ilvl w:val="0"/>
        <w:numId w:val="1"/>
      </w:numPr>
      <w:tabs>
        <w:tab w:val="left" w:pos="360"/>
      </w:tabs>
    </w:pPr>
  </w:style>
  <w:style w:type="paragraph" w:styleId="16">
    <w:name w:val="Document Map"/>
    <w:basedOn w:val="1"/>
    <w:link w:val="76"/>
    <w:semiHidden/>
    <w:qFormat/>
    <w:uiPriority w:val="99"/>
    <w:rPr>
      <w:rFonts w:ascii="宋体" w:cs="宋体"/>
      <w:kern w:val="0"/>
      <w:sz w:val="18"/>
      <w:szCs w:val="18"/>
    </w:rPr>
  </w:style>
  <w:style w:type="paragraph" w:styleId="17">
    <w:name w:val="toa heading"/>
    <w:basedOn w:val="1"/>
    <w:next w:val="1"/>
    <w:semiHidden/>
    <w:qFormat/>
    <w:uiPriority w:val="99"/>
    <w:pPr>
      <w:adjustRightInd w:val="0"/>
      <w:spacing w:before="200" w:line="360" w:lineRule="atLeast"/>
      <w:jc w:val="center"/>
    </w:pPr>
    <w:rPr>
      <w:rFonts w:ascii="Arial" w:hAnsi="Arial" w:eastAsia="黑体" w:cs="Arial"/>
      <w:kern w:val="0"/>
      <w:sz w:val="44"/>
      <w:szCs w:val="44"/>
    </w:rPr>
  </w:style>
  <w:style w:type="paragraph" w:styleId="18">
    <w:name w:val="annotation text"/>
    <w:basedOn w:val="1"/>
    <w:link w:val="77"/>
    <w:semiHidden/>
    <w:qFormat/>
    <w:uiPriority w:val="99"/>
    <w:pPr>
      <w:jc w:val="left"/>
    </w:pPr>
    <w:rPr>
      <w:kern w:val="0"/>
      <w:sz w:val="20"/>
      <w:szCs w:val="20"/>
    </w:rPr>
  </w:style>
  <w:style w:type="paragraph" w:styleId="19">
    <w:name w:val="Body Text"/>
    <w:basedOn w:val="1"/>
    <w:next w:val="20"/>
    <w:link w:val="78"/>
    <w:qFormat/>
    <w:uiPriority w:val="99"/>
    <w:pPr>
      <w:spacing w:after="120"/>
    </w:pPr>
    <w:rPr>
      <w:kern w:val="0"/>
      <w:sz w:val="20"/>
      <w:szCs w:val="20"/>
    </w:rPr>
  </w:style>
  <w:style w:type="paragraph" w:customStyle="1" w:styleId="20">
    <w:name w:val="style4"/>
    <w:basedOn w:val="1"/>
    <w:next w:val="21"/>
    <w:qFormat/>
    <w:uiPriority w:val="0"/>
    <w:pPr>
      <w:widowControl/>
      <w:spacing w:before="280" w:after="280"/>
    </w:pPr>
    <w:rPr>
      <w:rFonts w:ascii="宋体"/>
      <w:sz w:val="18"/>
    </w:rPr>
  </w:style>
  <w:style w:type="paragraph" w:customStyle="1" w:styleId="21">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2">
    <w:name w:val="Body Text Indent"/>
    <w:basedOn w:val="1"/>
    <w:next w:val="23"/>
    <w:link w:val="79"/>
    <w:qFormat/>
    <w:uiPriority w:val="99"/>
    <w:pPr>
      <w:spacing w:after="120"/>
      <w:ind w:left="420" w:leftChars="200"/>
    </w:pPr>
    <w:rPr>
      <w:kern w:val="0"/>
      <w:sz w:val="20"/>
      <w:szCs w:val="20"/>
    </w:rPr>
  </w:style>
  <w:style w:type="paragraph" w:styleId="23">
    <w:name w:val="envelope return"/>
    <w:basedOn w:val="1"/>
    <w:unhideWhenUsed/>
    <w:qFormat/>
    <w:locked/>
    <w:uiPriority w:val="99"/>
    <w:pPr>
      <w:snapToGrid w:val="0"/>
    </w:pPr>
    <w:rPr>
      <w:rFonts w:ascii="Arial" w:hAnsi="Arial"/>
    </w:rPr>
  </w:style>
  <w:style w:type="paragraph" w:styleId="24">
    <w:name w:val="List 2"/>
    <w:basedOn w:val="1"/>
    <w:qFormat/>
    <w:uiPriority w:val="99"/>
    <w:pPr>
      <w:ind w:left="100" w:leftChars="200" w:hanging="200" w:hangingChars="200"/>
    </w:pPr>
  </w:style>
  <w:style w:type="paragraph" w:styleId="25">
    <w:name w:val="List Continue"/>
    <w:basedOn w:val="1"/>
    <w:qFormat/>
    <w:uiPriority w:val="99"/>
    <w:pPr>
      <w:spacing w:after="120"/>
      <w:ind w:left="420" w:leftChars="200"/>
    </w:pPr>
  </w:style>
  <w:style w:type="paragraph" w:styleId="26">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7">
    <w:name w:val="toc 5"/>
    <w:basedOn w:val="1"/>
    <w:next w:val="1"/>
    <w:semiHidden/>
    <w:qFormat/>
    <w:uiPriority w:val="99"/>
    <w:pPr>
      <w:ind w:left="840"/>
      <w:jc w:val="left"/>
    </w:pPr>
    <w:rPr>
      <w:sz w:val="18"/>
      <w:szCs w:val="18"/>
    </w:rPr>
  </w:style>
  <w:style w:type="paragraph" w:styleId="28">
    <w:name w:val="toc 3"/>
    <w:basedOn w:val="1"/>
    <w:next w:val="1"/>
    <w:semiHidden/>
    <w:qFormat/>
    <w:uiPriority w:val="99"/>
    <w:pPr>
      <w:widowControl/>
      <w:tabs>
        <w:tab w:val="left" w:pos="1050"/>
        <w:tab w:val="right" w:leader="dot" w:pos="9402"/>
      </w:tabs>
      <w:spacing w:after="100" w:line="520" w:lineRule="exact"/>
      <w:jc w:val="center"/>
      <w:outlineLvl w:val="0"/>
    </w:pPr>
    <w:rPr>
      <w:rFonts w:ascii="宋体" w:hAnsi="宋体" w:cs="宋体"/>
      <w:b/>
      <w:bCs/>
      <w:color w:val="FF0000"/>
      <w:w w:val="80"/>
      <w:kern w:val="0"/>
      <w:sz w:val="44"/>
      <w:szCs w:val="44"/>
    </w:rPr>
  </w:style>
  <w:style w:type="paragraph" w:styleId="29">
    <w:name w:val="Plain Text"/>
    <w:basedOn w:val="1"/>
    <w:link w:val="80"/>
    <w:qFormat/>
    <w:uiPriority w:val="99"/>
    <w:rPr>
      <w:rFonts w:ascii="宋体" w:hAnsi="Courier New" w:cs="宋体"/>
      <w:kern w:val="0"/>
      <w:sz w:val="20"/>
      <w:szCs w:val="20"/>
    </w:rPr>
  </w:style>
  <w:style w:type="paragraph" w:styleId="30">
    <w:name w:val="toc 8"/>
    <w:basedOn w:val="1"/>
    <w:next w:val="1"/>
    <w:semiHidden/>
    <w:qFormat/>
    <w:uiPriority w:val="99"/>
    <w:pPr>
      <w:ind w:left="1470"/>
      <w:jc w:val="left"/>
    </w:pPr>
    <w:rPr>
      <w:sz w:val="18"/>
      <w:szCs w:val="18"/>
    </w:rPr>
  </w:style>
  <w:style w:type="paragraph" w:styleId="31">
    <w:name w:val="Date"/>
    <w:basedOn w:val="1"/>
    <w:next w:val="1"/>
    <w:link w:val="81"/>
    <w:qFormat/>
    <w:uiPriority w:val="99"/>
    <w:pPr>
      <w:widowControl/>
      <w:ind w:left="100"/>
      <w:jc w:val="left"/>
    </w:pPr>
    <w:rPr>
      <w:rFonts w:ascii="宋体" w:hAnsi="宋体" w:cs="宋体"/>
      <w:kern w:val="0"/>
      <w:sz w:val="28"/>
      <w:szCs w:val="28"/>
    </w:rPr>
  </w:style>
  <w:style w:type="paragraph" w:styleId="32">
    <w:name w:val="Body Text Indent 2"/>
    <w:basedOn w:val="1"/>
    <w:link w:val="82"/>
    <w:qFormat/>
    <w:uiPriority w:val="99"/>
    <w:pPr>
      <w:spacing w:after="120" w:line="480" w:lineRule="auto"/>
      <w:ind w:left="420" w:leftChars="200"/>
    </w:pPr>
    <w:rPr>
      <w:rFonts w:ascii="Calibri" w:hAnsi="Calibri" w:cs="Calibri"/>
    </w:rPr>
  </w:style>
  <w:style w:type="paragraph" w:styleId="33">
    <w:name w:val="List Continue 5"/>
    <w:basedOn w:val="1"/>
    <w:qFormat/>
    <w:uiPriority w:val="99"/>
    <w:pPr>
      <w:spacing w:after="120"/>
      <w:ind w:left="2100" w:leftChars="1000"/>
    </w:pPr>
  </w:style>
  <w:style w:type="paragraph" w:styleId="34">
    <w:name w:val="Balloon Text"/>
    <w:basedOn w:val="1"/>
    <w:link w:val="83"/>
    <w:semiHidden/>
    <w:qFormat/>
    <w:uiPriority w:val="99"/>
    <w:rPr>
      <w:kern w:val="0"/>
      <w:sz w:val="18"/>
      <w:szCs w:val="18"/>
    </w:rPr>
  </w:style>
  <w:style w:type="paragraph" w:styleId="35">
    <w:name w:val="footer"/>
    <w:basedOn w:val="1"/>
    <w:link w:val="84"/>
    <w:qFormat/>
    <w:uiPriority w:val="99"/>
    <w:pPr>
      <w:tabs>
        <w:tab w:val="center" w:pos="4153"/>
        <w:tab w:val="right" w:pos="8306"/>
      </w:tabs>
      <w:snapToGrid w:val="0"/>
      <w:jc w:val="left"/>
    </w:pPr>
    <w:rPr>
      <w:sz w:val="18"/>
      <w:szCs w:val="18"/>
    </w:rPr>
  </w:style>
  <w:style w:type="paragraph" w:styleId="36">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semiHidden/>
    <w:qFormat/>
    <w:uiPriority w:val="99"/>
    <w:pPr>
      <w:widowControl/>
      <w:tabs>
        <w:tab w:val="right" w:leader="hyphen" w:pos="9736"/>
      </w:tabs>
      <w:spacing w:after="100" w:line="276" w:lineRule="auto"/>
      <w:jc w:val="center"/>
    </w:pPr>
    <w:rPr>
      <w:rFonts w:ascii="Calibri" w:hAnsi="Calibri" w:cs="Calibri"/>
      <w:kern w:val="0"/>
      <w:sz w:val="22"/>
      <w:szCs w:val="22"/>
    </w:rPr>
  </w:style>
  <w:style w:type="paragraph" w:styleId="38">
    <w:name w:val="List Continue 4"/>
    <w:basedOn w:val="1"/>
    <w:qFormat/>
    <w:uiPriority w:val="99"/>
    <w:pPr>
      <w:spacing w:after="120"/>
      <w:ind w:left="1680" w:leftChars="800"/>
    </w:pPr>
  </w:style>
  <w:style w:type="paragraph" w:styleId="39">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40">
    <w:name w:val="List"/>
    <w:basedOn w:val="1"/>
    <w:qFormat/>
    <w:uiPriority w:val="99"/>
    <w:pPr>
      <w:ind w:left="200" w:hanging="200" w:hangingChars="200"/>
    </w:pPr>
  </w:style>
  <w:style w:type="paragraph" w:styleId="41">
    <w:name w:val="footnote text"/>
    <w:basedOn w:val="1"/>
    <w:link w:val="86"/>
    <w:semiHidden/>
    <w:qFormat/>
    <w:uiPriority w:val="99"/>
    <w:pPr>
      <w:snapToGrid w:val="0"/>
      <w:jc w:val="left"/>
    </w:pPr>
    <w:rPr>
      <w:rFonts w:ascii="Calibri" w:hAnsi="Calibri" w:cs="Calibri"/>
      <w:kern w:val="0"/>
      <w:sz w:val="18"/>
      <w:szCs w:val="18"/>
    </w:rPr>
  </w:style>
  <w:style w:type="paragraph" w:styleId="42">
    <w:name w:val="toc 6"/>
    <w:basedOn w:val="1"/>
    <w:next w:val="1"/>
    <w:semiHidden/>
    <w:qFormat/>
    <w:uiPriority w:val="99"/>
    <w:pPr>
      <w:ind w:left="1050"/>
      <w:jc w:val="left"/>
    </w:pPr>
    <w:rPr>
      <w:sz w:val="18"/>
      <w:szCs w:val="18"/>
    </w:rPr>
  </w:style>
  <w:style w:type="paragraph" w:styleId="43">
    <w:name w:val="List 5"/>
    <w:basedOn w:val="1"/>
    <w:qFormat/>
    <w:uiPriority w:val="99"/>
    <w:pPr>
      <w:ind w:left="100" w:leftChars="800" w:hanging="200" w:hangingChars="200"/>
    </w:pPr>
  </w:style>
  <w:style w:type="paragraph" w:styleId="44">
    <w:name w:val="Body Text Indent 3"/>
    <w:basedOn w:val="1"/>
    <w:link w:val="87"/>
    <w:qFormat/>
    <w:uiPriority w:val="99"/>
    <w:pPr>
      <w:ind w:firstLine="435"/>
    </w:pPr>
    <w:rPr>
      <w:rFonts w:ascii="仿宋_GB2312" w:hAnsi="宋体" w:eastAsia="仿宋_GB2312" w:cs="仿宋_GB2312"/>
      <w:sz w:val="28"/>
      <w:szCs w:val="28"/>
    </w:rPr>
  </w:style>
  <w:style w:type="paragraph" w:styleId="45">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46">
    <w:name w:val="toc 9"/>
    <w:basedOn w:val="1"/>
    <w:next w:val="1"/>
    <w:semiHidden/>
    <w:qFormat/>
    <w:uiPriority w:val="99"/>
    <w:pPr>
      <w:ind w:left="1680"/>
      <w:jc w:val="left"/>
    </w:pPr>
    <w:rPr>
      <w:sz w:val="18"/>
      <w:szCs w:val="18"/>
    </w:rPr>
  </w:style>
  <w:style w:type="paragraph" w:styleId="47">
    <w:name w:val="Body Text 2"/>
    <w:basedOn w:val="1"/>
    <w:link w:val="88"/>
    <w:qFormat/>
    <w:uiPriority w:val="99"/>
    <w:rPr>
      <w:rFonts w:ascii="宋体" w:hAnsi="宋体" w:cs="宋体"/>
      <w:kern w:val="0"/>
      <w:sz w:val="24"/>
      <w:szCs w:val="24"/>
    </w:rPr>
  </w:style>
  <w:style w:type="paragraph" w:styleId="48">
    <w:name w:val="List 4"/>
    <w:basedOn w:val="1"/>
    <w:qFormat/>
    <w:uiPriority w:val="99"/>
    <w:pPr>
      <w:ind w:left="100" w:leftChars="600" w:hanging="200" w:hangingChars="200"/>
    </w:pPr>
  </w:style>
  <w:style w:type="paragraph" w:styleId="49">
    <w:name w:val="List Continue 2"/>
    <w:basedOn w:val="1"/>
    <w:qFormat/>
    <w:uiPriority w:val="99"/>
    <w:pPr>
      <w:spacing w:after="120"/>
      <w:ind w:left="840" w:leftChars="400"/>
    </w:pPr>
  </w:style>
  <w:style w:type="paragraph" w:styleId="50">
    <w:name w:val="HTML Preformatted"/>
    <w:basedOn w:val="1"/>
    <w:link w:val="89"/>
    <w:qFormat/>
    <w:uiPriority w:val="99"/>
    <w:rPr>
      <w:rFonts w:ascii="Courier New" w:hAnsi="Courier New" w:cs="Courier New"/>
      <w:kern w:val="0"/>
      <w:sz w:val="20"/>
      <w:szCs w:val="20"/>
    </w:rPr>
  </w:style>
  <w:style w:type="paragraph" w:styleId="5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2">
    <w:name w:val="List Continue 3"/>
    <w:basedOn w:val="1"/>
    <w:qFormat/>
    <w:uiPriority w:val="99"/>
    <w:pPr>
      <w:spacing w:after="120"/>
      <w:ind w:left="1260" w:leftChars="600"/>
    </w:pPr>
  </w:style>
  <w:style w:type="paragraph" w:styleId="53">
    <w:name w:val="annotation subject"/>
    <w:basedOn w:val="18"/>
    <w:next w:val="18"/>
    <w:link w:val="90"/>
    <w:semiHidden/>
    <w:qFormat/>
    <w:uiPriority w:val="99"/>
    <w:rPr>
      <w:b/>
      <w:bCs/>
    </w:rPr>
  </w:style>
  <w:style w:type="paragraph" w:styleId="54">
    <w:name w:val="Body Text First Indent"/>
    <w:basedOn w:val="19"/>
    <w:link w:val="91"/>
    <w:qFormat/>
    <w:uiPriority w:val="99"/>
    <w:pPr>
      <w:spacing w:line="360" w:lineRule="auto"/>
      <w:ind w:firstLine="482"/>
    </w:pPr>
    <w:rPr>
      <w:b/>
      <w:bCs/>
      <w:sz w:val="24"/>
      <w:szCs w:val="24"/>
    </w:rPr>
  </w:style>
  <w:style w:type="paragraph" w:styleId="55">
    <w:name w:val="Body Text First Indent 2"/>
    <w:basedOn w:val="1"/>
    <w:next w:val="1"/>
    <w:link w:val="92"/>
    <w:qFormat/>
    <w:uiPriority w:val="99"/>
    <w:pPr>
      <w:ind w:firstLine="420" w:firstLineChars="200"/>
    </w:pPr>
  </w:style>
  <w:style w:type="table" w:styleId="57">
    <w:name w:val="Table Grid"/>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99"/>
    <w:rPr>
      <w:b/>
      <w:bCs/>
    </w:rPr>
  </w:style>
  <w:style w:type="character" w:styleId="60">
    <w:name w:val="page number"/>
    <w:basedOn w:val="58"/>
    <w:qFormat/>
    <w:uiPriority w:val="99"/>
  </w:style>
  <w:style w:type="character" w:styleId="61">
    <w:name w:val="FollowedHyperlink"/>
    <w:basedOn w:val="58"/>
    <w:semiHidden/>
    <w:qFormat/>
    <w:uiPriority w:val="99"/>
    <w:rPr>
      <w:color w:val="800080"/>
      <w:u w:val="single"/>
    </w:rPr>
  </w:style>
  <w:style w:type="character" w:styleId="62">
    <w:name w:val="Emphasis"/>
    <w:basedOn w:val="58"/>
    <w:qFormat/>
    <w:uiPriority w:val="99"/>
    <w:rPr>
      <w:color w:val="auto"/>
    </w:rPr>
  </w:style>
  <w:style w:type="character" w:styleId="63">
    <w:name w:val="Hyperlink"/>
    <w:basedOn w:val="58"/>
    <w:qFormat/>
    <w:uiPriority w:val="99"/>
    <w:rPr>
      <w:color w:val="auto"/>
      <w:u w:val="none"/>
    </w:rPr>
  </w:style>
  <w:style w:type="character" w:styleId="64">
    <w:name w:val="annotation reference"/>
    <w:basedOn w:val="58"/>
    <w:semiHidden/>
    <w:qFormat/>
    <w:uiPriority w:val="99"/>
    <w:rPr>
      <w:sz w:val="21"/>
      <w:szCs w:val="21"/>
    </w:rPr>
  </w:style>
  <w:style w:type="character" w:styleId="65">
    <w:name w:val="footnote reference"/>
    <w:basedOn w:val="58"/>
    <w:semiHidden/>
    <w:qFormat/>
    <w:uiPriority w:val="99"/>
    <w:rPr>
      <w:vertAlign w:val="superscript"/>
    </w:rPr>
  </w:style>
  <w:style w:type="paragraph" w:customStyle="1" w:styleId="66">
    <w:name w:val="正文首行缩进 21"/>
    <w:basedOn w:val="22"/>
    <w:unhideWhenUsed/>
    <w:qFormat/>
    <w:uiPriority w:val="99"/>
    <w:pPr>
      <w:ind w:firstLine="200" w:firstLineChars="200"/>
    </w:pPr>
  </w:style>
  <w:style w:type="character" w:customStyle="1" w:styleId="67">
    <w:name w:val="标题 1 字符"/>
    <w:basedOn w:val="58"/>
    <w:link w:val="3"/>
    <w:qFormat/>
    <w:locked/>
    <w:uiPriority w:val="99"/>
    <w:rPr>
      <w:rFonts w:ascii="Times New Roman" w:hAnsi="Times New Roman" w:eastAsia="仿宋_GB2312" w:cs="Times New Roman"/>
      <w:sz w:val="24"/>
      <w:szCs w:val="24"/>
    </w:rPr>
  </w:style>
  <w:style w:type="character" w:customStyle="1" w:styleId="68">
    <w:name w:val="标题 2 字符"/>
    <w:basedOn w:val="58"/>
    <w:link w:val="2"/>
    <w:qFormat/>
    <w:locked/>
    <w:uiPriority w:val="99"/>
    <w:rPr>
      <w:rFonts w:ascii="Cambria" w:hAnsi="Cambria" w:eastAsia="宋体" w:cs="Cambria"/>
      <w:b/>
      <w:bCs/>
      <w:sz w:val="32"/>
      <w:szCs w:val="32"/>
    </w:rPr>
  </w:style>
  <w:style w:type="character" w:customStyle="1" w:styleId="69">
    <w:name w:val="标题 3 字符"/>
    <w:basedOn w:val="58"/>
    <w:link w:val="4"/>
    <w:qFormat/>
    <w:locked/>
    <w:uiPriority w:val="99"/>
    <w:rPr>
      <w:rFonts w:ascii="Times New Roman" w:hAnsi="Times New Roman" w:eastAsia="宋体" w:cs="Times New Roman"/>
      <w:b/>
      <w:bCs/>
      <w:sz w:val="32"/>
      <w:szCs w:val="32"/>
    </w:rPr>
  </w:style>
  <w:style w:type="character" w:customStyle="1" w:styleId="70">
    <w:name w:val="标题 4 字符"/>
    <w:basedOn w:val="58"/>
    <w:link w:val="5"/>
    <w:qFormat/>
    <w:locked/>
    <w:uiPriority w:val="99"/>
    <w:rPr>
      <w:rFonts w:ascii="Arial" w:hAnsi="Arial" w:eastAsia="黑体" w:cs="Arial"/>
      <w:b/>
      <w:bCs/>
      <w:sz w:val="20"/>
      <w:szCs w:val="20"/>
    </w:rPr>
  </w:style>
  <w:style w:type="character" w:customStyle="1" w:styleId="71">
    <w:name w:val="标题 5 字符"/>
    <w:basedOn w:val="58"/>
    <w:link w:val="6"/>
    <w:qFormat/>
    <w:locked/>
    <w:uiPriority w:val="99"/>
    <w:rPr>
      <w:rFonts w:ascii="Times New Roman" w:hAnsi="Times New Roman" w:eastAsia="宋体" w:cs="Times New Roman"/>
      <w:b/>
      <w:bCs/>
      <w:kern w:val="0"/>
      <w:sz w:val="20"/>
      <w:szCs w:val="20"/>
    </w:rPr>
  </w:style>
  <w:style w:type="character" w:customStyle="1" w:styleId="72">
    <w:name w:val="标题 6 字符"/>
    <w:basedOn w:val="58"/>
    <w:link w:val="7"/>
    <w:qFormat/>
    <w:locked/>
    <w:uiPriority w:val="99"/>
    <w:rPr>
      <w:rFonts w:ascii="Arial" w:hAnsi="Arial" w:eastAsia="黑体" w:cs="Arial"/>
      <w:b/>
      <w:bCs/>
      <w:kern w:val="0"/>
      <w:sz w:val="20"/>
      <w:szCs w:val="20"/>
    </w:rPr>
  </w:style>
  <w:style w:type="character" w:customStyle="1" w:styleId="73">
    <w:name w:val="标题 7 字符"/>
    <w:basedOn w:val="58"/>
    <w:link w:val="8"/>
    <w:qFormat/>
    <w:locked/>
    <w:uiPriority w:val="99"/>
    <w:rPr>
      <w:rFonts w:ascii="Times New Roman" w:hAnsi="Times New Roman" w:eastAsia="宋体" w:cs="Times New Roman"/>
      <w:b/>
      <w:bCs/>
      <w:sz w:val="24"/>
      <w:szCs w:val="24"/>
    </w:rPr>
  </w:style>
  <w:style w:type="character" w:customStyle="1" w:styleId="74">
    <w:name w:val="标题 8 字符"/>
    <w:basedOn w:val="58"/>
    <w:link w:val="9"/>
    <w:qFormat/>
    <w:locked/>
    <w:uiPriority w:val="99"/>
    <w:rPr>
      <w:rFonts w:ascii="Arial" w:hAnsi="Arial" w:eastAsia="黑体" w:cs="Arial"/>
      <w:kern w:val="0"/>
      <w:sz w:val="20"/>
      <w:szCs w:val="20"/>
    </w:rPr>
  </w:style>
  <w:style w:type="character" w:customStyle="1" w:styleId="75">
    <w:name w:val="标题 9 字符"/>
    <w:basedOn w:val="58"/>
    <w:link w:val="10"/>
    <w:qFormat/>
    <w:locked/>
    <w:uiPriority w:val="99"/>
    <w:rPr>
      <w:rFonts w:ascii="Arial" w:hAnsi="Arial" w:eastAsia="黑体" w:cs="Arial"/>
      <w:kern w:val="0"/>
      <w:sz w:val="20"/>
      <w:szCs w:val="20"/>
    </w:rPr>
  </w:style>
  <w:style w:type="character" w:customStyle="1" w:styleId="76">
    <w:name w:val="文档结构图 字符"/>
    <w:basedOn w:val="58"/>
    <w:link w:val="16"/>
    <w:semiHidden/>
    <w:qFormat/>
    <w:locked/>
    <w:uiPriority w:val="99"/>
    <w:rPr>
      <w:rFonts w:ascii="宋体" w:hAnsi="Times New Roman" w:eastAsia="宋体" w:cs="宋体"/>
      <w:sz w:val="18"/>
      <w:szCs w:val="18"/>
    </w:rPr>
  </w:style>
  <w:style w:type="character" w:customStyle="1" w:styleId="77">
    <w:name w:val="批注文字 字符"/>
    <w:basedOn w:val="58"/>
    <w:link w:val="18"/>
    <w:semiHidden/>
    <w:qFormat/>
    <w:locked/>
    <w:uiPriority w:val="99"/>
    <w:rPr>
      <w:rFonts w:ascii="Times New Roman" w:hAnsi="Times New Roman" w:eastAsia="宋体" w:cs="Times New Roman"/>
      <w:sz w:val="24"/>
      <w:szCs w:val="24"/>
    </w:rPr>
  </w:style>
  <w:style w:type="character" w:customStyle="1" w:styleId="78">
    <w:name w:val="正文文本 字符"/>
    <w:basedOn w:val="58"/>
    <w:link w:val="19"/>
    <w:semiHidden/>
    <w:qFormat/>
    <w:locked/>
    <w:uiPriority w:val="99"/>
    <w:rPr>
      <w:rFonts w:ascii="Times New Roman" w:hAnsi="Times New Roman" w:eastAsia="宋体" w:cs="Times New Roman"/>
      <w:sz w:val="24"/>
      <w:szCs w:val="24"/>
    </w:rPr>
  </w:style>
  <w:style w:type="character" w:customStyle="1" w:styleId="79">
    <w:name w:val="正文文本缩进 字符"/>
    <w:basedOn w:val="58"/>
    <w:link w:val="22"/>
    <w:semiHidden/>
    <w:qFormat/>
    <w:locked/>
    <w:uiPriority w:val="99"/>
    <w:rPr>
      <w:rFonts w:ascii="Times New Roman" w:hAnsi="Times New Roman" w:eastAsia="宋体" w:cs="Times New Roman"/>
      <w:sz w:val="24"/>
      <w:szCs w:val="24"/>
    </w:rPr>
  </w:style>
  <w:style w:type="character" w:customStyle="1" w:styleId="80">
    <w:name w:val="纯文本 字符"/>
    <w:basedOn w:val="58"/>
    <w:link w:val="29"/>
    <w:semiHidden/>
    <w:qFormat/>
    <w:locked/>
    <w:uiPriority w:val="99"/>
    <w:rPr>
      <w:rFonts w:ascii="宋体" w:hAnsi="Courier New" w:eastAsia="宋体" w:cs="宋体"/>
      <w:sz w:val="21"/>
      <w:szCs w:val="21"/>
    </w:rPr>
  </w:style>
  <w:style w:type="character" w:customStyle="1" w:styleId="81">
    <w:name w:val="日期 字符"/>
    <w:basedOn w:val="58"/>
    <w:link w:val="31"/>
    <w:semiHidden/>
    <w:qFormat/>
    <w:locked/>
    <w:uiPriority w:val="99"/>
    <w:rPr>
      <w:rFonts w:ascii="Times New Roman" w:hAnsi="Times New Roman" w:eastAsia="宋体" w:cs="Times New Roman"/>
      <w:sz w:val="24"/>
      <w:szCs w:val="24"/>
    </w:rPr>
  </w:style>
  <w:style w:type="character" w:customStyle="1" w:styleId="82">
    <w:name w:val="正文文本缩进 2 字符"/>
    <w:basedOn w:val="58"/>
    <w:link w:val="32"/>
    <w:semiHidden/>
    <w:qFormat/>
    <w:locked/>
    <w:uiPriority w:val="99"/>
    <w:rPr>
      <w:rFonts w:ascii="Times New Roman" w:hAnsi="Times New Roman" w:eastAsia="宋体" w:cs="Times New Roman"/>
      <w:sz w:val="24"/>
      <w:szCs w:val="24"/>
    </w:rPr>
  </w:style>
  <w:style w:type="character" w:customStyle="1" w:styleId="83">
    <w:name w:val="批注框文本 字符"/>
    <w:basedOn w:val="58"/>
    <w:link w:val="34"/>
    <w:semiHidden/>
    <w:qFormat/>
    <w:locked/>
    <w:uiPriority w:val="99"/>
    <w:rPr>
      <w:rFonts w:ascii="Times New Roman" w:hAnsi="Times New Roman" w:eastAsia="宋体" w:cs="Times New Roman"/>
      <w:sz w:val="18"/>
      <w:szCs w:val="18"/>
    </w:rPr>
  </w:style>
  <w:style w:type="character" w:customStyle="1" w:styleId="84">
    <w:name w:val="页脚 字符"/>
    <w:basedOn w:val="58"/>
    <w:link w:val="35"/>
    <w:qFormat/>
    <w:locked/>
    <w:uiPriority w:val="99"/>
    <w:rPr>
      <w:sz w:val="18"/>
      <w:szCs w:val="18"/>
    </w:rPr>
  </w:style>
  <w:style w:type="character" w:customStyle="1" w:styleId="85">
    <w:name w:val="页眉 字符"/>
    <w:basedOn w:val="58"/>
    <w:link w:val="36"/>
    <w:qFormat/>
    <w:locked/>
    <w:uiPriority w:val="99"/>
    <w:rPr>
      <w:sz w:val="18"/>
      <w:szCs w:val="18"/>
    </w:rPr>
  </w:style>
  <w:style w:type="character" w:customStyle="1" w:styleId="86">
    <w:name w:val="脚注文本 字符"/>
    <w:basedOn w:val="58"/>
    <w:link w:val="41"/>
    <w:semiHidden/>
    <w:qFormat/>
    <w:locked/>
    <w:uiPriority w:val="99"/>
    <w:rPr>
      <w:rFonts w:ascii="Times New Roman" w:hAnsi="Times New Roman" w:eastAsia="宋体" w:cs="Times New Roman"/>
      <w:sz w:val="18"/>
      <w:szCs w:val="18"/>
    </w:rPr>
  </w:style>
  <w:style w:type="character" w:customStyle="1" w:styleId="87">
    <w:name w:val="正文文本缩进 3 字符"/>
    <w:basedOn w:val="58"/>
    <w:link w:val="44"/>
    <w:qFormat/>
    <w:locked/>
    <w:uiPriority w:val="99"/>
    <w:rPr>
      <w:rFonts w:ascii="仿宋_GB2312" w:hAnsi="宋体" w:eastAsia="仿宋_GB2312" w:cs="仿宋_GB2312"/>
      <w:sz w:val="24"/>
      <w:szCs w:val="24"/>
    </w:rPr>
  </w:style>
  <w:style w:type="character" w:customStyle="1" w:styleId="88">
    <w:name w:val="正文文本 2 字符"/>
    <w:basedOn w:val="58"/>
    <w:link w:val="47"/>
    <w:semiHidden/>
    <w:qFormat/>
    <w:locked/>
    <w:uiPriority w:val="99"/>
    <w:rPr>
      <w:rFonts w:ascii="Times New Roman" w:hAnsi="Times New Roman" w:eastAsia="宋体" w:cs="Times New Roman"/>
      <w:sz w:val="24"/>
      <w:szCs w:val="24"/>
    </w:rPr>
  </w:style>
  <w:style w:type="character" w:customStyle="1" w:styleId="89">
    <w:name w:val="HTML 预设格式 字符"/>
    <w:basedOn w:val="58"/>
    <w:link w:val="50"/>
    <w:semiHidden/>
    <w:qFormat/>
    <w:locked/>
    <w:uiPriority w:val="99"/>
    <w:rPr>
      <w:rFonts w:ascii="Courier New" w:hAnsi="Courier New" w:eastAsia="宋体" w:cs="Courier New"/>
      <w:sz w:val="20"/>
      <w:szCs w:val="20"/>
    </w:rPr>
  </w:style>
  <w:style w:type="character" w:customStyle="1" w:styleId="90">
    <w:name w:val="批注主题 字符"/>
    <w:basedOn w:val="77"/>
    <w:link w:val="53"/>
    <w:semiHidden/>
    <w:qFormat/>
    <w:locked/>
    <w:uiPriority w:val="99"/>
    <w:rPr>
      <w:rFonts w:ascii="Times New Roman" w:hAnsi="Times New Roman" w:eastAsia="宋体" w:cs="Times New Roman"/>
      <w:b/>
      <w:bCs/>
      <w:sz w:val="24"/>
      <w:szCs w:val="24"/>
    </w:rPr>
  </w:style>
  <w:style w:type="character" w:customStyle="1" w:styleId="91">
    <w:name w:val="正文文本首行缩进 字符"/>
    <w:basedOn w:val="78"/>
    <w:link w:val="54"/>
    <w:semiHidden/>
    <w:qFormat/>
    <w:locked/>
    <w:uiPriority w:val="99"/>
    <w:rPr>
      <w:rFonts w:ascii="Times New Roman" w:hAnsi="Times New Roman" w:eastAsia="宋体" w:cs="Times New Roman"/>
      <w:sz w:val="24"/>
      <w:szCs w:val="24"/>
    </w:rPr>
  </w:style>
  <w:style w:type="character" w:customStyle="1" w:styleId="92">
    <w:name w:val="正文文本首行缩进 2 字符"/>
    <w:basedOn w:val="79"/>
    <w:link w:val="55"/>
    <w:semiHidden/>
    <w:qFormat/>
    <w:locked/>
    <w:uiPriority w:val="99"/>
    <w:rPr>
      <w:rFonts w:ascii="Times New Roman" w:hAnsi="Times New Roman" w:eastAsia="宋体" w:cs="Times New Roman"/>
      <w:sz w:val="24"/>
      <w:szCs w:val="24"/>
    </w:rPr>
  </w:style>
  <w:style w:type="character" w:customStyle="1" w:styleId="93">
    <w:name w:val="正文文本缩进 2 Char"/>
    <w:qFormat/>
    <w:uiPriority w:val="99"/>
  </w:style>
  <w:style w:type="character" w:customStyle="1" w:styleId="94">
    <w:name w:val="脚注文本 Char"/>
    <w:qFormat/>
    <w:uiPriority w:val="99"/>
    <w:rPr>
      <w:rFonts w:ascii="Calibri" w:hAnsi="Calibri" w:cs="Calibri"/>
      <w:sz w:val="18"/>
      <w:szCs w:val="18"/>
    </w:rPr>
  </w:style>
  <w:style w:type="character" w:customStyle="1" w:styleId="95">
    <w:name w:val="批注主题 Char"/>
    <w:qFormat/>
    <w:uiPriority w:val="99"/>
    <w:rPr>
      <w:b/>
      <w:bCs/>
      <w:sz w:val="24"/>
      <w:szCs w:val="24"/>
    </w:rPr>
  </w:style>
  <w:style w:type="character" w:customStyle="1" w:styleId="96">
    <w:name w:val="纯文本 Char"/>
    <w:qFormat/>
    <w:uiPriority w:val="99"/>
    <w:rPr>
      <w:rFonts w:ascii="宋体" w:hAnsi="Courier New" w:eastAsia="宋体" w:cs="宋体"/>
    </w:rPr>
  </w:style>
  <w:style w:type="character" w:customStyle="1" w:styleId="97">
    <w:name w:val="文档结构图 Char"/>
    <w:qFormat/>
    <w:uiPriority w:val="99"/>
    <w:rPr>
      <w:rFonts w:ascii="宋体" w:cs="宋体"/>
      <w:sz w:val="18"/>
      <w:szCs w:val="18"/>
    </w:rPr>
  </w:style>
  <w:style w:type="character" w:customStyle="1" w:styleId="98">
    <w:name w:val="HTML 预设格式 Char"/>
    <w:qFormat/>
    <w:uiPriority w:val="99"/>
    <w:rPr>
      <w:rFonts w:ascii="Courier New" w:hAnsi="Courier New" w:cs="Courier New"/>
    </w:rPr>
  </w:style>
  <w:style w:type="character" w:customStyle="1" w:styleId="99">
    <w:name w:val="style1"/>
    <w:qFormat/>
    <w:uiPriority w:val="99"/>
  </w:style>
  <w:style w:type="character" w:customStyle="1" w:styleId="100">
    <w:name w:val="日期 Char"/>
    <w:qFormat/>
    <w:uiPriority w:val="99"/>
    <w:rPr>
      <w:rFonts w:ascii="宋体" w:eastAsia="宋体" w:cs="宋体"/>
      <w:sz w:val="28"/>
      <w:szCs w:val="28"/>
    </w:rPr>
  </w:style>
  <w:style w:type="character" w:customStyle="1" w:styleId="101">
    <w:name w:val="批注框文本 Char"/>
    <w:qFormat/>
    <w:uiPriority w:val="99"/>
    <w:rPr>
      <w:sz w:val="18"/>
      <w:szCs w:val="18"/>
    </w:rPr>
  </w:style>
  <w:style w:type="character" w:customStyle="1" w:styleId="102">
    <w:name w:val="正文文本 Char"/>
    <w:qFormat/>
    <w:uiPriority w:val="99"/>
    <w:rPr>
      <w:rFonts w:eastAsia="宋体"/>
      <w:sz w:val="24"/>
      <w:szCs w:val="24"/>
    </w:rPr>
  </w:style>
  <w:style w:type="character" w:customStyle="1" w:styleId="103">
    <w:name w:val="批注文字 Char"/>
    <w:semiHidden/>
    <w:qFormat/>
    <w:uiPriority w:val="99"/>
    <w:rPr>
      <w:rFonts w:eastAsia="宋体"/>
      <w:sz w:val="24"/>
      <w:szCs w:val="24"/>
    </w:rPr>
  </w:style>
  <w:style w:type="character" w:customStyle="1" w:styleId="104">
    <w:name w:val="标题 1 Char Char"/>
    <w:qFormat/>
    <w:uiPriority w:val="99"/>
    <w:rPr>
      <w:rFonts w:eastAsia="宋体"/>
      <w:b/>
      <w:bCs/>
      <w:spacing w:val="-2"/>
      <w:sz w:val="24"/>
      <w:szCs w:val="24"/>
      <w:lang w:val="en-US" w:eastAsia="zh-CN"/>
    </w:rPr>
  </w:style>
  <w:style w:type="character" w:customStyle="1" w:styleId="105">
    <w:name w:val="正文文本 2 Char2"/>
    <w:link w:val="106"/>
    <w:qFormat/>
    <w:locked/>
    <w:uiPriority w:val="99"/>
    <w:rPr>
      <w:rFonts w:ascii="Calibri" w:hAnsi="Calibri" w:cs="Calibri"/>
      <w:sz w:val="21"/>
      <w:szCs w:val="21"/>
    </w:rPr>
  </w:style>
  <w:style w:type="paragraph" w:customStyle="1" w:styleId="106">
    <w:name w:val="正文文本 21"/>
    <w:basedOn w:val="1"/>
    <w:link w:val="105"/>
    <w:qFormat/>
    <w:uiPriority w:val="99"/>
    <w:pPr>
      <w:spacing w:before="280" w:after="120" w:line="480" w:lineRule="auto"/>
      <w:ind w:left="420" w:hanging="420"/>
    </w:pPr>
    <w:rPr>
      <w:rFonts w:ascii="Calibri" w:hAnsi="Calibri"/>
      <w:kern w:val="0"/>
    </w:rPr>
  </w:style>
  <w:style w:type="character" w:customStyle="1" w:styleId="107">
    <w:name w:val="正文文本 2 Char"/>
    <w:qFormat/>
    <w:uiPriority w:val="99"/>
    <w:rPr>
      <w:rFonts w:ascii="宋体" w:eastAsia="宋体" w:cs="宋体"/>
      <w:sz w:val="24"/>
      <w:szCs w:val="24"/>
    </w:rPr>
  </w:style>
  <w:style w:type="character" w:customStyle="1" w:styleId="108">
    <w:name w:val="flName Char"/>
    <w:link w:val="109"/>
    <w:qFormat/>
    <w:locked/>
    <w:uiPriority w:val="99"/>
    <w:rPr>
      <w:rFonts w:ascii="Arial" w:hAnsi="Arial" w:eastAsia="黑体" w:cs="Arial"/>
      <w:sz w:val="32"/>
      <w:szCs w:val="32"/>
    </w:rPr>
  </w:style>
  <w:style w:type="paragraph" w:customStyle="1" w:styleId="109">
    <w:name w:val="flName"/>
    <w:basedOn w:val="1"/>
    <w:link w:val="108"/>
    <w:qFormat/>
    <w:uiPriority w:val="99"/>
    <w:pPr>
      <w:adjustRightInd w:val="0"/>
      <w:spacing w:before="320" w:after="160" w:line="360" w:lineRule="atLeast"/>
      <w:jc w:val="center"/>
    </w:pPr>
    <w:rPr>
      <w:rFonts w:ascii="Arial" w:hAnsi="Arial" w:eastAsia="黑体"/>
      <w:kern w:val="0"/>
      <w:sz w:val="32"/>
      <w:szCs w:val="32"/>
    </w:rPr>
  </w:style>
  <w:style w:type="character" w:customStyle="1" w:styleId="110">
    <w:name w:val="正文缩进 Char"/>
    <w:qFormat/>
    <w:uiPriority w:val="99"/>
    <w:rPr>
      <w:rFonts w:eastAsia="宋体"/>
      <w:kern w:val="2"/>
      <w:sz w:val="24"/>
      <w:szCs w:val="24"/>
      <w:lang w:val="en-US" w:eastAsia="zh-CN"/>
    </w:rPr>
  </w:style>
  <w:style w:type="character" w:customStyle="1" w:styleId="111">
    <w:name w:val="标题3 字符"/>
    <w:link w:val="112"/>
    <w:qFormat/>
    <w:locked/>
    <w:uiPriority w:val="99"/>
    <w:rPr>
      <w:rFonts w:ascii="宋体" w:eastAsia="宋体" w:cs="宋体"/>
      <w:sz w:val="28"/>
      <w:szCs w:val="28"/>
    </w:rPr>
  </w:style>
  <w:style w:type="paragraph" w:customStyle="1" w:styleId="112">
    <w:name w:val="标题3"/>
    <w:basedOn w:val="4"/>
    <w:next w:val="1"/>
    <w:link w:val="111"/>
    <w:qFormat/>
    <w:uiPriority w:val="99"/>
    <w:rPr>
      <w:rFonts w:ascii="宋体"/>
      <w:b w:val="0"/>
      <w:bCs w:val="0"/>
      <w:kern w:val="0"/>
      <w:sz w:val="28"/>
      <w:szCs w:val="28"/>
    </w:rPr>
  </w:style>
  <w:style w:type="character" w:customStyle="1" w:styleId="113">
    <w:name w:val="正文缩进 字符"/>
    <w:link w:val="14"/>
    <w:qFormat/>
    <w:locked/>
    <w:uiPriority w:val="99"/>
    <w:rPr>
      <w:rFonts w:eastAsia="宋体"/>
      <w:sz w:val="24"/>
      <w:szCs w:val="24"/>
    </w:rPr>
  </w:style>
  <w:style w:type="character" w:customStyle="1" w:styleId="114">
    <w:name w:val="Style Heading 3 + Char"/>
    <w:link w:val="115"/>
    <w:qFormat/>
    <w:locked/>
    <w:uiPriority w:val="99"/>
    <w:rPr>
      <w:b/>
      <w:bCs/>
      <w:sz w:val="28"/>
      <w:szCs w:val="28"/>
    </w:rPr>
  </w:style>
  <w:style w:type="paragraph" w:customStyle="1" w:styleId="115">
    <w:name w:val="Style Heading 3 +"/>
    <w:basedOn w:val="4"/>
    <w:link w:val="114"/>
    <w:qFormat/>
    <w:uiPriority w:val="99"/>
    <w:pPr>
      <w:spacing w:before="120" w:after="120" w:line="120" w:lineRule="atLeast"/>
    </w:pPr>
    <w:rPr>
      <w:kern w:val="0"/>
      <w:sz w:val="28"/>
      <w:szCs w:val="28"/>
    </w:rPr>
  </w:style>
  <w:style w:type="character" w:customStyle="1" w:styleId="116">
    <w:name w:val="正文文本缩进 Char"/>
    <w:qFormat/>
    <w:uiPriority w:val="99"/>
    <w:rPr>
      <w:rFonts w:eastAsia="宋体"/>
      <w:sz w:val="24"/>
      <w:szCs w:val="24"/>
    </w:rPr>
  </w:style>
  <w:style w:type="character" w:customStyle="1" w:styleId="117">
    <w:name w:val="正文缩进2格 Char"/>
    <w:qFormat/>
    <w:uiPriority w:val="0"/>
    <w:rPr>
      <w:rFonts w:ascii="仿宋_GB2312" w:hAnsi="宋体" w:eastAsia="仿宋_GB2312" w:cs="仿宋_GB2312"/>
      <w:kern w:val="2"/>
      <w:sz w:val="28"/>
      <w:szCs w:val="28"/>
      <w:lang w:val="en-US" w:eastAsia="zh-CN"/>
    </w:rPr>
  </w:style>
  <w:style w:type="character" w:customStyle="1" w:styleId="118">
    <w:name w:val="无间隔 字符"/>
    <w:link w:val="119"/>
    <w:qFormat/>
    <w:locked/>
    <w:uiPriority w:val="99"/>
    <w:rPr>
      <w:rFonts w:ascii="Calibri" w:hAnsi="Calibri" w:cs="Calibri"/>
      <w:kern w:val="2"/>
      <w:sz w:val="22"/>
      <w:szCs w:val="22"/>
      <w:lang w:val="en-US" w:eastAsia="zh-CN" w:bidi="ar-SA"/>
    </w:rPr>
  </w:style>
  <w:style w:type="paragraph" w:customStyle="1" w:styleId="119">
    <w:name w:val="无间隔1"/>
    <w:link w:val="118"/>
    <w:qFormat/>
    <w:uiPriority w:val="99"/>
    <w:rPr>
      <w:rFonts w:ascii="Calibri" w:hAnsi="Calibri" w:eastAsia="宋体" w:cs="Calibri"/>
      <w:kern w:val="2"/>
      <w:sz w:val="22"/>
      <w:szCs w:val="22"/>
      <w:lang w:val="en-US" w:eastAsia="zh-CN" w:bidi="ar-SA"/>
    </w:rPr>
  </w:style>
  <w:style w:type="character" w:customStyle="1" w:styleId="120">
    <w:name w:val="HTML 预设格式 Char1"/>
    <w:qFormat/>
    <w:locked/>
    <w:uiPriority w:val="99"/>
    <w:rPr>
      <w:rFonts w:ascii="Courier New" w:hAnsi="Courier New" w:eastAsia="宋体" w:cs="Courier New"/>
      <w:kern w:val="0"/>
      <w:sz w:val="20"/>
      <w:szCs w:val="20"/>
    </w:rPr>
  </w:style>
  <w:style w:type="character" w:customStyle="1" w:styleId="121">
    <w:name w:val="正文首行缩进 Char"/>
    <w:qFormat/>
    <w:uiPriority w:val="99"/>
    <w:rPr>
      <w:b/>
      <w:bCs/>
      <w:sz w:val="24"/>
      <w:szCs w:val="24"/>
    </w:rPr>
  </w:style>
  <w:style w:type="character" w:customStyle="1" w:styleId="122">
    <w:name w:val="正文首行缩进 2 Char"/>
    <w:basedOn w:val="116"/>
    <w:qFormat/>
    <w:locked/>
    <w:uiPriority w:val="99"/>
    <w:rPr>
      <w:rFonts w:eastAsia="宋体"/>
      <w:sz w:val="24"/>
      <w:szCs w:val="24"/>
    </w:rPr>
  </w:style>
  <w:style w:type="character" w:customStyle="1" w:styleId="123">
    <w:name w:val="16"/>
    <w:qFormat/>
    <w:uiPriority w:val="99"/>
    <w:rPr>
      <w:rFonts w:ascii="Calibri" w:hAnsi="Calibri" w:cs="Calibri"/>
      <w:color w:val="0000FF"/>
      <w:u w:val="single"/>
    </w:rPr>
  </w:style>
  <w:style w:type="character" w:customStyle="1" w:styleId="124">
    <w:name w:val="Char Char4"/>
    <w:qFormat/>
    <w:uiPriority w:val="99"/>
    <w:rPr>
      <w:rFonts w:eastAsia="宋体"/>
      <w:kern w:val="2"/>
      <w:sz w:val="24"/>
      <w:szCs w:val="24"/>
      <w:lang w:val="en-US" w:eastAsia="zh-CN"/>
    </w:rPr>
  </w:style>
  <w:style w:type="character" w:customStyle="1" w:styleId="125">
    <w:name w:val="正文缩进2格 Char Char"/>
    <w:link w:val="126"/>
    <w:qFormat/>
    <w:locked/>
    <w:uiPriority w:val="0"/>
    <w:rPr>
      <w:rFonts w:ascii="仿宋_GB2312" w:hAnsi="宋体" w:eastAsia="仿宋_GB2312" w:cs="仿宋_GB2312"/>
      <w:sz w:val="28"/>
      <w:szCs w:val="28"/>
    </w:rPr>
  </w:style>
  <w:style w:type="paragraph" w:customStyle="1" w:styleId="126">
    <w:name w:val="正文缩进2格"/>
    <w:basedOn w:val="1"/>
    <w:link w:val="125"/>
    <w:qFormat/>
    <w:uiPriority w:val="0"/>
    <w:pPr>
      <w:spacing w:line="600" w:lineRule="exact"/>
      <w:ind w:firstLine="639" w:firstLineChars="206"/>
    </w:pPr>
    <w:rPr>
      <w:rFonts w:ascii="仿宋_GB2312" w:hAnsi="宋体" w:eastAsia="仿宋_GB2312"/>
      <w:kern w:val="0"/>
      <w:sz w:val="28"/>
      <w:szCs w:val="28"/>
    </w:rPr>
  </w:style>
  <w:style w:type="paragraph" w:customStyle="1" w:styleId="127">
    <w:name w:val="xl74"/>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28">
    <w:name w:val="xl81"/>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82"/>
    <w:basedOn w:val="1"/>
    <w:qFormat/>
    <w:uiPriority w:val="99"/>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正文样式"/>
    <w:basedOn w:val="1"/>
    <w:qFormat/>
    <w:uiPriority w:val="99"/>
    <w:pPr>
      <w:spacing w:line="440" w:lineRule="exact"/>
      <w:ind w:firstLine="200" w:firstLineChars="200"/>
    </w:pPr>
    <w:rPr>
      <w:rFonts w:ascii="仿宋_GB2312" w:eastAsia="仿宋_GB2312" w:cs="仿宋_GB2312"/>
      <w:sz w:val="28"/>
      <w:szCs w:val="28"/>
    </w:rPr>
  </w:style>
  <w:style w:type="paragraph" w:customStyle="1" w:styleId="131">
    <w:name w:val="xl78"/>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32">
    <w:name w:val="xl99"/>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2"/>
    <w:basedOn w:val="1"/>
    <w:qFormat/>
    <w:uiPriority w:val="99"/>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34">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5">
    <w:name w:val="xl76"/>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7">
    <w:name w:val="xl100"/>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9">
    <w:name w:val="xl105"/>
    <w:basedOn w:val="1"/>
    <w:qFormat/>
    <w:uiPriority w:val="99"/>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90"/>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141">
    <w:name w:val="p0"/>
    <w:basedOn w:val="1"/>
    <w:qFormat/>
    <w:uiPriority w:val="99"/>
    <w:pPr>
      <w:widowControl/>
    </w:pPr>
    <w:rPr>
      <w:rFonts w:ascii="Calibri" w:hAnsi="Calibri" w:cs="Calibri"/>
      <w:kern w:val="0"/>
    </w:rPr>
  </w:style>
  <w:style w:type="paragraph" w:customStyle="1" w:styleId="142">
    <w:name w:val="xl86"/>
    <w:basedOn w:val="1"/>
    <w:qFormat/>
    <w:uiPriority w:val="99"/>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43">
    <w:name w:val="xl95"/>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6">
    <w:name w:val="xl89"/>
    <w:basedOn w:val="1"/>
    <w:qFormat/>
    <w:uiPriority w:val="99"/>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7">
    <w:name w:val="列出段落1"/>
    <w:basedOn w:val="1"/>
    <w:qFormat/>
    <w:uiPriority w:val="34"/>
    <w:pPr>
      <w:ind w:firstLine="420" w:firstLineChars="200"/>
    </w:pPr>
  </w:style>
  <w:style w:type="paragraph" w:customStyle="1" w:styleId="148">
    <w:name w:val="xl98"/>
    <w:basedOn w:val="1"/>
    <w:qFormat/>
    <w:uiPriority w:val="99"/>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9">
    <w:name w:val="xl85"/>
    <w:basedOn w:val="1"/>
    <w:qFormat/>
    <w:uiPriority w:val="99"/>
    <w:pPr>
      <w:widowControl/>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50">
    <w:name w:val="font6"/>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51">
    <w:name w:val="xl80"/>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2">
    <w:name w:val="样式 标题 1 + 宋体 段前: 0 磅 段后: 0 磅 行距: 单倍行距"/>
    <w:basedOn w:val="3"/>
    <w:next w:val="1"/>
    <w:qFormat/>
    <w:uiPriority w:val="99"/>
    <w:pPr>
      <w:keepLines/>
      <w:spacing w:beforeLines="100" w:afterLines="100"/>
    </w:pPr>
    <w:rPr>
      <w:rFonts w:ascii="仿宋_GB2312" w:hAnsi="宋体" w:cs="仿宋_GB2312"/>
      <w:b/>
      <w:bCs/>
      <w:kern w:val="44"/>
      <w:sz w:val="44"/>
      <w:szCs w:val="44"/>
    </w:rPr>
  </w:style>
  <w:style w:type="paragraph" w:customStyle="1" w:styleId="153">
    <w:name w:val="正文文字3"/>
    <w:basedOn w:val="19"/>
    <w:qFormat/>
    <w:uiPriority w:val="99"/>
    <w:pPr>
      <w:adjustRightInd w:val="0"/>
      <w:spacing w:after="0" w:line="360" w:lineRule="atLeast"/>
      <w:ind w:left="30" w:leftChars="30" w:right="30" w:rightChars="30"/>
    </w:pPr>
  </w:style>
  <w:style w:type="paragraph" w:customStyle="1" w:styleId="154">
    <w:name w:val="TOC 标题1"/>
    <w:basedOn w:val="3"/>
    <w:next w:val="1"/>
    <w:qFormat/>
    <w:uiPriority w:val="99"/>
    <w:pPr>
      <w:keepLines/>
      <w:widowControl/>
      <w:spacing w:before="480" w:line="276" w:lineRule="auto"/>
      <w:jc w:val="left"/>
      <w:outlineLvl w:val="9"/>
    </w:pPr>
    <w:rPr>
      <w:rFonts w:ascii="Cambria" w:hAnsi="Cambria" w:eastAsia="宋体" w:cs="Cambria"/>
      <w:b/>
      <w:bCs/>
      <w:color w:val="365F91"/>
      <w:kern w:val="0"/>
    </w:rPr>
  </w:style>
  <w:style w:type="paragraph" w:customStyle="1" w:styleId="155">
    <w:name w:val="图文"/>
    <w:basedOn w:val="1"/>
    <w:qFormat/>
    <w:uiPriority w:val="99"/>
    <w:pPr>
      <w:adjustRightInd w:val="0"/>
      <w:snapToGrid w:val="0"/>
      <w:spacing w:after="50" w:line="360" w:lineRule="auto"/>
    </w:pPr>
    <w:rPr>
      <w:sz w:val="24"/>
      <w:szCs w:val="24"/>
    </w:rPr>
  </w:style>
  <w:style w:type="paragraph" w:customStyle="1" w:styleId="156">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57">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8">
    <w:name w:val="xl84"/>
    <w:basedOn w:val="1"/>
    <w:qFormat/>
    <w:uiPriority w:val="99"/>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59">
    <w:name w:val="xl107"/>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60">
    <w:name w:val="xl65"/>
    <w:basedOn w:val="1"/>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61">
    <w:name w:val="1"/>
    <w:basedOn w:val="1"/>
    <w:next w:val="29"/>
    <w:qFormat/>
    <w:uiPriority w:val="99"/>
    <w:rPr>
      <w:rFonts w:ascii="宋体" w:hAnsi="Courier New" w:cs="宋体"/>
    </w:rPr>
  </w:style>
  <w:style w:type="paragraph" w:customStyle="1" w:styleId="16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63">
    <w:name w:val="xl106"/>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4">
    <w:name w:val="xl104"/>
    <w:basedOn w:val="1"/>
    <w:qFormat/>
    <w:uiPriority w:val="99"/>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5">
    <w:name w:val="xl108"/>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6">
    <w:name w:val="xl111"/>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7">
    <w:name w:val="xl91"/>
    <w:basedOn w:val="1"/>
    <w:qFormat/>
    <w:uiPriority w:val="99"/>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8">
    <w:name w:val="xl94"/>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9">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1">
    <w:name w:val="xl96"/>
    <w:basedOn w:val="1"/>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3">
    <w:name w:val="xl63"/>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4">
    <w:name w:val="xl79"/>
    <w:basedOn w:val="1"/>
    <w:qFormat/>
    <w:uiPriority w:val="99"/>
    <w:pPr>
      <w:widowControl/>
      <w:pBdr>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5">
    <w:name w:val="xl102"/>
    <w:basedOn w:val="1"/>
    <w:qFormat/>
    <w:uiPriority w:val="99"/>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
    <w:name w:val="xl77"/>
    <w:basedOn w:val="1"/>
    <w:qFormat/>
    <w:uiPriority w:val="99"/>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7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80">
    <w:name w:val="xl97"/>
    <w:basedOn w:val="1"/>
    <w:qFormat/>
    <w:uiPriority w:val="99"/>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1">
    <w:name w:val="xl101"/>
    <w:basedOn w:val="1"/>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2">
    <w:name w:val="列出段落11"/>
    <w:basedOn w:val="1"/>
    <w:qFormat/>
    <w:uiPriority w:val="99"/>
    <w:pPr>
      <w:widowControl/>
      <w:spacing w:before="100" w:beforeAutospacing="1" w:after="100" w:afterAutospacing="1"/>
      <w:jc w:val="left"/>
    </w:pPr>
    <w:rPr>
      <w:rFonts w:ascii="Arial" w:hAnsi="Arial" w:cs="Arial"/>
      <w:color w:val="000000"/>
      <w:sz w:val="18"/>
      <w:szCs w:val="18"/>
    </w:rPr>
  </w:style>
  <w:style w:type="paragraph" w:customStyle="1" w:styleId="183">
    <w:name w:val="xl93"/>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84">
    <w:name w:val="xl87"/>
    <w:basedOn w:val="1"/>
    <w:qFormat/>
    <w:uiPriority w:val="99"/>
    <w:pPr>
      <w:widowControl/>
      <w:pBdr>
        <w:top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85">
    <w:name w:val="Char"/>
    <w:basedOn w:val="1"/>
    <w:qFormat/>
    <w:uiPriority w:val="99"/>
  </w:style>
  <w:style w:type="paragraph" w:customStyle="1" w:styleId="18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7">
    <w:name w:val="xl88"/>
    <w:basedOn w:val="1"/>
    <w:qFormat/>
    <w:uiPriority w:val="99"/>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88">
    <w:name w:val="简单回函地址"/>
    <w:basedOn w:val="1"/>
    <w:qFormat/>
    <w:uiPriority w:val="99"/>
  </w:style>
  <w:style w:type="paragraph" w:customStyle="1" w:styleId="18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90">
    <w:name w:val="xl110"/>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91">
    <w:name w:val="默认段落字体 Para Char Char Char Char"/>
    <w:basedOn w:val="1"/>
    <w:qFormat/>
    <w:uiPriority w:val="99"/>
  </w:style>
  <w:style w:type="paragraph" w:customStyle="1" w:styleId="192">
    <w:name w:val="纯文本1"/>
    <w:basedOn w:val="1"/>
    <w:qFormat/>
    <w:uiPriority w:val="99"/>
    <w:rPr>
      <w:rFonts w:ascii="宋体" w:hAnsi="Courier New" w:eastAsia="Times New Roman" w:cs="宋体"/>
    </w:rPr>
  </w:style>
  <w:style w:type="paragraph" w:customStyle="1" w:styleId="193">
    <w:name w:val="Char Char Char1 Char"/>
    <w:basedOn w:val="1"/>
    <w:qFormat/>
    <w:uiPriority w:val="99"/>
  </w:style>
  <w:style w:type="paragraph" w:customStyle="1" w:styleId="194">
    <w:name w:val="List Paragraph1"/>
    <w:basedOn w:val="1"/>
    <w:qFormat/>
    <w:uiPriority w:val="34"/>
    <w:pPr>
      <w:ind w:firstLine="420" w:firstLineChars="200"/>
    </w:pPr>
    <w:rPr>
      <w:rFonts w:ascii="Calibri" w:hAnsi="Calibri" w:eastAsia="楷体_GB2312" w:cs="Calibri"/>
      <w:kern w:val="0"/>
      <w:sz w:val="20"/>
      <w:szCs w:val="20"/>
    </w:rPr>
  </w:style>
  <w:style w:type="paragraph" w:customStyle="1" w:styleId="19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列出段落2"/>
    <w:basedOn w:val="1"/>
    <w:qFormat/>
    <w:uiPriority w:val="34"/>
    <w:pPr>
      <w:ind w:firstLine="420" w:firstLineChars="200"/>
    </w:pPr>
    <w:rPr>
      <w:rFonts w:ascii="Calibri" w:hAnsi="Calibri" w:cs="Calibri"/>
    </w:rPr>
  </w:style>
  <w:style w:type="paragraph" w:customStyle="1" w:styleId="198">
    <w:name w:val="xl64"/>
    <w:basedOn w:val="1"/>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99">
    <w:name w:val="xl109"/>
    <w:basedOn w:val="1"/>
    <w:qFormat/>
    <w:uiPriority w:val="99"/>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20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01">
    <w:name w:val="修订1"/>
    <w:hidden/>
    <w:qFormat/>
    <w:uiPriority w:val="99"/>
    <w:rPr>
      <w:rFonts w:ascii="Times New Roman" w:hAnsi="Times New Roman" w:eastAsia="宋体" w:cs="Times New Roman"/>
      <w:kern w:val="2"/>
      <w:sz w:val="21"/>
      <w:szCs w:val="21"/>
      <w:lang w:val="en-US" w:eastAsia="zh-CN" w:bidi="ar-SA"/>
    </w:rPr>
  </w:style>
  <w:style w:type="paragraph" w:customStyle="1" w:styleId="202">
    <w:name w:val="标准文本"/>
    <w:basedOn w:val="1"/>
    <w:link w:val="203"/>
    <w:qFormat/>
    <w:uiPriority w:val="0"/>
    <w:pPr>
      <w:spacing w:line="360" w:lineRule="auto"/>
      <w:ind w:firstLine="480" w:firstLineChars="200"/>
    </w:pPr>
    <w:rPr>
      <w:sz w:val="24"/>
      <w:szCs w:val="20"/>
      <w:lang w:val="zh-CN"/>
    </w:rPr>
  </w:style>
  <w:style w:type="character" w:customStyle="1" w:styleId="203">
    <w:name w:val="标准文本 Char"/>
    <w:link w:val="202"/>
    <w:qFormat/>
    <w:uiPriority w:val="0"/>
    <w:rPr>
      <w:kern w:val="2"/>
      <w:sz w:val="24"/>
      <w:lang w:val="zh-CN" w:eastAsia="zh-CN"/>
    </w:rPr>
  </w:style>
  <w:style w:type="paragraph" w:customStyle="1" w:styleId="204">
    <w:name w:val="无间隔11"/>
    <w:qFormat/>
    <w:uiPriority w:val="1"/>
    <w:pPr>
      <w:widowControl w:val="0"/>
      <w:snapToGrid w:val="0"/>
      <w:jc w:val="both"/>
    </w:pPr>
    <w:rPr>
      <w:rFonts w:ascii="Times New Roman" w:hAnsi="Times New Roman" w:eastAsia="宋体" w:cs="Times New Roman"/>
      <w:kern w:val="2"/>
      <w:sz w:val="21"/>
      <w:szCs w:val="24"/>
      <w:lang w:val="en-US" w:eastAsia="zh-CN" w:bidi="ar-SA"/>
    </w:rPr>
  </w:style>
  <w:style w:type="paragraph" w:customStyle="1" w:styleId="205">
    <w:name w:val="文档正文首行缩进"/>
    <w:basedOn w:val="1"/>
    <w:link w:val="206"/>
    <w:qFormat/>
    <w:uiPriority w:val="0"/>
    <w:pPr>
      <w:spacing w:line="360" w:lineRule="auto"/>
      <w:ind w:firstLine="420"/>
    </w:pPr>
    <w:rPr>
      <w:rFonts w:cs="宋体"/>
      <w:sz w:val="24"/>
      <w:szCs w:val="20"/>
    </w:rPr>
  </w:style>
  <w:style w:type="character" w:customStyle="1" w:styleId="206">
    <w:name w:val="文档正文首行缩进 Char"/>
    <w:basedOn w:val="58"/>
    <w:link w:val="205"/>
    <w:qFormat/>
    <w:locked/>
    <w:uiPriority w:val="0"/>
    <w:rPr>
      <w:rFonts w:cs="宋体"/>
      <w:kern w:val="2"/>
      <w:sz w:val="24"/>
    </w:rPr>
  </w:style>
  <w:style w:type="paragraph" w:customStyle="1" w:styleId="207">
    <w:name w:val="文档序列"/>
    <w:basedOn w:val="1"/>
    <w:next w:val="205"/>
    <w:qFormat/>
    <w:uiPriority w:val="0"/>
    <w:pPr>
      <w:numPr>
        <w:ilvl w:val="0"/>
        <w:numId w:val="2"/>
      </w:numPr>
      <w:spacing w:line="360" w:lineRule="auto"/>
    </w:pPr>
    <w:rPr>
      <w:sz w:val="24"/>
      <w:szCs w:val="28"/>
    </w:rPr>
  </w:style>
  <w:style w:type="paragraph" w:customStyle="1" w:styleId="208">
    <w:name w:val="首行缩进"/>
    <w:basedOn w:val="1"/>
    <w:qFormat/>
    <w:uiPriority w:val="0"/>
    <w:pPr>
      <w:spacing w:line="360" w:lineRule="auto"/>
      <w:ind w:firstLine="480" w:firstLineChars="200"/>
      <w:jc w:val="left"/>
    </w:pPr>
    <w:rPr>
      <w:rFonts w:ascii="宋体" w:hAnsi="宋体"/>
      <w:sz w:val="24"/>
    </w:rPr>
  </w:style>
  <w:style w:type="paragraph" w:styleId="209">
    <w:name w:val="List Paragraph"/>
    <w:basedOn w:val="1"/>
    <w:qFormat/>
    <w:uiPriority w:val="34"/>
    <w:pPr>
      <w:ind w:firstLine="420" w:firstLineChars="200"/>
    </w:pPr>
  </w:style>
  <w:style w:type="paragraph" w:customStyle="1" w:styleId="210">
    <w:name w:val="四级标题"/>
    <w:basedOn w:val="31"/>
    <w:qFormat/>
    <w:uiPriority w:val="0"/>
    <w:pPr>
      <w:widowControl/>
      <w:tabs>
        <w:tab w:val="left" w:pos="851"/>
      </w:tabs>
      <w:spacing w:before="0" w:after="0" w:line="360" w:lineRule="auto"/>
      <w:ind w:left="851" w:hanging="851"/>
      <w:jc w:val="left"/>
    </w:pPr>
    <w:rPr>
      <w:rFonts w:ascii="Arial" w:hAnsi="Arial"/>
      <w:sz w:val="24"/>
    </w:rPr>
  </w:style>
  <w:style w:type="paragraph" w:customStyle="1" w:styleId="211">
    <w:name w:val="Plain Text"/>
    <w:basedOn w:val="1"/>
    <w:qFormat/>
    <w:uiPriority w:val="0"/>
    <w:rPr>
      <w:rFonts w:ascii="宋体" w:hAnsi="Courier New"/>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14396</Words>
  <Characters>14764</Characters>
  <Lines>192</Lines>
  <Paragraphs>54</Paragraphs>
  <TotalTime>2</TotalTime>
  <ScaleCrop>false</ScaleCrop>
  <LinksUpToDate>false</LinksUpToDate>
  <CharactersWithSpaces>15455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2021-10-25T15:58:00Z</dcterms:created>
  <dc:creator>admin</dc:creator>
  <cp:lastModifiedBy>孙妍</cp:lastModifiedBy>
  <cp:lastPrinted>2022-11-29T01:56:00Z</cp:lastPrinted>
  <dcterms:modified xsi:type="dcterms:W3CDTF">2023-12-18T07:16:24Z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600AA3EF769B4A0BA71E40B25BD72576_13</vt:lpwstr>
  </property>
</Properties>
</file>