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C461">
      <w:pPr>
        <w:autoSpaceDE w:val="0"/>
        <w:autoSpaceDN w:val="0"/>
        <w:adjustRightInd w:val="0"/>
        <w:spacing w:line="1000" w:lineRule="exact"/>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zh-CN"/>
        </w:rPr>
        <w:t>江苏省南通卫生高职校1号及2号配电间高压配电维保服务项目</w:t>
      </w:r>
    </w:p>
    <w:p w14:paraId="600CB741">
      <w:pPr>
        <w:autoSpaceDE w:val="0"/>
        <w:autoSpaceDN w:val="0"/>
        <w:adjustRightInd w:val="0"/>
        <w:spacing w:line="100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询价</w:t>
      </w:r>
      <w:r>
        <w:rPr>
          <w:rFonts w:hint="eastAsia" w:ascii="仿宋" w:hAnsi="仿宋" w:eastAsia="仿宋" w:cs="仿宋"/>
          <w:b/>
          <w:bCs/>
          <w:color w:val="auto"/>
          <w:sz w:val="44"/>
          <w:szCs w:val="44"/>
          <w:highlight w:val="none"/>
          <w:lang w:val="zh-CN"/>
        </w:rPr>
        <w:t>文件</w:t>
      </w:r>
    </w:p>
    <w:p w14:paraId="722BB634">
      <w:pPr>
        <w:autoSpaceDE w:val="0"/>
        <w:autoSpaceDN w:val="0"/>
        <w:adjustRightInd w:val="0"/>
        <w:jc w:val="center"/>
        <w:rPr>
          <w:rFonts w:hint="eastAsia" w:ascii="仿宋" w:hAnsi="仿宋" w:eastAsia="仿宋" w:cs="仿宋"/>
          <w:b/>
          <w:color w:val="auto"/>
          <w:sz w:val="36"/>
          <w:szCs w:val="36"/>
          <w:highlight w:val="none"/>
        </w:rPr>
      </w:pPr>
    </w:p>
    <w:p w14:paraId="2EEEFFC2">
      <w:pPr>
        <w:autoSpaceDE w:val="0"/>
        <w:autoSpaceDN w:val="0"/>
        <w:adjustRightInd w:val="0"/>
        <w:spacing w:line="360" w:lineRule="auto"/>
        <w:ind w:left="0" w:leftChars="0" w:firstLine="0" w:firstLineChars="0"/>
        <w:jc w:val="center"/>
        <w:rPr>
          <w:rFonts w:hint="eastAsia" w:ascii="仿宋" w:hAnsi="仿宋" w:eastAsia="仿宋" w:cs="仿宋"/>
          <w:color w:val="auto"/>
          <w:sz w:val="18"/>
          <w:szCs w:val="18"/>
          <w:highlight w:val="none"/>
          <w:lang w:eastAsia="zh-CN"/>
        </w:rPr>
      </w:pPr>
      <w:r>
        <w:rPr>
          <w:rFonts w:hint="eastAsia" w:ascii="仿宋" w:hAnsi="仿宋" w:eastAsia="仿宋" w:cs="仿宋"/>
          <w:b/>
          <w:color w:val="auto"/>
          <w:sz w:val="32"/>
          <w:szCs w:val="32"/>
          <w:highlight w:val="none"/>
        </w:rPr>
        <w:t>采购编号：</w:t>
      </w:r>
      <w:r>
        <w:rPr>
          <w:rFonts w:hint="eastAsia" w:ascii="仿宋" w:hAnsi="仿宋" w:eastAsia="仿宋" w:cs="仿宋"/>
          <w:b/>
          <w:color w:val="auto"/>
          <w:sz w:val="32"/>
          <w:szCs w:val="32"/>
          <w:highlight w:val="none"/>
          <w:lang w:eastAsia="zh-CN"/>
        </w:rPr>
        <w:t>WXBS2025025</w:t>
      </w:r>
    </w:p>
    <w:p w14:paraId="4FB7F925">
      <w:pPr>
        <w:pStyle w:val="63"/>
        <w:rPr>
          <w:rFonts w:hint="eastAsia" w:ascii="仿宋" w:hAnsi="仿宋" w:eastAsia="仿宋" w:cs="仿宋"/>
          <w:color w:val="auto"/>
          <w:szCs w:val="21"/>
          <w:highlight w:val="none"/>
        </w:rPr>
      </w:pPr>
    </w:p>
    <w:p w14:paraId="4B3A3C1D">
      <w:pPr>
        <w:pStyle w:val="63"/>
        <w:rPr>
          <w:rFonts w:hint="eastAsia" w:ascii="仿宋" w:hAnsi="仿宋" w:eastAsia="仿宋" w:cs="仿宋"/>
          <w:color w:val="auto"/>
          <w:szCs w:val="21"/>
          <w:highlight w:val="none"/>
        </w:rPr>
      </w:pPr>
    </w:p>
    <w:p w14:paraId="72644081">
      <w:pPr>
        <w:pStyle w:val="63"/>
        <w:rPr>
          <w:rFonts w:hint="eastAsia" w:ascii="仿宋" w:hAnsi="仿宋" w:eastAsia="仿宋" w:cs="仿宋"/>
          <w:color w:val="auto"/>
          <w:szCs w:val="21"/>
          <w:highlight w:val="none"/>
        </w:rPr>
      </w:pPr>
    </w:p>
    <w:p w14:paraId="19737432">
      <w:pPr>
        <w:pStyle w:val="63"/>
        <w:rPr>
          <w:rFonts w:hint="eastAsia" w:ascii="仿宋" w:hAnsi="仿宋" w:eastAsia="仿宋" w:cs="仿宋"/>
          <w:color w:val="auto"/>
          <w:szCs w:val="21"/>
          <w:highlight w:val="none"/>
        </w:rPr>
      </w:pPr>
    </w:p>
    <w:p w14:paraId="260D5988">
      <w:pPr>
        <w:pStyle w:val="63"/>
        <w:rPr>
          <w:rFonts w:hint="eastAsia" w:ascii="仿宋" w:hAnsi="仿宋" w:eastAsia="仿宋" w:cs="仿宋"/>
          <w:color w:val="auto"/>
          <w:szCs w:val="21"/>
          <w:highlight w:val="none"/>
        </w:rPr>
      </w:pPr>
    </w:p>
    <w:p w14:paraId="2F2EB34A">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5FFABB84">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1845E474">
      <w:pPr>
        <w:autoSpaceDE w:val="0"/>
        <w:autoSpaceDN w:val="0"/>
        <w:adjustRightInd w:val="0"/>
        <w:spacing w:line="360" w:lineRule="auto"/>
        <w:rPr>
          <w:rFonts w:hint="eastAsia" w:ascii="仿宋" w:hAnsi="仿宋" w:eastAsia="仿宋" w:cs="仿宋"/>
          <w:color w:val="auto"/>
          <w:szCs w:val="21"/>
          <w:highlight w:val="none"/>
        </w:rPr>
      </w:pPr>
    </w:p>
    <w:p w14:paraId="46646A65">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093D0275">
      <w:pPr>
        <w:pStyle w:val="13"/>
        <w:rPr>
          <w:rFonts w:hint="eastAsia"/>
          <w:color w:val="auto"/>
          <w:highlight w:val="none"/>
        </w:rPr>
      </w:pPr>
    </w:p>
    <w:p w14:paraId="38CAB540">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7A83438">
      <w:pPr>
        <w:pStyle w:val="59"/>
        <w:rPr>
          <w:rFonts w:hint="eastAsia" w:ascii="仿宋" w:hAnsi="仿宋" w:eastAsia="仿宋" w:cs="仿宋"/>
          <w:color w:val="auto"/>
          <w:highlight w:val="none"/>
        </w:rPr>
      </w:pPr>
    </w:p>
    <w:p w14:paraId="00116F2A">
      <w:pPr>
        <w:pStyle w:val="59"/>
        <w:rPr>
          <w:rFonts w:hint="eastAsia" w:ascii="仿宋" w:hAnsi="仿宋" w:eastAsia="仿宋" w:cs="仿宋"/>
          <w:color w:val="auto"/>
          <w:highlight w:val="none"/>
        </w:rPr>
      </w:pPr>
    </w:p>
    <w:p w14:paraId="38D7F5FB">
      <w:pPr>
        <w:pStyle w:val="59"/>
        <w:rPr>
          <w:rFonts w:hint="eastAsia" w:ascii="仿宋" w:hAnsi="仿宋" w:eastAsia="仿宋" w:cs="仿宋"/>
          <w:color w:val="auto"/>
          <w:highlight w:val="none"/>
        </w:rPr>
      </w:pPr>
    </w:p>
    <w:p w14:paraId="128F4B1B">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7252EA9">
      <w:pPr>
        <w:pStyle w:val="13"/>
        <w:rPr>
          <w:rFonts w:hint="eastAsia" w:ascii="仿宋" w:hAnsi="仿宋" w:eastAsia="仿宋" w:cs="仿宋"/>
          <w:color w:val="auto"/>
          <w:szCs w:val="21"/>
          <w:highlight w:val="none"/>
        </w:rPr>
      </w:pPr>
    </w:p>
    <w:p w14:paraId="74350320">
      <w:pPr>
        <w:pStyle w:val="60"/>
        <w:rPr>
          <w:rFonts w:hint="eastAsia"/>
          <w:color w:val="auto"/>
          <w:highlight w:val="none"/>
        </w:rPr>
      </w:pPr>
    </w:p>
    <w:p w14:paraId="644BBA68">
      <w:pPr>
        <w:pStyle w:val="61"/>
        <w:rPr>
          <w:rFonts w:hint="eastAsia"/>
          <w:color w:val="auto"/>
          <w:highlight w:val="none"/>
        </w:rPr>
      </w:pPr>
    </w:p>
    <w:p w14:paraId="7596BF3D">
      <w:pPr>
        <w:pStyle w:val="59"/>
        <w:rPr>
          <w:rFonts w:hint="eastAsia"/>
          <w:color w:val="auto"/>
          <w:highlight w:val="none"/>
        </w:rPr>
      </w:pPr>
    </w:p>
    <w:p w14:paraId="14B74B2C">
      <w:pPr>
        <w:autoSpaceDE w:val="0"/>
        <w:autoSpaceDN w:val="0"/>
        <w:adjustRightInd w:val="0"/>
        <w:spacing w:line="360" w:lineRule="auto"/>
        <w:ind w:firstLine="420"/>
        <w:jc w:val="center"/>
        <w:rPr>
          <w:rFonts w:hint="eastAsia" w:ascii="仿宋" w:hAnsi="仿宋" w:eastAsia="仿宋" w:cs="仿宋"/>
          <w:color w:val="auto"/>
          <w:szCs w:val="21"/>
          <w:highlight w:val="none"/>
        </w:rPr>
      </w:pPr>
    </w:p>
    <w:p w14:paraId="4BE3C5EE">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采购单位：江苏省南通卫生高等职业技术学校</w:t>
      </w:r>
    </w:p>
    <w:p w14:paraId="51F043EA">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代理机构：昆山市中建项目管理有限公司</w:t>
      </w:r>
    </w:p>
    <w:p w14:paraId="26A0BEF1">
      <w:pPr>
        <w:spacing w:line="500" w:lineRule="exact"/>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期：二○二</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月</w:t>
      </w:r>
    </w:p>
    <w:p w14:paraId="59581605">
      <w:pPr>
        <w:adjustRightInd w:val="0"/>
        <w:snapToGrid w:val="0"/>
        <w:ind w:left="-158" w:leftChars="-75"/>
        <w:rPr>
          <w:rFonts w:hint="eastAsia" w:ascii="仿宋" w:hAnsi="仿宋" w:eastAsia="仿宋" w:cs="仿宋"/>
          <w:b/>
          <w:bCs/>
          <w:color w:val="auto"/>
          <w:sz w:val="44"/>
          <w:szCs w:val="44"/>
          <w:highlight w:val="none"/>
        </w:rPr>
      </w:pPr>
      <w:r>
        <w:rPr>
          <w:rFonts w:hint="eastAsia" w:ascii="仿宋" w:hAnsi="仿宋" w:eastAsia="仿宋" w:cs="仿宋"/>
          <w:b/>
          <w:snapToGrid w:val="0"/>
          <w:color w:val="auto"/>
          <w:sz w:val="26"/>
          <w:szCs w:val="28"/>
          <w:highlight w:val="none"/>
          <w:u w:val="single"/>
        </w:rPr>
        <w:t xml:space="preserve">                                                                    </w:t>
      </w:r>
    </w:p>
    <w:p w14:paraId="2C7FF781">
      <w:pPr>
        <w:autoSpaceDE w:val="0"/>
        <w:autoSpaceDN w:val="0"/>
        <w:adjustRightInd w:val="0"/>
        <w:spacing w:line="360" w:lineRule="auto"/>
        <w:jc w:val="center"/>
        <w:outlineLvl w:val="0"/>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目   录</w:t>
      </w:r>
    </w:p>
    <w:p w14:paraId="2BEC768E">
      <w:pPr>
        <w:autoSpaceDE w:val="0"/>
        <w:autoSpaceDN w:val="0"/>
        <w:adjustRightInd w:val="0"/>
        <w:spacing w:line="480" w:lineRule="auto"/>
        <w:ind w:firstLine="556"/>
        <w:rPr>
          <w:rFonts w:hint="eastAsia" w:ascii="仿宋" w:hAnsi="仿宋" w:eastAsia="仿宋" w:cs="仿宋"/>
          <w:b/>
          <w:bCs/>
          <w:color w:val="auto"/>
          <w:sz w:val="32"/>
          <w:szCs w:val="32"/>
          <w:highlight w:val="none"/>
        </w:rPr>
      </w:pPr>
    </w:p>
    <w:p w14:paraId="365F4F5A">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 xml:space="preserve">第一部分  </w:t>
      </w:r>
      <w:r>
        <w:rPr>
          <w:rFonts w:hint="eastAsia" w:ascii="仿宋" w:hAnsi="仿宋" w:eastAsia="仿宋" w:cs="仿宋"/>
          <w:b/>
          <w:bCs/>
          <w:color w:val="auto"/>
          <w:sz w:val="32"/>
          <w:szCs w:val="32"/>
          <w:highlight w:val="none"/>
          <w:lang w:val="en-US" w:eastAsia="zh-CN"/>
        </w:rPr>
        <w:t>询价</w:t>
      </w:r>
      <w:r>
        <w:rPr>
          <w:rFonts w:hint="eastAsia" w:ascii="仿宋" w:hAnsi="仿宋" w:eastAsia="仿宋" w:cs="仿宋"/>
          <w:b/>
          <w:bCs/>
          <w:color w:val="auto"/>
          <w:sz w:val="32"/>
          <w:szCs w:val="32"/>
          <w:highlight w:val="none"/>
          <w:lang w:val="zh-CN"/>
        </w:rPr>
        <w:t>公告</w:t>
      </w:r>
    </w:p>
    <w:p w14:paraId="13565D00">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 xml:space="preserve">第二部分  </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lang w:val="zh-CN"/>
        </w:rPr>
        <w:t>须知</w:t>
      </w:r>
    </w:p>
    <w:p w14:paraId="621D487C">
      <w:pPr>
        <w:autoSpaceDE w:val="0"/>
        <w:autoSpaceDN w:val="0"/>
        <w:adjustRightInd w:val="0"/>
        <w:spacing w:line="480" w:lineRule="auto"/>
        <w:ind w:firstLine="556"/>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rPr>
        <w:t xml:space="preserve">第三部分  </w:t>
      </w:r>
      <w:r>
        <w:rPr>
          <w:rFonts w:hint="eastAsia" w:ascii="仿宋" w:hAnsi="仿宋" w:eastAsia="仿宋" w:cs="仿宋"/>
          <w:b/>
          <w:bCs/>
          <w:color w:val="auto"/>
          <w:sz w:val="32"/>
          <w:szCs w:val="32"/>
          <w:highlight w:val="none"/>
          <w:lang w:val="zh-CN"/>
        </w:rPr>
        <w:t>项目需求</w:t>
      </w:r>
    </w:p>
    <w:p w14:paraId="5F57583C">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第四部分  合同签订与验收付款</w:t>
      </w:r>
    </w:p>
    <w:p w14:paraId="02D0758D">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第五部分  质疑提出和处理</w:t>
      </w:r>
    </w:p>
    <w:p w14:paraId="5CEFFD89">
      <w:pPr>
        <w:autoSpaceDE w:val="0"/>
        <w:autoSpaceDN w:val="0"/>
        <w:adjustRightInd w:val="0"/>
        <w:spacing w:line="480" w:lineRule="auto"/>
        <w:ind w:firstLine="55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第六部分  响应</w:t>
      </w:r>
      <w:r>
        <w:rPr>
          <w:rFonts w:hint="eastAsia" w:ascii="仿宋" w:hAnsi="仿宋" w:eastAsia="仿宋" w:cs="仿宋"/>
          <w:b/>
          <w:bCs/>
          <w:color w:val="auto"/>
          <w:sz w:val="32"/>
          <w:szCs w:val="32"/>
          <w:highlight w:val="none"/>
          <w:lang w:val="zh-CN"/>
        </w:rPr>
        <w:t>文件</w:t>
      </w:r>
      <w:r>
        <w:rPr>
          <w:rFonts w:hint="eastAsia" w:ascii="仿宋" w:hAnsi="仿宋" w:eastAsia="仿宋" w:cs="仿宋"/>
          <w:b/>
          <w:bCs/>
          <w:color w:val="auto"/>
          <w:sz w:val="32"/>
          <w:szCs w:val="32"/>
          <w:highlight w:val="none"/>
        </w:rPr>
        <w:t>组成</w:t>
      </w:r>
    </w:p>
    <w:p w14:paraId="57A1033B">
      <w:pPr>
        <w:tabs>
          <w:tab w:val="left" w:pos="7740"/>
        </w:tabs>
        <w:spacing w:line="500" w:lineRule="exact"/>
        <w:rPr>
          <w:rFonts w:hint="eastAsia" w:ascii="仿宋" w:hAnsi="仿宋" w:eastAsia="仿宋" w:cs="仿宋"/>
          <w:b/>
          <w:color w:val="auto"/>
          <w:spacing w:val="2"/>
          <w:sz w:val="32"/>
          <w:szCs w:val="32"/>
          <w:highlight w:val="none"/>
        </w:rPr>
      </w:pPr>
    </w:p>
    <w:p w14:paraId="51020DF4">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096B06A4">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17112356">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2CAAF0BE">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19C505D2">
      <w:pPr>
        <w:autoSpaceDE w:val="0"/>
        <w:autoSpaceDN w:val="0"/>
        <w:adjustRightInd w:val="0"/>
        <w:spacing w:line="540" w:lineRule="exact"/>
        <w:jc w:val="center"/>
        <w:rPr>
          <w:rFonts w:hint="eastAsia" w:ascii="仿宋" w:hAnsi="仿宋" w:eastAsia="仿宋" w:cs="仿宋"/>
          <w:b/>
          <w:bCs/>
          <w:color w:val="auto"/>
          <w:sz w:val="36"/>
          <w:szCs w:val="36"/>
          <w:highlight w:val="none"/>
          <w:lang w:val="zh-CN"/>
        </w:rPr>
      </w:pPr>
    </w:p>
    <w:p w14:paraId="3CDFFFC7">
      <w:pPr>
        <w:pStyle w:val="63"/>
        <w:rPr>
          <w:rFonts w:hint="eastAsia" w:ascii="仿宋" w:hAnsi="仿宋" w:eastAsia="仿宋" w:cs="仿宋"/>
          <w:b/>
          <w:bCs/>
          <w:color w:val="auto"/>
          <w:sz w:val="36"/>
          <w:szCs w:val="36"/>
          <w:highlight w:val="none"/>
          <w:lang w:val="zh-CN"/>
        </w:rPr>
      </w:pPr>
    </w:p>
    <w:p w14:paraId="774A1BCE">
      <w:pPr>
        <w:pStyle w:val="63"/>
        <w:rPr>
          <w:rFonts w:hint="eastAsia" w:ascii="仿宋" w:hAnsi="仿宋" w:eastAsia="仿宋" w:cs="仿宋"/>
          <w:b/>
          <w:bCs/>
          <w:color w:val="auto"/>
          <w:sz w:val="36"/>
          <w:szCs w:val="36"/>
          <w:highlight w:val="none"/>
          <w:lang w:val="zh-CN"/>
        </w:rPr>
      </w:pPr>
    </w:p>
    <w:p w14:paraId="0BD83EC9">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48082F72">
      <w:pPr>
        <w:autoSpaceDE w:val="0"/>
        <w:autoSpaceDN w:val="0"/>
        <w:adjustRightInd w:val="0"/>
        <w:spacing w:line="540" w:lineRule="exact"/>
        <w:rPr>
          <w:rFonts w:hint="eastAsia" w:ascii="仿宋" w:hAnsi="仿宋" w:eastAsia="仿宋" w:cs="仿宋"/>
          <w:b/>
          <w:bCs/>
          <w:color w:val="auto"/>
          <w:sz w:val="36"/>
          <w:szCs w:val="36"/>
          <w:highlight w:val="none"/>
          <w:lang w:val="zh-CN"/>
        </w:rPr>
      </w:pPr>
    </w:p>
    <w:p w14:paraId="7C6B662E">
      <w:pPr>
        <w:pStyle w:val="59"/>
        <w:rPr>
          <w:rFonts w:hint="eastAsia" w:ascii="仿宋" w:hAnsi="仿宋" w:eastAsia="仿宋" w:cs="仿宋"/>
          <w:b/>
          <w:bCs/>
          <w:color w:val="auto"/>
          <w:sz w:val="36"/>
          <w:szCs w:val="36"/>
          <w:highlight w:val="none"/>
          <w:lang w:val="zh-CN"/>
        </w:rPr>
      </w:pPr>
    </w:p>
    <w:p w14:paraId="17775C6A">
      <w:pPr>
        <w:pStyle w:val="59"/>
        <w:rPr>
          <w:rFonts w:hint="eastAsia" w:ascii="仿宋" w:hAnsi="仿宋" w:eastAsia="仿宋" w:cs="仿宋"/>
          <w:b/>
          <w:bCs/>
          <w:color w:val="auto"/>
          <w:sz w:val="36"/>
          <w:szCs w:val="36"/>
          <w:highlight w:val="none"/>
          <w:lang w:val="zh-CN"/>
        </w:rPr>
      </w:pPr>
    </w:p>
    <w:p w14:paraId="71C3150D">
      <w:pP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br w:type="page"/>
      </w:r>
    </w:p>
    <w:p w14:paraId="46EBEB46">
      <w:pPr>
        <w:autoSpaceDE w:val="0"/>
        <w:autoSpaceDN w:val="0"/>
        <w:adjustRightInd w:val="0"/>
        <w:snapToGrid w:val="0"/>
        <w:spacing w:line="300" w:lineRule="auto"/>
        <w:jc w:val="center"/>
        <w:outlineLvl w:val="0"/>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 xml:space="preserve">第一部分  </w:t>
      </w:r>
      <w:bookmarkStart w:id="0" w:name="OLE_LINK2"/>
      <w:bookmarkStart w:id="1" w:name="OLE_LINK1"/>
      <w:r>
        <w:rPr>
          <w:rFonts w:hint="eastAsia" w:ascii="仿宋" w:hAnsi="仿宋" w:eastAsia="仿宋" w:cs="仿宋"/>
          <w:b/>
          <w:bCs/>
          <w:color w:val="auto"/>
          <w:sz w:val="36"/>
          <w:szCs w:val="36"/>
          <w:highlight w:val="none"/>
          <w:lang w:val="zh-CN"/>
        </w:rPr>
        <w:t>询价公告</w:t>
      </w:r>
    </w:p>
    <w:p w14:paraId="618EE41B">
      <w:pPr>
        <w:rPr>
          <w:color w:val="auto"/>
          <w:highlight w:val="none"/>
        </w:rPr>
      </w:pPr>
    </w:p>
    <w:p w14:paraId="225C255B">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242BBD3C">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江苏省南通卫生高职校1号及2号配电间高压配电维保服务项目</w:t>
      </w:r>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江苏省南通卫生高等职业技术学校网站</w:t>
      </w:r>
      <w:r>
        <w:rPr>
          <w:rFonts w:hint="eastAsia" w:ascii="仿宋" w:hAnsi="仿宋" w:eastAsia="仿宋"/>
          <w:color w:val="auto"/>
          <w:sz w:val="28"/>
          <w:szCs w:val="28"/>
          <w:highlight w:val="none"/>
        </w:rPr>
        <w:t>获取采购文件，并于</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3EE24860">
      <w:pPr>
        <w:rPr>
          <w:color w:val="auto"/>
          <w:highlight w:val="none"/>
        </w:rPr>
      </w:pPr>
    </w:p>
    <w:p w14:paraId="34662604">
      <w:pPr>
        <w:pStyle w:val="3"/>
        <w:spacing w:line="460" w:lineRule="exact"/>
        <w:rPr>
          <w:rFonts w:ascii="黑体" w:hAnsi="黑体" w:cs="宋体"/>
          <w:b w:val="0"/>
          <w:color w:val="auto"/>
          <w:sz w:val="28"/>
          <w:szCs w:val="28"/>
          <w:highlight w:val="none"/>
        </w:rPr>
      </w:pPr>
      <w:bookmarkStart w:id="2" w:name="_Toc35393629"/>
      <w:bookmarkStart w:id="3" w:name="_Toc28359089"/>
      <w:bookmarkStart w:id="4" w:name="_Toc28359012"/>
      <w:bookmarkStart w:id="5" w:name="_Toc35393798"/>
      <w:r>
        <w:rPr>
          <w:rFonts w:hint="eastAsia" w:ascii="黑体" w:hAnsi="黑体" w:cs="宋体"/>
          <w:b w:val="0"/>
          <w:color w:val="auto"/>
          <w:sz w:val="28"/>
          <w:szCs w:val="28"/>
          <w:highlight w:val="none"/>
        </w:rPr>
        <w:t>一、项目基本情况</w:t>
      </w:r>
      <w:bookmarkEnd w:id="2"/>
      <w:bookmarkEnd w:id="3"/>
      <w:bookmarkEnd w:id="4"/>
      <w:bookmarkEnd w:id="5"/>
    </w:p>
    <w:p w14:paraId="6A94E595">
      <w:pPr>
        <w:spacing w:line="46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WXBS2025025</w:t>
      </w:r>
    </w:p>
    <w:p w14:paraId="3FD78243">
      <w:pPr>
        <w:spacing w:line="460" w:lineRule="exact"/>
        <w:ind w:firstLine="560" w:firstLineChars="20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江苏省南通卫生高职校1号及2号配电间高压配电维保服务项目</w:t>
      </w:r>
    </w:p>
    <w:p w14:paraId="209AAD7B">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采购方式：□竞争性谈判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566C09AB">
      <w:pPr>
        <w:snapToGrid w:val="0"/>
        <w:spacing w:line="460" w:lineRule="exact"/>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33</w:t>
      </w:r>
      <w:r>
        <w:rPr>
          <w:rFonts w:hint="eastAsia" w:ascii="仿宋" w:hAnsi="仿宋" w:eastAsia="仿宋"/>
          <w:color w:val="auto"/>
          <w:sz w:val="28"/>
          <w:szCs w:val="28"/>
          <w:highlight w:val="none"/>
        </w:rPr>
        <w:t>万元/年</w:t>
      </w:r>
    </w:p>
    <w:p w14:paraId="7A97EAEC">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最高限价：33</w:t>
      </w:r>
      <w:r>
        <w:rPr>
          <w:rFonts w:hint="eastAsia" w:ascii="仿宋" w:hAnsi="仿宋" w:eastAsia="仿宋"/>
          <w:color w:val="auto"/>
          <w:sz w:val="28"/>
          <w:szCs w:val="28"/>
          <w:highlight w:val="none"/>
        </w:rPr>
        <w:t>万元/年</w:t>
      </w:r>
    </w:p>
    <w:p w14:paraId="739F4947">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r>
        <w:rPr>
          <w:rFonts w:hint="eastAsia" w:ascii="仿宋" w:hAnsi="仿宋" w:eastAsia="仿宋"/>
          <w:color w:val="auto"/>
          <w:sz w:val="28"/>
          <w:szCs w:val="28"/>
          <w:highlight w:val="none"/>
          <w:lang w:eastAsia="zh-CN"/>
        </w:rPr>
        <w:t>；</w:t>
      </w:r>
      <w:r>
        <w:rPr>
          <w:rFonts w:hint="eastAsia" w:ascii="仿宋" w:hAnsi="仿宋" w:eastAsia="仿宋" w:cs="宋体"/>
          <w:color w:val="auto"/>
          <w:kern w:val="0"/>
          <w:sz w:val="28"/>
          <w:szCs w:val="28"/>
          <w:lang w:val="en-US" w:eastAsia="zh-CN"/>
        </w:rPr>
        <w:t>14</w:t>
      </w:r>
      <w:r>
        <w:rPr>
          <w:rFonts w:hint="eastAsia" w:ascii="仿宋" w:hAnsi="仿宋" w:eastAsia="仿宋" w:cs="宋体"/>
          <w:color w:val="auto"/>
          <w:kern w:val="0"/>
          <w:sz w:val="28"/>
          <w:szCs w:val="28"/>
          <w:lang w:val="zh-CN"/>
        </w:rPr>
        <w:t>台开关柜；</w:t>
      </w:r>
      <w:r>
        <w:rPr>
          <w:rFonts w:hint="eastAsia" w:ascii="仿宋" w:hAnsi="仿宋" w:eastAsia="仿宋" w:cs="仿宋"/>
          <w:color w:val="auto"/>
          <w:sz w:val="28"/>
          <w:szCs w:val="28"/>
          <w:highlight w:val="none"/>
          <w:lang w:val="zh-CN"/>
        </w:rPr>
        <w:t>双电源等设备</w:t>
      </w:r>
      <w:r>
        <w:rPr>
          <w:rFonts w:hint="eastAsia" w:ascii="仿宋" w:hAnsi="仿宋" w:eastAsia="仿宋" w:cs="仿宋"/>
          <w:color w:val="auto"/>
          <w:sz w:val="28"/>
          <w:szCs w:val="28"/>
          <w:highlight w:val="none"/>
          <w:lang w:val="en-US" w:eastAsia="zh-CN"/>
        </w:rPr>
        <w:t>以及配套的装置、电缆</w:t>
      </w:r>
      <w:r>
        <w:rPr>
          <w:rFonts w:hint="eastAsia" w:ascii="仿宋" w:hAnsi="仿宋" w:eastAsia="仿宋" w:cs="仿宋"/>
          <w:color w:val="auto"/>
          <w:sz w:val="28"/>
          <w:szCs w:val="28"/>
          <w:highlight w:val="none"/>
          <w:lang w:val="zh-CN"/>
        </w:rPr>
        <w:t>的检查、修理、</w:t>
      </w:r>
      <w:r>
        <w:rPr>
          <w:rFonts w:hint="eastAsia" w:ascii="仿宋" w:hAnsi="仿宋" w:eastAsia="仿宋" w:cs="仿宋"/>
          <w:color w:val="auto"/>
          <w:sz w:val="28"/>
          <w:szCs w:val="28"/>
          <w:highlight w:val="none"/>
          <w:lang w:val="en-US" w:eastAsia="zh-CN"/>
        </w:rPr>
        <w:t>试验</w:t>
      </w:r>
      <w:r>
        <w:rPr>
          <w:rFonts w:hint="eastAsia" w:ascii="仿宋" w:hAnsi="仿宋" w:eastAsia="仿宋" w:cs="仿宋"/>
          <w:color w:val="auto"/>
          <w:sz w:val="28"/>
          <w:szCs w:val="28"/>
          <w:highlight w:val="none"/>
          <w:lang w:val="zh-CN"/>
        </w:rPr>
        <w:t>及调试，所涉及的维修材料，由业主方进行采购。</w:t>
      </w:r>
      <w:r>
        <w:rPr>
          <w:rFonts w:hint="eastAsia" w:ascii="仿宋" w:hAnsi="仿宋" w:eastAsia="仿宋"/>
          <w:color w:val="auto"/>
          <w:sz w:val="28"/>
          <w:szCs w:val="28"/>
          <w:highlight w:val="none"/>
        </w:rPr>
        <w:t>详见项目需求。</w:t>
      </w:r>
    </w:p>
    <w:p w14:paraId="2D1F5303">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合同履行期限：本次招标周期为三年（202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.5.1-202</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.4.30），合同一年一签。一年合同期满后，</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rPr>
        <w:t>人根据服务及考核情况决定是否续签下一年度合同。</w:t>
      </w:r>
    </w:p>
    <w:p w14:paraId="02C62C09">
      <w:pPr>
        <w:pStyle w:val="3"/>
        <w:spacing w:line="460" w:lineRule="exact"/>
        <w:rPr>
          <w:rFonts w:ascii="黑体" w:hAnsi="黑体" w:cs="宋体"/>
          <w:b w:val="0"/>
          <w:color w:val="auto"/>
          <w:sz w:val="28"/>
          <w:szCs w:val="28"/>
          <w:highlight w:val="none"/>
        </w:rPr>
      </w:pPr>
      <w:bookmarkStart w:id="6" w:name="_Toc35393630"/>
      <w:bookmarkStart w:id="7" w:name="_Toc35393799"/>
      <w:bookmarkStart w:id="8" w:name="_Toc28359013"/>
      <w:bookmarkStart w:id="9" w:name="_Toc28359090"/>
      <w:r>
        <w:rPr>
          <w:rFonts w:hint="eastAsia" w:ascii="黑体" w:hAnsi="黑体" w:cs="宋体"/>
          <w:b w:val="0"/>
          <w:color w:val="auto"/>
          <w:sz w:val="28"/>
          <w:szCs w:val="28"/>
          <w:highlight w:val="none"/>
        </w:rPr>
        <w:t>二、申请人的资格要求</w:t>
      </w:r>
      <w:bookmarkEnd w:id="6"/>
      <w:bookmarkEnd w:id="7"/>
      <w:bookmarkEnd w:id="8"/>
      <w:bookmarkEnd w:id="9"/>
    </w:p>
    <w:p w14:paraId="6D1E9808">
      <w:pPr>
        <w:snapToGrid w:val="0"/>
        <w:spacing w:line="460" w:lineRule="exact"/>
        <w:ind w:firstLine="560"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s="仿宋"/>
          <w:color w:val="auto"/>
          <w:spacing w:val="7"/>
          <w:kern w:val="0"/>
          <w:sz w:val="28"/>
          <w:szCs w:val="22"/>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035D2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bookmarkStart w:id="10" w:name="_Toc28359014"/>
      <w:bookmarkStart w:id="11" w:name="_Toc28359091"/>
      <w:r>
        <w:rPr>
          <w:rFonts w:hint="eastAsia" w:ascii="仿宋" w:hAnsi="仿宋" w:eastAsia="仿宋" w:cs="仿宋"/>
          <w:color w:val="auto"/>
          <w:spacing w:val="7"/>
          <w:kern w:val="0"/>
          <w:sz w:val="28"/>
          <w:szCs w:val="22"/>
          <w:highlight w:val="none"/>
        </w:rPr>
        <w:t>2.其他资格要求：</w:t>
      </w:r>
    </w:p>
    <w:p w14:paraId="236225F4">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（1）供应商具有有效营业执照；</w:t>
      </w:r>
    </w:p>
    <w:p w14:paraId="2A22A02C">
      <w:pPr>
        <w:snapToGrid w:val="0"/>
        <w:spacing w:line="460" w:lineRule="exact"/>
        <w:ind w:firstLine="560" w:firstLineChars="200"/>
        <w:contextualSpacing/>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（2）法定代表人为同一个人的两个及两个以上法人，母公司、全资子公司及其控股公司，都不得在同一采购项目相同标段中同时投标，一经发现，将视同围标处理。</w:t>
      </w:r>
    </w:p>
    <w:p w14:paraId="0BEECB5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s="仿宋"/>
          <w:color w:val="auto"/>
          <w:spacing w:val="7"/>
          <w:kern w:val="0"/>
          <w:sz w:val="28"/>
          <w:szCs w:val="22"/>
          <w:highlight w:val="none"/>
        </w:rPr>
        <w:t>3.未被“信用中国”网站（www.creditchina.gov.cn）列入失信被执行人、重大税收违法案件当事人名单、政府采购严重失信行为记录名单。</w:t>
      </w:r>
    </w:p>
    <w:p w14:paraId="012E1DE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single"/>
          <w:lang w:eastAsia="zh-CN"/>
        </w:rPr>
      </w:pPr>
      <w:r>
        <w:rPr>
          <w:rFonts w:hint="eastAsia" w:ascii="仿宋" w:hAnsi="仿宋" w:eastAsia="仿宋" w:cs="仿宋"/>
          <w:color w:val="auto"/>
          <w:spacing w:val="7"/>
          <w:kern w:val="0"/>
          <w:sz w:val="28"/>
          <w:szCs w:val="22"/>
          <w:highlight w:val="none"/>
        </w:rPr>
        <w:t>4.落实政府采购政策需满足的资格要求：</w:t>
      </w:r>
      <w:r>
        <w:rPr>
          <w:rFonts w:hint="eastAsia" w:ascii="仿宋" w:hAnsi="仿宋" w:eastAsia="仿宋" w:cs="仿宋"/>
          <w:b/>
          <w:bCs/>
          <w:color w:val="auto"/>
          <w:spacing w:val="7"/>
          <w:kern w:val="0"/>
          <w:sz w:val="28"/>
          <w:szCs w:val="22"/>
          <w:highlight w:val="none"/>
          <w:lang w:val="en-US" w:eastAsia="zh-CN"/>
        </w:rPr>
        <w:t>专门</w:t>
      </w:r>
      <w:r>
        <w:rPr>
          <w:rFonts w:hint="eastAsia" w:ascii="仿宋" w:hAnsi="仿宋" w:eastAsia="仿宋" w:cs="仿宋"/>
          <w:color w:val="auto"/>
          <w:spacing w:val="7"/>
          <w:kern w:val="0"/>
          <w:sz w:val="28"/>
          <w:szCs w:val="22"/>
          <w:highlight w:val="none"/>
        </w:rPr>
        <w:t>面向中小</w:t>
      </w:r>
      <w:r>
        <w:rPr>
          <w:rFonts w:hint="eastAsia" w:ascii="仿宋" w:hAnsi="仿宋" w:eastAsia="仿宋" w:cs="仿宋"/>
          <w:color w:val="auto"/>
          <w:spacing w:val="7"/>
          <w:kern w:val="0"/>
          <w:sz w:val="28"/>
          <w:szCs w:val="22"/>
          <w:highlight w:val="none"/>
          <w:lang w:val="en-US" w:eastAsia="zh-CN"/>
        </w:rPr>
        <w:t>微</w:t>
      </w:r>
      <w:r>
        <w:rPr>
          <w:rFonts w:hint="eastAsia" w:ascii="仿宋" w:hAnsi="仿宋" w:eastAsia="仿宋" w:cs="仿宋"/>
          <w:color w:val="auto"/>
          <w:spacing w:val="7"/>
          <w:kern w:val="0"/>
          <w:sz w:val="28"/>
          <w:szCs w:val="22"/>
          <w:highlight w:val="none"/>
        </w:rPr>
        <w:t>企业采购的项目</w:t>
      </w:r>
      <w:r>
        <w:rPr>
          <w:rFonts w:hint="eastAsia" w:ascii="仿宋" w:hAnsi="仿宋" w:eastAsia="仿宋" w:cs="仿宋"/>
          <w:color w:val="auto"/>
          <w:spacing w:val="7"/>
          <w:kern w:val="0"/>
          <w:sz w:val="28"/>
          <w:szCs w:val="22"/>
          <w:highlight w:val="none"/>
          <w:lang w:eastAsia="zh-CN"/>
        </w:rPr>
        <w:t>。</w:t>
      </w:r>
    </w:p>
    <w:p w14:paraId="70940A47">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single"/>
        </w:rPr>
      </w:pPr>
      <w:r>
        <w:rPr>
          <w:rFonts w:hint="eastAsia" w:ascii="仿宋" w:hAnsi="仿宋" w:eastAsia="仿宋" w:cs="仿宋"/>
          <w:color w:val="auto"/>
          <w:spacing w:val="7"/>
          <w:kern w:val="0"/>
          <w:sz w:val="28"/>
          <w:szCs w:val="22"/>
          <w:highlight w:val="none"/>
        </w:rPr>
        <w:t>5.本项目的特定资格要求：</w:t>
      </w:r>
    </w:p>
    <w:p w14:paraId="3EAAD11B">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bookmarkStart w:id="12" w:name="_Toc35393631"/>
      <w:bookmarkStart w:id="13" w:name="_Toc35393800"/>
      <w:r>
        <w:rPr>
          <w:rFonts w:hint="eastAsia" w:ascii="仿宋" w:hAnsi="仿宋" w:eastAsia="仿宋" w:cs="仿宋"/>
          <w:color w:val="auto"/>
          <w:spacing w:val="7"/>
          <w:kern w:val="0"/>
          <w:sz w:val="28"/>
          <w:szCs w:val="22"/>
          <w:highlight w:val="none"/>
          <w:lang w:val="en-US" w:eastAsia="zh-CN"/>
        </w:rPr>
        <w:t>（1）供应商须具备国家电管部门颁发的承装（修、试）电力设施许可证：承装类五级（含五级）、承修类五级（含五级）、承试类五级（含五级）及以上资质；</w:t>
      </w:r>
    </w:p>
    <w:p w14:paraId="65A918F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（2）供应商须具备安全生产条件，并取得企业安全生产许可证（在有效期内）；</w:t>
      </w:r>
    </w:p>
    <w:p w14:paraId="4DED7139">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（3）拟派项目负责人须具有电力专业中级及以上技术职称证书，须为供应商自有人员；</w:t>
      </w:r>
    </w:p>
    <w:p w14:paraId="46D19A0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spacing w:val="7"/>
          <w:kern w:val="0"/>
          <w:sz w:val="28"/>
          <w:szCs w:val="22"/>
          <w:highlight w:val="none"/>
          <w:lang w:val="en-US" w:eastAsia="zh-CN"/>
        </w:rPr>
        <w:t>（4）拟派项目组（项目负责人除外）不少于4人，须具有国家安全生产监督总局颁发的高压电工操作资格证书，须为供应商自有人员。</w:t>
      </w:r>
    </w:p>
    <w:p w14:paraId="228C03DF">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s="仿宋"/>
          <w:color w:val="auto"/>
          <w:spacing w:val="7"/>
          <w:kern w:val="0"/>
          <w:sz w:val="28"/>
          <w:szCs w:val="22"/>
          <w:highlight w:val="none"/>
          <w:lang w:val="en-US" w:eastAsia="zh-CN"/>
        </w:rPr>
        <w:t>6.</w:t>
      </w:r>
      <w:r>
        <w:rPr>
          <w:rFonts w:hint="eastAsia" w:ascii="仿宋" w:hAnsi="仿宋" w:eastAsia="仿宋" w:cs="仿宋"/>
          <w:color w:val="auto"/>
          <w:spacing w:val="7"/>
          <w:kern w:val="0"/>
          <w:sz w:val="28"/>
          <w:szCs w:val="22"/>
          <w:highlight w:val="none"/>
        </w:rPr>
        <w:t>本项目不接受联合体</w:t>
      </w:r>
      <w:r>
        <w:rPr>
          <w:rFonts w:hint="eastAsia" w:ascii="仿宋" w:hAnsi="仿宋" w:eastAsia="仿宋" w:cs="仿宋"/>
          <w:color w:val="auto"/>
          <w:spacing w:val="7"/>
          <w:kern w:val="0"/>
          <w:sz w:val="28"/>
          <w:szCs w:val="22"/>
          <w:highlight w:val="none"/>
          <w:lang w:val="en-US" w:eastAsia="zh-CN"/>
        </w:rPr>
        <w:t>投标</w:t>
      </w:r>
      <w:r>
        <w:rPr>
          <w:rFonts w:hint="eastAsia" w:ascii="仿宋" w:hAnsi="仿宋" w:eastAsia="仿宋" w:cs="仿宋"/>
          <w:color w:val="auto"/>
          <w:spacing w:val="7"/>
          <w:kern w:val="0"/>
          <w:sz w:val="28"/>
          <w:szCs w:val="22"/>
          <w:highlight w:val="none"/>
        </w:rPr>
        <w:t>。</w:t>
      </w:r>
    </w:p>
    <w:p w14:paraId="66F5051B">
      <w:pPr>
        <w:pStyle w:val="3"/>
        <w:spacing w:line="460" w:lineRule="exact"/>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10"/>
      <w:bookmarkEnd w:id="11"/>
      <w:bookmarkEnd w:id="12"/>
      <w:bookmarkEnd w:id="13"/>
    </w:p>
    <w:p w14:paraId="7D926E81">
      <w:pPr>
        <w:spacing w:line="460" w:lineRule="exact"/>
        <w:ind w:firstLine="539"/>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r>
        <w:rPr>
          <w:rFonts w:hint="eastAsia" w:ascii="仿宋" w:hAnsi="仿宋" w:eastAsia="仿宋"/>
          <w:bCs/>
          <w:color w:val="auto"/>
          <w:sz w:val="28"/>
          <w:szCs w:val="28"/>
          <w:highlight w:val="none"/>
          <w:lang w:val="en-US" w:eastAsia="zh-CN"/>
        </w:rPr>
        <w:t>下同</w:t>
      </w:r>
      <w:r>
        <w:rPr>
          <w:rFonts w:hint="eastAsia" w:ascii="仿宋" w:hAnsi="仿宋" w:eastAsia="仿宋"/>
          <w:bCs/>
          <w:color w:val="auto"/>
          <w:sz w:val="28"/>
          <w:szCs w:val="28"/>
          <w:highlight w:val="none"/>
        </w:rPr>
        <w:t>）</w:t>
      </w:r>
    </w:p>
    <w:p w14:paraId="771CCC05">
      <w:pPr>
        <w:spacing w:line="460" w:lineRule="exact"/>
        <w:ind w:firstLine="539"/>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地点：江苏省南通卫生高等职业技术学校网站</w:t>
      </w:r>
    </w:p>
    <w:p w14:paraId="236A7814">
      <w:pPr>
        <w:spacing w:line="460" w:lineRule="exact"/>
        <w:ind w:firstLine="539"/>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方式：自行下载，无需报名</w:t>
      </w:r>
    </w:p>
    <w:p w14:paraId="6BC35449">
      <w:pPr>
        <w:pStyle w:val="3"/>
        <w:spacing w:line="460" w:lineRule="exact"/>
        <w:rPr>
          <w:rFonts w:ascii="黑体" w:hAnsi="黑体" w:cs="宋体"/>
          <w:b w:val="0"/>
          <w:color w:val="auto"/>
          <w:sz w:val="28"/>
          <w:szCs w:val="28"/>
          <w:highlight w:val="none"/>
        </w:rPr>
      </w:pPr>
      <w:bookmarkStart w:id="14" w:name="_Toc35393632"/>
      <w:bookmarkStart w:id="15" w:name="_Toc28359092"/>
      <w:bookmarkStart w:id="16" w:name="_Toc28359015"/>
      <w:bookmarkStart w:id="17" w:name="_Toc35393801"/>
      <w:r>
        <w:rPr>
          <w:rFonts w:hint="eastAsia" w:ascii="黑体" w:hAnsi="黑体" w:cs="宋体"/>
          <w:b w:val="0"/>
          <w:color w:val="auto"/>
          <w:sz w:val="28"/>
          <w:szCs w:val="28"/>
          <w:highlight w:val="none"/>
        </w:rPr>
        <w:t>四、</w:t>
      </w:r>
      <w:bookmarkEnd w:id="14"/>
      <w:bookmarkEnd w:id="15"/>
      <w:bookmarkEnd w:id="16"/>
      <w:bookmarkEnd w:id="17"/>
      <w:r>
        <w:rPr>
          <w:rFonts w:hint="eastAsia" w:ascii="黑体" w:hAnsi="黑体" w:cs="宋体"/>
          <w:b w:val="0"/>
          <w:color w:val="auto"/>
          <w:sz w:val="28"/>
          <w:szCs w:val="28"/>
          <w:highlight w:val="none"/>
        </w:rPr>
        <w:t>提交响应文件截止时间、</w:t>
      </w:r>
      <w:r>
        <w:rPr>
          <w:rFonts w:hint="eastAsia" w:ascii="黑体" w:hAnsi="黑体" w:cs="宋体"/>
          <w:b w:val="0"/>
          <w:color w:val="auto"/>
          <w:sz w:val="28"/>
          <w:szCs w:val="28"/>
          <w:highlight w:val="none"/>
          <w:lang w:val="en-US" w:eastAsia="zh-CN"/>
        </w:rPr>
        <w:t>开标</w:t>
      </w:r>
      <w:r>
        <w:rPr>
          <w:rFonts w:hint="eastAsia" w:ascii="黑体" w:hAnsi="黑体" w:cs="宋体"/>
          <w:b w:val="0"/>
          <w:color w:val="auto"/>
          <w:sz w:val="28"/>
          <w:szCs w:val="28"/>
          <w:highlight w:val="none"/>
        </w:rPr>
        <w:t>时间和地点</w:t>
      </w:r>
    </w:p>
    <w:p w14:paraId="2C636C5F">
      <w:pPr>
        <w:spacing w:line="460" w:lineRule="exact"/>
        <w:ind w:firstLine="560" w:firstLineChars="2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截止时间：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，逾时，采购人将拒绝接受</w:t>
      </w:r>
      <w:r>
        <w:rPr>
          <w:rFonts w:hint="eastAsia" w:ascii="仿宋" w:hAnsi="仿宋" w:eastAsia="仿宋"/>
          <w:bCs/>
          <w:color w:val="auto"/>
          <w:sz w:val="28"/>
          <w:szCs w:val="28"/>
          <w:highlight w:val="none"/>
          <w:lang w:eastAsia="zh-CN"/>
        </w:rPr>
        <w:t>响应文件。</w:t>
      </w:r>
    </w:p>
    <w:p w14:paraId="413ABF5F">
      <w:pPr>
        <w:snapToGrid w:val="0"/>
        <w:spacing w:line="460" w:lineRule="exact"/>
        <w:ind w:firstLine="560" w:firstLineChars="200"/>
        <w:contextualSpacing/>
        <w:rPr>
          <w:rFonts w:hint="eastAsia" w:eastAsia="仿宋"/>
          <w:color w:val="auto"/>
          <w:lang w:val="en-US" w:eastAsia="zh-CN"/>
        </w:rPr>
      </w:pPr>
      <w:r>
        <w:rPr>
          <w:rFonts w:hint="eastAsia" w:ascii="仿宋" w:hAnsi="仿宋" w:eastAsia="仿宋"/>
          <w:color w:val="auto"/>
          <w:sz w:val="28"/>
          <w:szCs w:val="28"/>
          <w:highlight w:val="none"/>
        </w:rPr>
        <w:t>地点：</w:t>
      </w:r>
      <w:r>
        <w:rPr>
          <w:rFonts w:hint="eastAsia" w:ascii="仿宋" w:hAnsi="仿宋" w:eastAsia="仿宋" w:cs="仿宋"/>
          <w:b/>
          <w:bCs/>
          <w:color w:val="auto"/>
          <w:spacing w:val="7"/>
          <w:kern w:val="0"/>
          <w:sz w:val="28"/>
          <w:szCs w:val="22"/>
          <w:highlight w:val="none"/>
          <w:u w:val="single"/>
        </w:rPr>
        <w:t>南通市经济技术开发区振兴东路288号南通卫生高职校行政楼1408室，</w:t>
      </w:r>
      <w:r>
        <w:rPr>
          <w:rFonts w:hint="eastAsia" w:ascii="仿宋" w:hAnsi="仿宋" w:eastAsia="仿宋" w:cs="仿宋"/>
          <w:color w:val="auto"/>
          <w:spacing w:val="7"/>
          <w:kern w:val="0"/>
          <w:sz w:val="28"/>
          <w:szCs w:val="22"/>
          <w:highlight w:val="none"/>
        </w:rPr>
        <w:t>如有变动另行通知。</w:t>
      </w:r>
    </w:p>
    <w:p w14:paraId="16F926DB">
      <w:pPr>
        <w:pStyle w:val="3"/>
        <w:spacing w:line="460" w:lineRule="exact"/>
        <w:rPr>
          <w:rFonts w:ascii="黑体" w:hAnsi="黑体" w:cs="宋体"/>
          <w:b w:val="0"/>
          <w:color w:val="auto"/>
          <w:sz w:val="28"/>
          <w:szCs w:val="28"/>
          <w:highlight w:val="none"/>
        </w:rPr>
      </w:pPr>
      <w:bookmarkStart w:id="18" w:name="_Toc35393802"/>
      <w:bookmarkStart w:id="19" w:name="_Toc35393633"/>
      <w:bookmarkStart w:id="20" w:name="_Toc28359093"/>
      <w:bookmarkStart w:id="21" w:name="_Toc28359016"/>
      <w:r>
        <w:rPr>
          <w:rFonts w:hint="eastAsia" w:ascii="黑体" w:hAnsi="黑体" w:cs="宋体"/>
          <w:b w:val="0"/>
          <w:color w:val="auto"/>
          <w:sz w:val="28"/>
          <w:szCs w:val="28"/>
          <w:highlight w:val="none"/>
        </w:rPr>
        <w:t>五、开启</w:t>
      </w:r>
      <w:bookmarkEnd w:id="18"/>
      <w:bookmarkEnd w:id="19"/>
      <w:bookmarkEnd w:id="20"/>
      <w:bookmarkEnd w:id="21"/>
    </w:p>
    <w:p w14:paraId="352C41F4">
      <w:pPr>
        <w:spacing w:line="4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bookmarkStart w:id="45" w:name="_GoBack"/>
      <w:bookmarkEnd w:id="45"/>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9</w:t>
      </w:r>
      <w:r>
        <w:rPr>
          <w:rFonts w:hint="eastAsia" w:ascii="仿宋" w:hAnsi="仿宋" w:eastAsia="仿宋"/>
          <w:bCs/>
          <w:color w:val="auto"/>
          <w:sz w:val="28"/>
          <w:szCs w:val="28"/>
          <w:highlight w:val="none"/>
          <w:u w:val="single"/>
          <w:lang w:val="en-US" w:eastAsia="zh-CN"/>
        </w:rPr>
        <w:t>时3</w:t>
      </w:r>
      <w:r>
        <w:rPr>
          <w:rFonts w:hint="eastAsia" w:ascii="仿宋" w:hAnsi="仿宋" w:eastAsia="仿宋"/>
          <w:bCs/>
          <w:color w:val="auto"/>
          <w:sz w:val="28"/>
          <w:szCs w:val="28"/>
          <w:highlight w:val="none"/>
          <w:u w:val="single"/>
        </w:rPr>
        <w:t>0分</w:t>
      </w:r>
    </w:p>
    <w:p w14:paraId="27BB3624">
      <w:pPr>
        <w:snapToGrid w:val="0"/>
        <w:spacing w:line="460" w:lineRule="exact"/>
        <w:ind w:firstLine="560" w:firstLineChars="200"/>
        <w:contextualSpacing/>
        <w:rPr>
          <w:rFonts w:hint="eastAsia" w:ascii="仿宋" w:hAnsi="仿宋" w:eastAsia="仿宋" w:cs="仿宋"/>
          <w:color w:val="auto"/>
          <w:spacing w:val="7"/>
          <w:kern w:val="0"/>
          <w:sz w:val="28"/>
          <w:szCs w:val="22"/>
          <w:highlight w:val="none"/>
        </w:rPr>
      </w:pPr>
      <w:r>
        <w:rPr>
          <w:rFonts w:hint="eastAsia" w:ascii="仿宋" w:hAnsi="仿宋" w:eastAsia="仿宋"/>
          <w:color w:val="auto"/>
          <w:sz w:val="28"/>
          <w:szCs w:val="28"/>
          <w:highlight w:val="none"/>
        </w:rPr>
        <w:t>地点：</w:t>
      </w:r>
      <w:r>
        <w:rPr>
          <w:rFonts w:hint="eastAsia" w:ascii="仿宋" w:hAnsi="仿宋" w:eastAsia="仿宋" w:cs="仿宋"/>
          <w:b/>
          <w:bCs/>
          <w:color w:val="auto"/>
          <w:spacing w:val="7"/>
          <w:kern w:val="0"/>
          <w:sz w:val="28"/>
          <w:szCs w:val="22"/>
          <w:highlight w:val="none"/>
          <w:u w:val="single"/>
        </w:rPr>
        <w:t>南通市经济技术开发区振兴东路288号南通卫生高职校行政楼1408室，</w:t>
      </w:r>
      <w:r>
        <w:rPr>
          <w:rFonts w:hint="eastAsia" w:ascii="仿宋" w:hAnsi="仿宋" w:eastAsia="仿宋" w:cs="仿宋"/>
          <w:color w:val="auto"/>
          <w:spacing w:val="7"/>
          <w:kern w:val="0"/>
          <w:sz w:val="28"/>
          <w:szCs w:val="22"/>
          <w:highlight w:val="none"/>
        </w:rPr>
        <w:t>如有变动另行通知。</w:t>
      </w:r>
    </w:p>
    <w:p w14:paraId="5FB080DA">
      <w:pPr>
        <w:snapToGrid w:val="0"/>
        <w:spacing w:line="460" w:lineRule="exact"/>
        <w:ind w:firstLine="588" w:firstLineChars="200"/>
        <w:contextualSpacing/>
        <w:rPr>
          <w:rFonts w:ascii="仿宋" w:hAnsi="仿宋" w:eastAsia="仿宋"/>
          <w:bCs/>
          <w:color w:val="auto"/>
          <w:sz w:val="28"/>
          <w:szCs w:val="28"/>
          <w:highlight w:val="none"/>
          <w:u w:val="single"/>
        </w:rPr>
      </w:pPr>
      <w:r>
        <w:rPr>
          <w:rFonts w:hint="eastAsia" w:ascii="仿宋" w:hAnsi="仿宋" w:eastAsia="仿宋" w:cs="仿宋"/>
          <w:color w:val="auto"/>
          <w:spacing w:val="7"/>
          <w:kern w:val="0"/>
          <w:sz w:val="28"/>
          <w:szCs w:val="22"/>
          <w:highlight w:val="none"/>
          <w:u w:val="single"/>
          <w:lang w:val="en-US" w:eastAsia="zh-CN"/>
        </w:rPr>
        <w:t>注意</w:t>
      </w:r>
      <w:r>
        <w:rPr>
          <w:rFonts w:hint="eastAsia" w:ascii="仿宋" w:hAnsi="仿宋" w:eastAsia="仿宋" w:cs="仿宋"/>
          <w:color w:val="auto"/>
          <w:spacing w:val="7"/>
          <w:kern w:val="0"/>
          <w:sz w:val="28"/>
          <w:szCs w:val="22"/>
          <w:highlight w:val="none"/>
          <w:u w:val="single"/>
        </w:rPr>
        <w:t>：由于学校封闭式管理，供应商入校请至少提前4小时在平安卫校小程序进行访客申请，审批人选择“杨老师”</w:t>
      </w:r>
      <w:r>
        <w:rPr>
          <w:rFonts w:hint="eastAsia" w:ascii="仿宋" w:hAnsi="仿宋" w:eastAsia="仿宋" w:cs="仿宋"/>
          <w:color w:val="auto"/>
          <w:spacing w:val="7"/>
          <w:kern w:val="0"/>
          <w:sz w:val="28"/>
          <w:szCs w:val="22"/>
          <w:highlight w:val="none"/>
          <w:u w:val="single"/>
          <w:lang w:eastAsia="zh-CN"/>
        </w:rPr>
        <w:t>（</w:t>
      </w:r>
      <w:r>
        <w:rPr>
          <w:rFonts w:hint="eastAsia" w:ascii="仿宋" w:hAnsi="仿宋" w:eastAsia="仿宋" w:cs="仿宋"/>
          <w:color w:val="auto"/>
          <w:spacing w:val="7"/>
          <w:kern w:val="0"/>
          <w:sz w:val="28"/>
          <w:szCs w:val="22"/>
          <w:highlight w:val="none"/>
          <w:u w:val="single"/>
          <w:lang w:val="en-US" w:eastAsia="zh-CN"/>
        </w:rPr>
        <w:t>不可以开车入校）</w:t>
      </w:r>
      <w:r>
        <w:rPr>
          <w:rFonts w:hint="eastAsia" w:ascii="仿宋" w:hAnsi="仿宋" w:eastAsia="仿宋" w:cs="仿宋"/>
          <w:color w:val="auto"/>
          <w:spacing w:val="7"/>
          <w:kern w:val="0"/>
          <w:sz w:val="28"/>
          <w:szCs w:val="22"/>
          <w:highlight w:val="none"/>
          <w:u w:val="single"/>
        </w:rPr>
        <w:t>并提前抵达学校。确保能够准时提交</w:t>
      </w:r>
      <w:r>
        <w:rPr>
          <w:rFonts w:hint="eastAsia" w:ascii="仿宋" w:hAnsi="仿宋" w:eastAsia="仿宋" w:cs="仿宋"/>
          <w:color w:val="auto"/>
          <w:spacing w:val="7"/>
          <w:kern w:val="0"/>
          <w:sz w:val="28"/>
          <w:szCs w:val="22"/>
          <w:highlight w:val="none"/>
          <w:u w:val="single"/>
          <w:lang w:val="en-US" w:eastAsia="zh-CN"/>
        </w:rPr>
        <w:t>响应</w:t>
      </w:r>
      <w:r>
        <w:rPr>
          <w:rFonts w:hint="eastAsia" w:ascii="仿宋" w:hAnsi="仿宋" w:eastAsia="仿宋" w:cs="仿宋"/>
          <w:color w:val="auto"/>
          <w:spacing w:val="7"/>
          <w:kern w:val="0"/>
          <w:sz w:val="28"/>
          <w:szCs w:val="22"/>
          <w:highlight w:val="none"/>
          <w:u w:val="single"/>
        </w:rPr>
        <w:t>文件。如供应商未能准时送达</w:t>
      </w:r>
      <w:r>
        <w:rPr>
          <w:rFonts w:hint="eastAsia" w:ascii="仿宋" w:hAnsi="仿宋" w:eastAsia="仿宋" w:cs="仿宋"/>
          <w:color w:val="auto"/>
          <w:spacing w:val="7"/>
          <w:kern w:val="0"/>
          <w:sz w:val="28"/>
          <w:szCs w:val="22"/>
          <w:highlight w:val="none"/>
          <w:u w:val="single"/>
          <w:lang w:val="en-US" w:eastAsia="zh-CN"/>
        </w:rPr>
        <w:t>响应</w:t>
      </w:r>
      <w:r>
        <w:rPr>
          <w:rFonts w:hint="eastAsia" w:ascii="仿宋" w:hAnsi="仿宋" w:eastAsia="仿宋" w:cs="仿宋"/>
          <w:color w:val="auto"/>
          <w:spacing w:val="7"/>
          <w:kern w:val="0"/>
          <w:sz w:val="28"/>
          <w:szCs w:val="22"/>
          <w:highlight w:val="none"/>
          <w:u w:val="single"/>
        </w:rPr>
        <w:t>文件，则损失由供应商自行承担，采购人概不负责。</w:t>
      </w:r>
    </w:p>
    <w:p w14:paraId="74222CE4">
      <w:pPr>
        <w:pStyle w:val="3"/>
        <w:spacing w:line="460" w:lineRule="exact"/>
        <w:rPr>
          <w:rFonts w:ascii="黑体" w:hAnsi="黑体" w:cs="宋体"/>
          <w:b w:val="0"/>
          <w:color w:val="auto"/>
          <w:sz w:val="28"/>
          <w:szCs w:val="28"/>
          <w:highlight w:val="none"/>
        </w:rPr>
      </w:pPr>
      <w:bookmarkStart w:id="22" w:name="_Toc28359017"/>
      <w:bookmarkStart w:id="23" w:name="_Toc28359094"/>
      <w:bookmarkStart w:id="24" w:name="_Toc35393803"/>
      <w:bookmarkStart w:id="25" w:name="_Toc35393634"/>
      <w:r>
        <w:rPr>
          <w:rFonts w:hint="eastAsia" w:ascii="黑体" w:hAnsi="黑体" w:cs="宋体"/>
          <w:b w:val="0"/>
          <w:color w:val="auto"/>
          <w:sz w:val="28"/>
          <w:szCs w:val="28"/>
          <w:highlight w:val="none"/>
        </w:rPr>
        <w:t>六、公告</w:t>
      </w:r>
      <w:r>
        <w:rPr>
          <w:rFonts w:hint="eastAsia" w:ascii="黑体" w:hAnsi="黑体" w:cs="宋体"/>
          <w:b w:val="0"/>
          <w:color w:val="auto"/>
          <w:sz w:val="28"/>
          <w:szCs w:val="28"/>
          <w:highlight w:val="none"/>
          <w:lang w:val="en-US" w:eastAsia="zh-CN"/>
        </w:rPr>
        <w:t>网址及</w:t>
      </w:r>
      <w:r>
        <w:rPr>
          <w:rFonts w:hint="eastAsia" w:ascii="黑体" w:hAnsi="黑体" w:cs="宋体"/>
          <w:b w:val="0"/>
          <w:color w:val="auto"/>
          <w:sz w:val="28"/>
          <w:szCs w:val="28"/>
          <w:highlight w:val="none"/>
        </w:rPr>
        <w:t>期限</w:t>
      </w:r>
      <w:bookmarkEnd w:id="22"/>
      <w:bookmarkEnd w:id="23"/>
      <w:bookmarkEnd w:id="24"/>
      <w:bookmarkEnd w:id="25"/>
    </w:p>
    <w:p w14:paraId="2B22AFFE">
      <w:pPr>
        <w:spacing w:line="460" w:lineRule="exact"/>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kern w:val="0"/>
          <w:sz w:val="28"/>
          <w:szCs w:val="28"/>
          <w:highlight w:val="none"/>
          <w:lang w:val="en-US" w:eastAsia="zh-CN"/>
        </w:rPr>
        <w:t>本公告在</w:t>
      </w:r>
      <w:r>
        <w:rPr>
          <w:rFonts w:hint="eastAsia" w:ascii="仿宋" w:hAnsi="仿宋" w:eastAsia="仿宋" w:cs="宋体"/>
          <w:color w:val="auto"/>
          <w:sz w:val="28"/>
          <w:szCs w:val="28"/>
          <w:highlight w:val="none"/>
          <w:u w:val="single"/>
        </w:rPr>
        <w:t>江苏省南通卫生高等职业技术学校网站</w:t>
      </w:r>
      <w:r>
        <w:rPr>
          <w:rFonts w:hint="eastAsia" w:ascii="仿宋" w:hAnsi="仿宋" w:eastAsia="仿宋" w:cs="宋体"/>
          <w:color w:val="auto"/>
          <w:sz w:val="28"/>
          <w:szCs w:val="28"/>
          <w:highlight w:val="none"/>
          <w:lang w:val="en-US" w:eastAsia="zh-CN"/>
        </w:rPr>
        <w:t>和</w:t>
      </w:r>
      <w:r>
        <w:rPr>
          <w:rFonts w:hint="eastAsia" w:ascii="仿宋" w:hAnsi="仿宋" w:eastAsia="仿宋" w:cs="宋体"/>
          <w:color w:val="auto"/>
          <w:sz w:val="28"/>
          <w:szCs w:val="28"/>
          <w:highlight w:val="none"/>
          <w:u w:val="single"/>
          <w:lang w:val="en-US" w:eastAsia="zh-CN"/>
        </w:rPr>
        <w:t>江苏省招标投标公共服务平台</w:t>
      </w:r>
      <w:r>
        <w:rPr>
          <w:rFonts w:hint="eastAsia" w:ascii="仿宋" w:hAnsi="仿宋" w:eastAsia="仿宋" w:cs="宋体"/>
          <w:color w:val="auto"/>
          <w:sz w:val="28"/>
          <w:szCs w:val="28"/>
          <w:highlight w:val="none"/>
          <w:lang w:val="en-US" w:eastAsia="zh-CN"/>
        </w:rPr>
        <w:t>发布。</w:t>
      </w:r>
    </w:p>
    <w:p w14:paraId="25BF578D">
      <w:pPr>
        <w:spacing w:line="4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23EB78A">
      <w:pPr>
        <w:pStyle w:val="3"/>
        <w:spacing w:line="460" w:lineRule="exact"/>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七、成交原则、方式</w:t>
      </w:r>
    </w:p>
    <w:p w14:paraId="07C00EE2">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none"/>
          <w:lang w:val="en-US" w:eastAsia="zh-CN"/>
        </w:rPr>
      </w:pPr>
      <w:r>
        <w:rPr>
          <w:rFonts w:hint="eastAsia" w:ascii="仿宋" w:hAnsi="仿宋" w:eastAsia="仿宋" w:cs="仿宋"/>
          <w:color w:val="auto"/>
          <w:spacing w:val="7"/>
          <w:kern w:val="0"/>
          <w:sz w:val="28"/>
          <w:szCs w:val="22"/>
          <w:highlight w:val="none"/>
          <w:u w:val="none"/>
          <w:lang w:val="en-US" w:eastAsia="zh-CN"/>
        </w:rPr>
        <w:t>成交原则：报价截止时间后，对收到的合格报价文件组织评审，按照质量和服务均能满足询价文件实质性响应要求且</w:t>
      </w:r>
      <w:r>
        <w:rPr>
          <w:rFonts w:hint="eastAsia" w:ascii="仿宋" w:hAnsi="仿宋" w:eastAsia="仿宋" w:cs="仿宋"/>
          <w:b/>
          <w:bCs/>
          <w:color w:val="auto"/>
          <w:spacing w:val="7"/>
          <w:kern w:val="0"/>
          <w:sz w:val="28"/>
          <w:szCs w:val="22"/>
          <w:highlight w:val="none"/>
          <w:u w:val="none"/>
          <w:lang w:val="en-US" w:eastAsia="zh-CN"/>
        </w:rPr>
        <w:t>总价报价最低</w:t>
      </w:r>
      <w:r>
        <w:rPr>
          <w:rFonts w:hint="eastAsia" w:ascii="仿宋" w:hAnsi="仿宋" w:eastAsia="仿宋" w:cs="仿宋"/>
          <w:color w:val="auto"/>
          <w:spacing w:val="7"/>
          <w:kern w:val="0"/>
          <w:sz w:val="28"/>
          <w:szCs w:val="22"/>
          <w:highlight w:val="none"/>
          <w:u w:val="none"/>
          <w:lang w:val="en-US" w:eastAsia="zh-CN"/>
        </w:rPr>
        <w:t>的原则，确定1家成交供应商。</w:t>
      </w:r>
    </w:p>
    <w:p w14:paraId="7F5DC527">
      <w:pPr>
        <w:pStyle w:val="3"/>
        <w:spacing w:line="460" w:lineRule="exact"/>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八、成交结果通知</w:t>
      </w:r>
    </w:p>
    <w:p w14:paraId="08D10AE6">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none"/>
          <w:lang w:val="en-US" w:eastAsia="zh-CN"/>
        </w:rPr>
      </w:pPr>
      <w:r>
        <w:rPr>
          <w:rFonts w:hint="eastAsia" w:ascii="仿宋" w:hAnsi="仿宋" w:eastAsia="仿宋" w:cs="仿宋"/>
          <w:color w:val="auto"/>
          <w:spacing w:val="7"/>
          <w:kern w:val="0"/>
          <w:sz w:val="28"/>
          <w:szCs w:val="22"/>
          <w:highlight w:val="none"/>
          <w:u w:val="none"/>
          <w:lang w:val="en-US" w:eastAsia="zh-CN"/>
        </w:rPr>
        <w:t>（1）成交结果将通过江苏省南通卫生高等职业技术学校网站和江苏省招标投标公共服务平台发布采购结果通告，通知所有参加本次采购活动的供应商。</w:t>
      </w:r>
    </w:p>
    <w:p w14:paraId="23766391">
      <w:pPr>
        <w:snapToGrid w:val="0"/>
        <w:spacing w:line="460" w:lineRule="exact"/>
        <w:ind w:firstLine="588" w:firstLineChars="200"/>
        <w:contextualSpacing/>
        <w:rPr>
          <w:rFonts w:hint="eastAsia" w:ascii="仿宋" w:hAnsi="仿宋" w:eastAsia="仿宋" w:cs="仿宋"/>
          <w:color w:val="auto"/>
          <w:spacing w:val="7"/>
          <w:kern w:val="0"/>
          <w:sz w:val="28"/>
          <w:szCs w:val="22"/>
          <w:highlight w:val="none"/>
          <w:u w:val="none"/>
          <w:lang w:val="en-US" w:eastAsia="zh-CN"/>
        </w:rPr>
      </w:pPr>
      <w:r>
        <w:rPr>
          <w:rFonts w:hint="eastAsia" w:ascii="仿宋" w:hAnsi="仿宋" w:eastAsia="仿宋" w:cs="仿宋"/>
          <w:color w:val="auto"/>
          <w:spacing w:val="7"/>
          <w:kern w:val="0"/>
          <w:sz w:val="28"/>
          <w:szCs w:val="22"/>
          <w:highlight w:val="none"/>
          <w:u w:val="none"/>
          <w:lang w:val="en-US" w:eastAsia="zh-CN"/>
        </w:rPr>
        <w:t>（2）成交供应商应在中标结果公示结束后五日内与采购单位签订合同。所签合同不得对采购文件作实质性修改。采购单位不得向供应商提出不合理的要求作为签订合同的条件，不得与供应商私下订立背离采购文件实质性内容的协议。</w:t>
      </w:r>
    </w:p>
    <w:p w14:paraId="011A072B">
      <w:pPr>
        <w:pStyle w:val="3"/>
        <w:spacing w:line="460" w:lineRule="exact"/>
        <w:rPr>
          <w:rFonts w:ascii="黑体" w:hAnsi="黑体" w:cs="宋体"/>
          <w:b w:val="0"/>
          <w:color w:val="auto"/>
          <w:sz w:val="28"/>
          <w:szCs w:val="28"/>
          <w:highlight w:val="none"/>
        </w:rPr>
      </w:pPr>
      <w:r>
        <w:rPr>
          <w:rFonts w:hint="eastAsia" w:ascii="黑体" w:hAnsi="黑体" w:cs="宋体"/>
          <w:b w:val="0"/>
          <w:color w:val="auto"/>
          <w:sz w:val="28"/>
          <w:szCs w:val="28"/>
          <w:highlight w:val="none"/>
        </w:rPr>
        <w:t>九、</w:t>
      </w:r>
      <w:bookmarkStart w:id="26" w:name="_Toc35393805"/>
      <w:bookmarkStart w:id="27" w:name="_Toc28359095"/>
      <w:bookmarkStart w:id="28" w:name="_Toc35393636"/>
      <w:bookmarkStart w:id="29" w:name="_Toc28359018"/>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p>
    <w:p w14:paraId="5E7E935C">
      <w:pPr>
        <w:pStyle w:val="3"/>
        <w:spacing w:line="460" w:lineRule="exact"/>
        <w:ind w:firstLine="840" w:firstLineChars="300"/>
        <w:rPr>
          <w:rFonts w:ascii="仿宋" w:hAnsi="仿宋" w:eastAsia="仿宋" w:cs="宋体"/>
          <w:b w:val="0"/>
          <w:color w:val="auto"/>
          <w:sz w:val="28"/>
          <w:szCs w:val="28"/>
          <w:highlight w:val="none"/>
        </w:rPr>
      </w:pPr>
      <w:bookmarkStart w:id="30" w:name="_Toc35393637"/>
      <w:bookmarkStart w:id="31" w:name="_Toc35393806"/>
      <w:bookmarkStart w:id="32" w:name="_Toc28359019"/>
      <w:bookmarkStart w:id="33" w:name="_Toc28359096"/>
      <w:r>
        <w:rPr>
          <w:rFonts w:hint="eastAsia" w:ascii="仿宋" w:hAnsi="仿宋" w:eastAsia="仿宋" w:cs="宋体"/>
          <w:b w:val="0"/>
          <w:color w:val="auto"/>
          <w:sz w:val="28"/>
          <w:szCs w:val="28"/>
          <w:highlight w:val="none"/>
        </w:rPr>
        <w:t>1.采购人信息</w:t>
      </w:r>
      <w:bookmarkEnd w:id="30"/>
      <w:bookmarkEnd w:id="31"/>
      <w:bookmarkEnd w:id="32"/>
      <w:bookmarkEnd w:id="33"/>
    </w:p>
    <w:p w14:paraId="01E69020">
      <w:pPr>
        <w:spacing w:line="460" w:lineRule="exact"/>
        <w:ind w:left="1129" w:leftChars="371" w:hanging="350" w:hangingChars="125"/>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名    称：江苏省南通卫生高等职业技术学校</w:t>
      </w:r>
    </w:p>
    <w:p w14:paraId="61D2F975">
      <w:pPr>
        <w:spacing w:line="460" w:lineRule="exact"/>
        <w:ind w:left="1129" w:leftChars="371" w:hanging="350" w:hangingChars="12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地    址：南通市经济技术开发区振兴东路288号</w:t>
      </w:r>
    </w:p>
    <w:p w14:paraId="6D570467">
      <w:pPr>
        <w:spacing w:line="460" w:lineRule="exact"/>
        <w:ind w:left="1129" w:leftChars="371" w:hanging="350" w:hangingChars="125"/>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eastAsia="zh-CN"/>
        </w:rPr>
        <w:t>：</w:t>
      </w:r>
    </w:p>
    <w:p w14:paraId="0619DD0C">
      <w:pPr>
        <w:spacing w:line="460" w:lineRule="exact"/>
        <w:ind w:left="1338" w:leftChars="637" w:firstLine="210" w:firstLineChars="7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需求部门联系人：缪老师13962809675</w:t>
      </w:r>
    </w:p>
    <w:p w14:paraId="1435010E">
      <w:pPr>
        <w:spacing w:line="460" w:lineRule="exact"/>
        <w:ind w:left="1338" w:leftChars="637" w:firstLine="210" w:firstLineChars="75"/>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招标部门联系人：</w:t>
      </w:r>
      <w:r>
        <w:rPr>
          <w:rFonts w:hint="eastAsia" w:ascii="仿宋" w:hAnsi="仿宋" w:eastAsia="仿宋"/>
          <w:color w:val="auto"/>
          <w:sz w:val="28"/>
          <w:szCs w:val="28"/>
          <w:highlight w:val="none"/>
          <w:u w:val="none"/>
        </w:rPr>
        <w:t>杨老师</w:t>
      </w:r>
      <w:r>
        <w:rPr>
          <w:rFonts w:hint="eastAsia" w:ascii="仿宋" w:hAnsi="仿宋" w:eastAsia="仿宋"/>
          <w:color w:val="auto"/>
          <w:sz w:val="28"/>
          <w:szCs w:val="28"/>
          <w:highlight w:val="none"/>
          <w:u w:val="none"/>
          <w:lang w:val="en-US" w:eastAsia="zh-CN"/>
        </w:rPr>
        <w:t>17798880869</w:t>
      </w:r>
      <w:bookmarkStart w:id="34" w:name="_Toc28359020"/>
      <w:bookmarkStart w:id="35" w:name="_Toc35393807"/>
      <w:bookmarkStart w:id="36" w:name="_Toc28359097"/>
      <w:bookmarkStart w:id="37" w:name="_Toc35393638"/>
    </w:p>
    <w:p w14:paraId="62248DD8">
      <w:pPr>
        <w:spacing w:line="460" w:lineRule="exact"/>
        <w:ind w:left="1338" w:leftChars="637" w:firstLine="210" w:firstLineChars="75"/>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纪委监督联系人：黄老师15951300658</w:t>
      </w:r>
    </w:p>
    <w:p w14:paraId="5C6F6159">
      <w:pPr>
        <w:pStyle w:val="3"/>
        <w:spacing w:line="460" w:lineRule="exact"/>
        <w:ind w:firstLine="840" w:firstLineChars="300"/>
        <w:rPr>
          <w:rFonts w:ascii="仿宋" w:hAnsi="仿宋" w:eastAsia="仿宋" w:cs="宋体"/>
          <w:b w:val="0"/>
          <w:color w:val="auto"/>
          <w:sz w:val="28"/>
          <w:szCs w:val="28"/>
          <w:highlight w:val="none"/>
          <w:u w:val="none"/>
        </w:rPr>
      </w:pPr>
      <w:r>
        <w:rPr>
          <w:rFonts w:hint="eastAsia" w:ascii="仿宋" w:hAnsi="仿宋" w:eastAsia="仿宋" w:cs="宋体"/>
          <w:b w:val="0"/>
          <w:color w:val="auto"/>
          <w:sz w:val="28"/>
          <w:szCs w:val="28"/>
          <w:highlight w:val="none"/>
          <w:u w:val="none"/>
        </w:rPr>
        <w:t>2.采购代理机构信息</w:t>
      </w:r>
      <w:bookmarkEnd w:id="34"/>
      <w:bookmarkEnd w:id="35"/>
      <w:bookmarkEnd w:id="36"/>
      <w:bookmarkEnd w:id="37"/>
    </w:p>
    <w:p w14:paraId="78B23B1B">
      <w:pPr>
        <w:spacing w:line="460" w:lineRule="exact"/>
        <w:ind w:firstLine="840" w:firstLineChars="3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    称：昆山市中建项目管理有限公司</w:t>
      </w:r>
    </w:p>
    <w:p w14:paraId="5813EE59">
      <w:pPr>
        <w:spacing w:line="460" w:lineRule="exact"/>
        <w:ind w:firstLine="840" w:firstLineChars="300"/>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u w:val="none"/>
          <w:lang w:eastAsia="zh-CN"/>
        </w:rPr>
        <w:t>南通市</w:t>
      </w:r>
      <w:r>
        <w:rPr>
          <w:rFonts w:hint="eastAsia" w:ascii="仿宋" w:hAnsi="仿宋" w:eastAsia="仿宋" w:cs="仿宋"/>
          <w:color w:val="auto"/>
          <w:sz w:val="28"/>
          <w:szCs w:val="28"/>
          <w:highlight w:val="none"/>
          <w:u w:val="none"/>
        </w:rPr>
        <w:t>江海英才大厦2号楼607</w:t>
      </w:r>
    </w:p>
    <w:p w14:paraId="1C3B5AAF">
      <w:pPr>
        <w:spacing w:line="460" w:lineRule="exact"/>
        <w:ind w:firstLine="840" w:firstLineChars="300"/>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15151361032</w:t>
      </w:r>
    </w:p>
    <w:p w14:paraId="371C450B">
      <w:pPr>
        <w:autoSpaceDE w:val="0"/>
        <w:autoSpaceDN w:val="0"/>
        <w:adjustRightInd w:val="0"/>
        <w:snapToGrid w:val="0"/>
        <w:spacing w:line="300" w:lineRule="auto"/>
        <w:jc w:val="center"/>
        <w:outlineLvl w:val="0"/>
        <w:rPr>
          <w:rFonts w:hint="eastAsia" w:ascii="仿宋" w:hAnsi="仿宋" w:eastAsia="仿宋" w:cs="仿宋"/>
          <w:b/>
          <w:bCs/>
          <w:color w:val="auto"/>
          <w:sz w:val="36"/>
          <w:szCs w:val="36"/>
          <w:highlight w:val="none"/>
          <w:lang w:val="zh-CN"/>
        </w:rPr>
      </w:pPr>
      <w:r>
        <w:rPr>
          <w:rFonts w:hint="eastAsia" w:ascii="仿宋" w:hAnsi="仿宋" w:eastAsia="仿宋" w:cs="仿宋"/>
          <w:color w:val="auto"/>
          <w:spacing w:val="7"/>
          <w:kern w:val="0"/>
          <w:sz w:val="28"/>
          <w:szCs w:val="22"/>
          <w:highlight w:val="none"/>
        </w:rPr>
        <w:br w:type="page"/>
      </w:r>
      <w:bookmarkEnd w:id="0"/>
      <w:bookmarkEnd w:id="1"/>
      <w:r>
        <w:rPr>
          <w:rFonts w:hint="eastAsia" w:ascii="仿宋" w:hAnsi="仿宋" w:eastAsia="仿宋" w:cs="仿宋"/>
          <w:b/>
          <w:bCs/>
          <w:color w:val="auto"/>
          <w:sz w:val="36"/>
          <w:szCs w:val="36"/>
          <w:highlight w:val="none"/>
          <w:lang w:val="zh-CN"/>
        </w:rPr>
        <w:t xml:space="preserve">第二部分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zh-CN"/>
        </w:rPr>
        <w:t>投标须知</w:t>
      </w:r>
    </w:p>
    <w:p w14:paraId="1C32C9CC">
      <w:pPr>
        <w:bidi w:val="0"/>
        <w:rPr>
          <w:rFonts w:hint="eastAsia"/>
          <w:color w:val="auto"/>
          <w:highlight w:val="none"/>
          <w:lang w:val="zh-CN"/>
        </w:rPr>
      </w:pPr>
    </w:p>
    <w:p w14:paraId="24079C2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一、说明</w:t>
      </w:r>
    </w:p>
    <w:p w14:paraId="1EDED2FA">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仅适用于本采购人组织的招标采购活动。</w:t>
      </w:r>
    </w:p>
    <w:p w14:paraId="72756B31">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2.招标采购活动及因本次招标产生的合同受中国法律制约和保护。</w:t>
      </w:r>
    </w:p>
    <w:p w14:paraId="389F1FFF">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的解释权属于采购人。</w:t>
      </w:r>
    </w:p>
    <w:p w14:paraId="2193A278">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4.供应商在知道或应当知道本项目</w:t>
      </w:r>
      <w:r>
        <w:rPr>
          <w:rFonts w:hint="eastAsia" w:ascii="仿宋" w:hAnsi="仿宋" w:eastAsia="仿宋" w:cs="仿宋"/>
          <w:color w:val="auto"/>
          <w:sz w:val="28"/>
          <w:szCs w:val="28"/>
          <w:highlight w:val="none"/>
          <w:lang w:eastAsia="zh-CN"/>
        </w:rPr>
        <w:t>询价公告</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中的所有内容：如内容或页码短缺、资格要求和技术参数出现倾向性或排他性等表述的，应当在获取采购文件之日起3个工作日内提出质疑；未提出或是未在规定期间内提出质疑的视作供应商接受本项目</w:t>
      </w:r>
      <w:r>
        <w:rPr>
          <w:rFonts w:hint="eastAsia" w:ascii="仿宋" w:hAnsi="仿宋" w:eastAsia="仿宋" w:cs="仿宋"/>
          <w:color w:val="auto"/>
          <w:sz w:val="28"/>
          <w:szCs w:val="28"/>
          <w:highlight w:val="none"/>
          <w:lang w:eastAsia="zh-CN"/>
        </w:rPr>
        <w:t>询价公告</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中的全部内容；供应商不得在招标活动期间及招标结束后针对本项目</w:t>
      </w:r>
      <w:r>
        <w:rPr>
          <w:rFonts w:hint="eastAsia" w:ascii="仿宋" w:hAnsi="仿宋" w:eastAsia="仿宋" w:cs="仿宋"/>
          <w:color w:val="auto"/>
          <w:sz w:val="28"/>
          <w:szCs w:val="28"/>
          <w:highlight w:val="none"/>
          <w:lang w:eastAsia="zh-CN"/>
        </w:rPr>
        <w:t>询价公告</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中的所有内容提出质疑事项。</w:t>
      </w:r>
    </w:p>
    <w:p w14:paraId="44F91E34">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5.供应商应认真审阅本</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中的所有事项、格式、条款和规范要求等，如果供应商没有按照</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要求提交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没有对</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做出实质性响应，有可能被拒绝参与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4D36286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的澄清、修改、答疑</w:t>
      </w:r>
    </w:p>
    <w:p w14:paraId="7680EEC1">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1.采购人有权对发出的询价文件进行必要的补充说明、澄清或修改。</w:t>
      </w:r>
    </w:p>
    <w:p w14:paraId="43D47709">
      <w:pPr>
        <w:widowControl/>
        <w:shd w:val="clear" w:color="auto" w:fill="FFFFFF"/>
        <w:spacing w:line="300" w:lineRule="auto"/>
        <w:ind w:firstLine="488"/>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2.凡涉及询价文件的补充说明、澄清或修改，均以采购人在</w:t>
      </w:r>
      <w:r>
        <w:rPr>
          <w:rFonts w:hint="eastAsia" w:ascii="仿宋" w:hAnsi="仿宋" w:eastAsia="仿宋" w:cs="仿宋"/>
          <w:color w:val="auto"/>
          <w:spacing w:val="7"/>
          <w:kern w:val="0"/>
          <w:sz w:val="28"/>
          <w:szCs w:val="22"/>
          <w:highlight w:val="none"/>
        </w:rPr>
        <w:t>江苏省南通卫生高等职业技术学校网站</w:t>
      </w:r>
      <w:r>
        <w:rPr>
          <w:rFonts w:hint="eastAsia" w:ascii="仿宋" w:hAnsi="仿宋" w:eastAsia="仿宋" w:cs="仿宋"/>
          <w:color w:val="auto"/>
          <w:sz w:val="28"/>
          <w:szCs w:val="28"/>
          <w:highlight w:val="none"/>
          <w:lang w:val="zh-CN"/>
        </w:rPr>
        <w:t>发布的信息为准。</w:t>
      </w:r>
    </w:p>
    <w:p w14:paraId="6EE7B04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3.采购人对询价文件的补充说明、澄清或修改，将构成本项目采购文件的一部分，对供应商具有约束力。</w:t>
      </w:r>
    </w:p>
    <w:p w14:paraId="4A118BE9">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4.补充说明、澄清或修改的内容可能影响到响应文件编制的，采购人将在首次提交响应文件截止日</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天前，发布补充说明、澄清或修改公告。不足</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日的，应当顺延首次提交响应文件截止之日。</w:t>
      </w:r>
    </w:p>
    <w:p w14:paraId="5E3A61C5">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5.除非采购人以书面、公告的形式对询价文件作出澄清、修改、补充并通知到供应商，供应商对涉及询价文件的任何推论、理解和结论所造成的结果，均由供应商自负。</w:t>
      </w:r>
    </w:p>
    <w:p w14:paraId="2C3A6B65">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6.招标采购单位视情组织答疑会。如有产生答疑且对询价文件内容有修改，采购人将按照本须知有关规定，以补充通知（公告）的方式发出并通知到供应商。</w:t>
      </w:r>
    </w:p>
    <w:p w14:paraId="424B92E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三、响应文件的组成及装订</w:t>
      </w:r>
    </w:p>
    <w:p w14:paraId="78DF71E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1.响应文件由 ：A资格后审材料文件、B价格标文件，共</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部分组成（以下由文件前缀号代称）。</w:t>
      </w:r>
    </w:p>
    <w:p w14:paraId="35D602F8">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供应商按响应文件组成顺序编写响应文件，并牢固装订成册。响应文件均需采用A4纸（图纸等除外），不允许使用活页夹、拉杆夹、文件夹、塑料方便式书脊（插入式或穿孔式）装订。响应文件不得行间插字、涂改、增删。修改错漏处，须经过供应商法人代表或其委托的代理人（以下称被委托</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lang w:val="zh-CN"/>
        </w:rPr>
        <w:t>人）签字（或盖章）并加盖公章。</w:t>
      </w:r>
    </w:p>
    <w:p w14:paraId="6B14E36A">
      <w:pPr>
        <w:snapToGrid w:val="0"/>
        <w:spacing w:line="300" w:lineRule="auto"/>
        <w:ind w:firstLine="560" w:firstLineChars="200"/>
        <w:contextualSpacing/>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3.价格标文件中的所有报价表，必须装订成册。</w:t>
      </w:r>
    </w:p>
    <w:p w14:paraId="0583491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的份数、签署和退还</w:t>
      </w:r>
    </w:p>
    <w:p w14:paraId="57ECB5A7">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中，均为</w:t>
      </w:r>
      <w:r>
        <w:rPr>
          <w:rFonts w:hint="eastAsia" w:ascii="仿宋" w:hAnsi="仿宋" w:eastAsia="仿宋" w:cs="仿宋"/>
          <w:color w:val="auto"/>
          <w:sz w:val="28"/>
          <w:highlight w:val="none"/>
          <w:u w:val="single"/>
        </w:rPr>
        <w:t>一份“正本”和贰份“副本”</w:t>
      </w:r>
      <w:r>
        <w:rPr>
          <w:rFonts w:hint="eastAsia" w:ascii="仿宋" w:hAnsi="仿宋" w:eastAsia="仿宋" w:cs="仿宋"/>
          <w:color w:val="auto"/>
          <w:sz w:val="28"/>
          <w:highlight w:val="none"/>
        </w:rPr>
        <w:t>。</w:t>
      </w:r>
    </w:p>
    <w:p w14:paraId="685C3CCB">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2.在每一份</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上要明确标注项目名称、</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各自对应的名称、供应商全称、“正本”、“副本”字样，“正本”和“副本”若有差异，概以“正本”为准。</w:t>
      </w:r>
    </w:p>
    <w:p w14:paraId="3F48D36D">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3.</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中的所有“正本”，须为打印的，其正文内容由法定代表人或被委托授权人签字（或盖章）并加盖公章，“副本”可为“正本”的复印件。</w:t>
      </w:r>
    </w:p>
    <w:p w14:paraId="0062D115">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4.</w:t>
      </w:r>
      <w:r>
        <w:rPr>
          <w:rFonts w:hint="eastAsia" w:ascii="仿宋" w:hAnsi="仿宋" w:eastAsia="仿宋" w:cs="仿宋"/>
          <w:color w:val="auto"/>
          <w:sz w:val="28"/>
          <w:highlight w:val="none"/>
          <w:lang w:val="en-US" w:eastAsia="zh-CN"/>
        </w:rPr>
        <w:t>开标</w:t>
      </w:r>
      <w:r>
        <w:rPr>
          <w:rFonts w:hint="eastAsia" w:ascii="仿宋" w:hAnsi="仿宋" w:eastAsia="仿宋" w:cs="仿宋"/>
          <w:color w:val="auto"/>
          <w:sz w:val="28"/>
          <w:highlight w:val="none"/>
        </w:rPr>
        <w:t>程序顺利进行后，所有</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都将作为档案保存，不论成交与否，采购人均不退回（未拆封的除外）。</w:t>
      </w:r>
    </w:p>
    <w:p w14:paraId="754AB4C1">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五、响应文件的密封及标记</w:t>
      </w:r>
    </w:p>
    <w:p w14:paraId="2DC3B1BE">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1.供应商须将本项目</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：【A】【B】分别单独密封。</w:t>
      </w:r>
    </w:p>
    <w:p w14:paraId="2ECDEC86">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2.密封后，应在每一密封件上明确标注项目名称、</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各自对应的名称、供应商全称及日期，同时加盖供应商公章。</w:t>
      </w:r>
    </w:p>
    <w:p w14:paraId="3C1BC295">
      <w:pPr>
        <w:snapToGrid w:val="0"/>
        <w:spacing w:line="4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中的【A】的“正本”或“副本”内，均不得含有任何【</w:t>
      </w: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】中的报价表（报价单）的内容，否则作无效</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处理。</w:t>
      </w:r>
    </w:p>
    <w:p w14:paraId="07F014D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内容</w:t>
      </w:r>
    </w:p>
    <w:p w14:paraId="62EC0EC6">
      <w:pPr>
        <w:pStyle w:val="65"/>
        <w:snapToGrid w:val="0"/>
        <w:spacing w:line="300" w:lineRule="auto"/>
        <w:ind w:firstLine="579"/>
        <w:contextualSpacing/>
        <w:rPr>
          <w:rFonts w:hint="eastAsia" w:ascii="仿宋" w:hAnsi="仿宋" w:eastAsia="仿宋" w:cs="仿宋"/>
          <w:color w:val="auto"/>
          <w:sz w:val="28"/>
          <w:highlight w:val="none"/>
          <w:u w:val="single"/>
        </w:rPr>
      </w:pPr>
      <w:r>
        <w:rPr>
          <w:rFonts w:hint="eastAsia" w:ascii="仿宋" w:hAnsi="仿宋" w:eastAsia="仿宋" w:cs="仿宋"/>
          <w:b/>
          <w:bCs/>
          <w:color w:val="auto"/>
          <w:sz w:val="28"/>
          <w:highlight w:val="none"/>
        </w:rPr>
        <w:t>A、资格后审材料文件</w:t>
      </w:r>
      <w:r>
        <w:rPr>
          <w:rFonts w:hint="eastAsia" w:ascii="仿宋" w:hAnsi="仿宋" w:eastAsia="仿宋" w:cs="仿宋"/>
          <w:color w:val="auto"/>
          <w:sz w:val="28"/>
          <w:highlight w:val="none"/>
          <w:u w:val="single"/>
        </w:rPr>
        <w:t>（一个密封包，内含：1份“正本”和2份“副本”。）</w:t>
      </w:r>
    </w:p>
    <w:p w14:paraId="091E2D82">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059C28D7">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宋体"/>
          <w:color w:val="auto"/>
          <w:spacing w:val="7"/>
          <w:sz w:val="28"/>
          <w:highlight w:val="none"/>
          <w:shd w:val="clear" w:color="auto" w:fill="FFFFFF"/>
        </w:rPr>
        <w:t>供应商具有有效营业执照复印件并加盖公章</w:t>
      </w:r>
      <w:r>
        <w:rPr>
          <w:rFonts w:hint="eastAsia" w:ascii="仿宋" w:hAnsi="仿宋" w:eastAsia="仿宋" w:cs="仿宋"/>
          <w:color w:val="auto"/>
          <w:sz w:val="28"/>
          <w:highlight w:val="none"/>
        </w:rPr>
        <w:t>。</w:t>
      </w:r>
    </w:p>
    <w:p w14:paraId="3B7EAB9A">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2.法定代表人参加</w:t>
      </w:r>
      <w:r>
        <w:rPr>
          <w:rFonts w:hint="eastAsia" w:ascii="仿宋" w:hAnsi="仿宋" w:eastAsia="仿宋" w:cs="仿宋"/>
          <w:color w:val="auto"/>
          <w:sz w:val="28"/>
          <w:highlight w:val="none"/>
          <w:lang w:val="en-US" w:eastAsia="zh-CN"/>
        </w:rPr>
        <w:t>投标</w:t>
      </w:r>
      <w:r>
        <w:rPr>
          <w:rFonts w:hint="eastAsia" w:ascii="仿宋" w:hAnsi="仿宋" w:eastAsia="仿宋" w:cs="仿宋"/>
          <w:color w:val="auto"/>
          <w:sz w:val="28"/>
          <w:highlight w:val="none"/>
        </w:rPr>
        <w:t>的，必须提供本人身份证原件的复印件（须加盖公章）；非法定代表人参加的，必须提供法定代表人身份证明及其签名或盖章的授权委托书（格式参见第</w:t>
      </w:r>
      <w:r>
        <w:rPr>
          <w:rFonts w:hint="eastAsia" w:ascii="仿宋" w:hAnsi="仿宋" w:eastAsia="仿宋" w:cs="仿宋"/>
          <w:color w:val="auto"/>
          <w:sz w:val="28"/>
          <w:highlight w:val="none"/>
          <w:lang w:val="en-US" w:eastAsia="zh-CN"/>
        </w:rPr>
        <w:t>六</w:t>
      </w:r>
      <w:r>
        <w:rPr>
          <w:rFonts w:hint="eastAsia" w:ascii="仿宋" w:hAnsi="仿宋" w:eastAsia="仿宋" w:cs="仿宋"/>
          <w:color w:val="auto"/>
          <w:sz w:val="28"/>
          <w:highlight w:val="none"/>
        </w:rPr>
        <w:t>章）这2项材料（须加盖公章），同时还须提供被委托</w:t>
      </w:r>
      <w:r>
        <w:rPr>
          <w:rFonts w:hint="eastAsia" w:ascii="仿宋" w:hAnsi="仿宋" w:eastAsia="仿宋" w:cs="仿宋"/>
          <w:color w:val="auto"/>
          <w:sz w:val="28"/>
          <w:highlight w:val="none"/>
          <w:lang w:val="en-US" w:eastAsia="zh-CN"/>
        </w:rPr>
        <w:t>授权</w:t>
      </w:r>
      <w:r>
        <w:rPr>
          <w:rFonts w:hint="eastAsia" w:ascii="仿宋" w:hAnsi="仿宋" w:eastAsia="仿宋" w:cs="仿宋"/>
          <w:color w:val="auto"/>
          <w:sz w:val="28"/>
          <w:highlight w:val="none"/>
        </w:rPr>
        <w:t>人身份证复印件（须加盖公章）。</w:t>
      </w:r>
    </w:p>
    <w:p w14:paraId="6D3EE2B9">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3.提供符合政府采购法22条规定基本要求的书面声明。</w:t>
      </w:r>
    </w:p>
    <w:p w14:paraId="60A367E5">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4.供应商还须提供</w:t>
      </w:r>
      <w:r>
        <w:rPr>
          <w:rFonts w:hint="eastAsia" w:ascii="仿宋" w:hAnsi="仿宋" w:eastAsia="仿宋" w:cs="仿宋"/>
          <w:color w:val="auto"/>
          <w:sz w:val="28"/>
          <w:highlight w:val="none"/>
          <w:lang w:val="en-US" w:eastAsia="zh-CN"/>
        </w:rPr>
        <w:t>询价</w:t>
      </w:r>
      <w:r>
        <w:rPr>
          <w:rFonts w:hint="eastAsia" w:ascii="仿宋" w:hAnsi="仿宋" w:eastAsia="仿宋" w:cs="仿宋"/>
          <w:color w:val="auto"/>
          <w:sz w:val="28"/>
          <w:highlight w:val="none"/>
        </w:rPr>
        <w:t>文件第</w:t>
      </w:r>
      <w:r>
        <w:rPr>
          <w:rFonts w:hint="eastAsia" w:ascii="仿宋" w:hAnsi="仿宋" w:eastAsia="仿宋" w:cs="仿宋"/>
          <w:color w:val="auto"/>
          <w:sz w:val="28"/>
          <w:highlight w:val="none"/>
          <w:lang w:val="en-US" w:eastAsia="zh-CN"/>
        </w:rPr>
        <w:t>六</w:t>
      </w:r>
      <w:r>
        <w:rPr>
          <w:rFonts w:hint="eastAsia" w:ascii="仿宋" w:hAnsi="仿宋" w:eastAsia="仿宋" w:cs="仿宋"/>
          <w:color w:val="auto"/>
          <w:sz w:val="28"/>
          <w:highlight w:val="none"/>
        </w:rPr>
        <w:t>章</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的组成及相关格式内“三、A、A.2、”的“资格后审材料相关格式文件”内的：关于资格文件的声明函（格式参见第</w:t>
      </w:r>
      <w:r>
        <w:rPr>
          <w:rFonts w:hint="eastAsia" w:ascii="仿宋" w:hAnsi="仿宋" w:eastAsia="仿宋" w:cs="仿宋"/>
          <w:color w:val="auto"/>
          <w:sz w:val="28"/>
          <w:highlight w:val="none"/>
          <w:lang w:val="en-US" w:eastAsia="zh-CN"/>
        </w:rPr>
        <w:t>六</w:t>
      </w:r>
      <w:r>
        <w:rPr>
          <w:rFonts w:hint="eastAsia" w:ascii="仿宋" w:hAnsi="仿宋" w:eastAsia="仿宋" w:cs="仿宋"/>
          <w:color w:val="auto"/>
          <w:sz w:val="28"/>
          <w:highlight w:val="none"/>
        </w:rPr>
        <w:t>章）。</w:t>
      </w:r>
    </w:p>
    <w:p w14:paraId="08ACD8E0">
      <w:pPr>
        <w:pStyle w:val="65"/>
        <w:keepNext w:val="0"/>
        <w:keepLines w:val="0"/>
        <w:pageBreakBefore w:val="0"/>
        <w:widowControl w:val="0"/>
        <w:kinsoku/>
        <w:wordWrap/>
        <w:overflowPunct/>
        <w:topLinePunct w:val="0"/>
        <w:autoSpaceDE/>
        <w:autoSpaceDN/>
        <w:bidi w:val="0"/>
        <w:adjustRightInd/>
        <w:snapToGrid w:val="0"/>
        <w:spacing w:line="300" w:lineRule="auto"/>
        <w:ind w:firstLine="579"/>
        <w:contextualSpacing/>
        <w:textAlignment w:val="auto"/>
        <w:rPr>
          <w:rFonts w:hint="eastAsia" w:ascii="仿宋" w:hAnsi="仿宋" w:eastAsia="仿宋" w:cs="仿宋"/>
          <w:color w:val="auto"/>
          <w:sz w:val="28"/>
          <w:highlight w:val="none"/>
          <w:u w:val="single"/>
        </w:rPr>
      </w:pPr>
      <w:r>
        <w:rPr>
          <w:rFonts w:hint="eastAsia" w:ascii="仿宋" w:hAnsi="仿宋" w:eastAsia="仿宋" w:cs="仿宋"/>
          <w:b/>
          <w:bCs/>
          <w:color w:val="auto"/>
          <w:sz w:val="28"/>
          <w:highlight w:val="none"/>
        </w:rPr>
        <w:t>B、价格标文件</w:t>
      </w:r>
      <w:r>
        <w:rPr>
          <w:rFonts w:hint="eastAsia" w:ascii="仿宋" w:hAnsi="仿宋" w:eastAsia="仿宋" w:cs="仿宋"/>
          <w:color w:val="auto"/>
          <w:sz w:val="28"/>
          <w:highlight w:val="none"/>
          <w:u w:val="single"/>
        </w:rPr>
        <w:t>（一个密封包，内含：1份“正本”和2份“副本”。）</w:t>
      </w:r>
    </w:p>
    <w:p w14:paraId="110BFB88">
      <w:pPr>
        <w:pStyle w:val="65"/>
        <w:snapToGrid w:val="0"/>
        <w:spacing w:line="300" w:lineRule="auto"/>
        <w:ind w:firstLine="577"/>
        <w:contextualSpacing/>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【特别提醒】价格标文件中的报价，包括本</w:t>
      </w:r>
      <w:r>
        <w:rPr>
          <w:rFonts w:hint="eastAsia" w:ascii="仿宋" w:hAnsi="仿宋" w:eastAsia="仿宋" w:cs="仿宋"/>
          <w:color w:val="auto"/>
          <w:sz w:val="28"/>
          <w:highlight w:val="none"/>
          <w:lang w:eastAsia="zh-CN"/>
        </w:rPr>
        <w:t>询价文件</w:t>
      </w:r>
      <w:r>
        <w:rPr>
          <w:rFonts w:hint="eastAsia" w:ascii="仿宋" w:hAnsi="仿宋" w:eastAsia="仿宋" w:cs="仿宋"/>
          <w:color w:val="auto"/>
          <w:sz w:val="28"/>
          <w:highlight w:val="none"/>
        </w:rPr>
        <w:t>规定涵盖的所有招标</w:t>
      </w:r>
      <w:r>
        <w:rPr>
          <w:rFonts w:hint="eastAsia" w:ascii="仿宋" w:hAnsi="仿宋" w:eastAsia="仿宋" w:cs="仿宋"/>
          <w:color w:val="auto"/>
          <w:sz w:val="28"/>
          <w:highlight w:val="none"/>
          <w:lang w:val="en-US" w:eastAsia="zh-CN"/>
        </w:rPr>
        <w:t>投标</w:t>
      </w:r>
      <w:r>
        <w:rPr>
          <w:rFonts w:hint="eastAsia" w:ascii="仿宋" w:hAnsi="仿宋" w:eastAsia="仿宋" w:cs="仿宋"/>
          <w:color w:val="auto"/>
          <w:sz w:val="28"/>
          <w:highlight w:val="none"/>
        </w:rPr>
        <w:t>范围及相应说明的全部内容涉及到的费用。本次采购项目的商务付款方式要求，必须全部响应不得有任何负偏离，且不接受任何意在更改的说明，否则作无效</w:t>
      </w:r>
      <w:r>
        <w:rPr>
          <w:rFonts w:hint="eastAsia" w:ascii="仿宋" w:hAnsi="仿宋" w:eastAsia="仿宋" w:cs="仿宋"/>
          <w:color w:val="auto"/>
          <w:sz w:val="28"/>
          <w:highlight w:val="none"/>
          <w:lang w:val="en-US" w:eastAsia="zh-CN"/>
        </w:rPr>
        <w:t>投标</w:t>
      </w:r>
      <w:r>
        <w:rPr>
          <w:rFonts w:hint="eastAsia" w:ascii="仿宋" w:hAnsi="仿宋" w:eastAsia="仿宋" w:cs="仿宋"/>
          <w:color w:val="auto"/>
          <w:sz w:val="28"/>
          <w:highlight w:val="none"/>
        </w:rPr>
        <w:t>处理。供应商成交后如据此提出疑义，不履行签订合同等下一步工作，采购人有权取消其成交资格。</w:t>
      </w:r>
    </w:p>
    <w:p w14:paraId="797235DA">
      <w:pPr>
        <w:pStyle w:val="65"/>
        <w:snapToGrid w:val="0"/>
        <w:spacing w:line="300" w:lineRule="auto"/>
        <w:ind w:firstLine="577"/>
        <w:contextualSpacing/>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投标报价</w:t>
      </w:r>
      <w:r>
        <w:rPr>
          <w:rFonts w:hint="eastAsia" w:ascii="仿宋" w:hAnsi="仿宋" w:eastAsia="仿宋" w:cs="仿宋"/>
          <w:color w:val="auto"/>
          <w:sz w:val="28"/>
          <w:highlight w:val="none"/>
        </w:rPr>
        <w:t>总表</w:t>
      </w:r>
      <w:r>
        <w:rPr>
          <w:rFonts w:hint="eastAsia" w:ascii="仿宋" w:hAnsi="仿宋" w:eastAsia="仿宋" w:cs="仿宋"/>
          <w:color w:val="auto"/>
          <w:sz w:val="28"/>
          <w:highlight w:val="none"/>
          <w:lang w:eastAsia="zh-CN"/>
        </w:rPr>
        <w:t>；</w:t>
      </w:r>
    </w:p>
    <w:p w14:paraId="6CFAFB7A">
      <w:pPr>
        <w:pStyle w:val="65"/>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color w:val="auto"/>
          <w:sz w:val="28"/>
          <w:highlight w:val="none"/>
        </w:rPr>
      </w:pP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val="en-US" w:eastAsia="zh-CN"/>
        </w:rPr>
        <w:t>中小企业声明函</w:t>
      </w:r>
      <w:r>
        <w:rPr>
          <w:rFonts w:hint="eastAsia" w:ascii="仿宋" w:hAnsi="仿宋" w:eastAsia="仿宋" w:cs="仿宋"/>
          <w:color w:val="auto"/>
          <w:sz w:val="28"/>
          <w:highlight w:val="none"/>
        </w:rPr>
        <w:t>。</w:t>
      </w:r>
    </w:p>
    <w:p w14:paraId="2AD9D9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投标报价</w:t>
      </w:r>
    </w:p>
    <w:p w14:paraId="6C2A47A0">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1.本项目不接受任何有选择的报价。</w:t>
      </w:r>
    </w:p>
    <w:p w14:paraId="37405943">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投标报价</w:t>
      </w:r>
      <w:r>
        <w:rPr>
          <w:rFonts w:hint="eastAsia" w:ascii="仿宋" w:hAnsi="仿宋" w:eastAsia="仿宋" w:cs="仿宋"/>
          <w:color w:val="auto"/>
          <w:sz w:val="28"/>
          <w:szCs w:val="28"/>
          <w:highlight w:val="none"/>
        </w:rPr>
        <w:t>均以人民币为报价的货币单位。</w:t>
      </w:r>
    </w:p>
    <w:p w14:paraId="5D91117D">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3.报价表必须加盖投标供应商公章且必须经法定代表人或其委托授权人签署。</w:t>
      </w:r>
    </w:p>
    <w:p w14:paraId="330C1B94">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中报价表内容与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中明细内容不一致的，以报价表为准；</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中涉及大写金额和小写金额不一致的，以大写金额为准；总价金额与按单价汇总金额不一致的，以单价金额计算结果为准；单价金额小数点有明显错位的，应以总价为准，并修改单价。</w:t>
      </w:r>
    </w:p>
    <w:p w14:paraId="7CF3E89D">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投标报价</w:t>
      </w:r>
      <w:r>
        <w:rPr>
          <w:rFonts w:hint="eastAsia" w:ascii="仿宋" w:hAnsi="仿宋" w:eastAsia="仿宋" w:cs="仿宋"/>
          <w:color w:val="auto"/>
          <w:sz w:val="28"/>
          <w:szCs w:val="28"/>
          <w:highlight w:val="none"/>
        </w:rPr>
        <w:t>总价为包括：</w:t>
      </w:r>
    </w:p>
    <w:p w14:paraId="23AD04E8">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投标报价</w:t>
      </w:r>
      <w:r>
        <w:rPr>
          <w:rFonts w:hint="eastAsia" w:ascii="仿宋" w:hAnsi="仿宋" w:eastAsia="仿宋" w:cs="仿宋"/>
          <w:color w:val="auto"/>
          <w:sz w:val="28"/>
          <w:szCs w:val="28"/>
          <w:highlight w:val="none"/>
        </w:rPr>
        <w:t>（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采购要求的所有费用。</w:t>
      </w:r>
    </w:p>
    <w:p w14:paraId="6E739F6F">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.除非因特殊原因并经买卖双方协商同意，成交的供应商（以下称成交人）不得再要求追加任何费用。同时，除非合同条款中另有规定，否则，中标人的成交价在合同实施期间不因市场变化因素而变动。</w:t>
      </w:r>
    </w:p>
    <w:p w14:paraId="0D3D6A06">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费用</w:t>
      </w:r>
    </w:p>
    <w:p w14:paraId="259562DE">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1.供应商承担参与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可能发生的全部费用，采购代理机构在任何情况下均无义务和责任承担这些费用。</w:t>
      </w:r>
    </w:p>
    <w:p w14:paraId="7E2EF12C">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w:t>
      </w:r>
      <w:r>
        <w:rPr>
          <w:rFonts w:hint="eastAsia" w:ascii="仿宋" w:hAnsi="仿宋" w:eastAsia="仿宋" w:cs="仿宋"/>
          <w:color w:val="auto"/>
          <w:sz w:val="28"/>
          <w:szCs w:val="28"/>
          <w:highlight w:val="none"/>
          <w:lang w:val="en-US" w:eastAsia="zh-CN"/>
        </w:rPr>
        <w:t>资料</w:t>
      </w:r>
      <w:r>
        <w:rPr>
          <w:rFonts w:hint="eastAsia" w:ascii="仿宋" w:hAnsi="仿宋" w:eastAsia="仿宋" w:cs="仿宋"/>
          <w:color w:val="auto"/>
          <w:sz w:val="28"/>
          <w:szCs w:val="28"/>
          <w:highlight w:val="none"/>
        </w:rPr>
        <w:t>费300元，在现场开标时支付给代理机构，无论成交与否不予退还。</w:t>
      </w:r>
    </w:p>
    <w:p w14:paraId="18DBA01C">
      <w:pPr>
        <w:snapToGrid w:val="0"/>
        <w:spacing w:line="300" w:lineRule="auto"/>
        <w:ind w:firstLine="560" w:firstLineChars="200"/>
        <w:contextualSpacing/>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费由中标人按以下标准支付：中标金额为50万元（含）以下的比选（采购）项目代理服务费基准价为2500元，最终代理服务费=代理服务费基准价*51%。即1275元；中标金额为50万元以上的项目的代理服务费=中标金额*苏招协（2022）002号文件对应费率*51%；</w:t>
      </w:r>
    </w:p>
    <w:p w14:paraId="64921BE9">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评委费</w:t>
      </w:r>
      <w:r>
        <w:rPr>
          <w:rFonts w:hint="eastAsia" w:ascii="仿宋" w:hAnsi="仿宋" w:eastAsia="仿宋" w:cs="仿宋"/>
          <w:color w:val="auto"/>
          <w:sz w:val="28"/>
          <w:szCs w:val="28"/>
          <w:highlight w:val="none"/>
          <w:lang w:val="en-US" w:eastAsia="zh-CN"/>
        </w:rPr>
        <w:t>由采购人</w:t>
      </w:r>
      <w:r>
        <w:rPr>
          <w:rFonts w:hint="eastAsia" w:ascii="仿宋" w:hAnsi="仿宋" w:eastAsia="仿宋" w:cs="仿宋"/>
          <w:color w:val="auto"/>
          <w:sz w:val="28"/>
          <w:szCs w:val="28"/>
          <w:highlight w:val="none"/>
        </w:rPr>
        <w:t>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无需承担</w:t>
      </w:r>
      <w:r>
        <w:rPr>
          <w:rFonts w:hint="eastAsia" w:ascii="仿宋" w:hAnsi="仿宋" w:eastAsia="仿宋" w:cs="仿宋"/>
          <w:color w:val="auto"/>
          <w:sz w:val="28"/>
          <w:szCs w:val="28"/>
          <w:highlight w:val="none"/>
        </w:rPr>
        <w:t>。</w:t>
      </w:r>
    </w:p>
    <w:p w14:paraId="0C480015">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询价文件</w:t>
      </w:r>
      <w:r>
        <w:rPr>
          <w:rFonts w:hint="eastAsia" w:ascii="仿宋" w:hAnsi="仿宋" w:eastAsia="仿宋" w:cs="仿宋"/>
          <w:color w:val="auto"/>
          <w:sz w:val="28"/>
          <w:szCs w:val="28"/>
          <w:highlight w:val="none"/>
        </w:rPr>
        <w:t>未列明，而</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认为必需的费用也需列入报价。代理费</w:t>
      </w:r>
      <w:r>
        <w:rPr>
          <w:rFonts w:hint="eastAsia" w:ascii="仿宋" w:hAnsi="仿宋" w:eastAsia="仿宋" w:cs="仿宋"/>
          <w:color w:val="auto"/>
          <w:sz w:val="28"/>
          <w:szCs w:val="28"/>
          <w:highlight w:val="none"/>
          <w:lang w:val="zh-CN"/>
        </w:rPr>
        <w:t>由中标人在</w:t>
      </w:r>
      <w:r>
        <w:rPr>
          <w:rFonts w:hint="eastAsia" w:ascii="仿宋" w:hAnsi="仿宋" w:eastAsia="仿宋" w:cs="仿宋"/>
          <w:color w:val="auto"/>
          <w:sz w:val="28"/>
          <w:szCs w:val="28"/>
          <w:highlight w:val="none"/>
        </w:rPr>
        <w:t>定标后以现金的形式</w:t>
      </w:r>
      <w:r>
        <w:rPr>
          <w:rFonts w:hint="eastAsia" w:ascii="仿宋" w:hAnsi="仿宋" w:eastAsia="仿宋" w:cs="仿宋"/>
          <w:color w:val="auto"/>
          <w:sz w:val="28"/>
          <w:szCs w:val="28"/>
          <w:highlight w:val="none"/>
          <w:lang w:val="zh-CN"/>
        </w:rPr>
        <w:t>支付给代理机构。</w:t>
      </w:r>
    </w:p>
    <w:p w14:paraId="0588AC8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（本项目不涉及）</w:t>
      </w:r>
    </w:p>
    <w:p w14:paraId="5B6C25C1">
      <w:pPr>
        <w:bidi w:val="0"/>
        <w:rPr>
          <w:rFonts w:hint="eastAsia"/>
          <w:color w:val="auto"/>
          <w:highlight w:val="none"/>
          <w:lang w:val="zh-CN"/>
        </w:rPr>
      </w:pPr>
    </w:p>
    <w:p w14:paraId="58D74744">
      <w:pPr>
        <w:bidi w:val="0"/>
        <w:rPr>
          <w:rFonts w:hint="eastAsia"/>
          <w:lang w:val="zh-CN"/>
        </w:rPr>
      </w:pPr>
    </w:p>
    <w:p w14:paraId="2E7602B5">
      <w:pPr>
        <w:rPr>
          <w:rFonts w:hint="eastAsia"/>
          <w:color w:val="auto"/>
          <w:highlight w:val="none"/>
          <w:lang w:val="zh-CN"/>
        </w:rPr>
      </w:pPr>
      <w:r>
        <w:rPr>
          <w:rFonts w:hint="eastAsia"/>
          <w:color w:val="auto"/>
          <w:highlight w:val="none"/>
          <w:lang w:val="zh-CN"/>
        </w:rPr>
        <w:br w:type="page"/>
      </w:r>
    </w:p>
    <w:p w14:paraId="164401DB">
      <w:pPr>
        <w:autoSpaceDE w:val="0"/>
        <w:autoSpaceDN w:val="0"/>
        <w:adjustRightInd w:val="0"/>
        <w:snapToGrid w:val="0"/>
        <w:spacing w:line="300" w:lineRule="auto"/>
        <w:jc w:val="center"/>
        <w:outlineLvl w:val="0"/>
        <w:rPr>
          <w:rFonts w:hint="eastAsia" w:ascii="仿宋" w:hAnsi="仿宋" w:eastAsia="仿宋" w:cs="仿宋"/>
          <w:b/>
          <w:bCs/>
          <w:color w:val="auto"/>
          <w:szCs w:val="21"/>
          <w:highlight w:val="none"/>
          <w:lang w:val="zh-CN"/>
        </w:rPr>
      </w:pPr>
      <w:r>
        <w:rPr>
          <w:rFonts w:hint="eastAsia" w:ascii="仿宋" w:hAnsi="仿宋" w:eastAsia="仿宋" w:cs="仿宋"/>
          <w:b/>
          <w:bCs/>
          <w:color w:val="auto"/>
          <w:sz w:val="36"/>
          <w:szCs w:val="36"/>
          <w:highlight w:val="none"/>
          <w:lang w:val="zh-CN"/>
        </w:rPr>
        <w:t xml:space="preserve">第三部分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zh-CN"/>
        </w:rPr>
        <w:t>项目需求</w:t>
      </w:r>
    </w:p>
    <w:p w14:paraId="63762E19">
      <w:pPr>
        <w:bidi w:val="0"/>
        <w:rPr>
          <w:rFonts w:hint="eastAsia"/>
          <w:color w:val="auto"/>
          <w:highlight w:val="none"/>
          <w:lang w:val="zh-CN"/>
        </w:rPr>
      </w:pPr>
    </w:p>
    <w:p w14:paraId="50624343">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一、项目概况：</w:t>
      </w:r>
    </w:p>
    <w:p w14:paraId="6AE7BDD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江苏省南通卫生高职校1号及2号配电间高压配电维保服务项目地点位于江苏省南通卫生高等职业技术学校1号变电所（行政楼地下室），2号变电所（西理实楼南侧）。主要维护需求为</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台</w:t>
      </w: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r>
        <w:rPr>
          <w:rFonts w:hint="eastAsia" w:ascii="仿宋" w:hAnsi="仿宋" w:eastAsia="仿宋"/>
          <w:color w:val="auto"/>
          <w:sz w:val="28"/>
          <w:szCs w:val="28"/>
          <w:highlight w:val="none"/>
          <w:lang w:eastAsia="zh-CN"/>
        </w:rPr>
        <w:t>；</w:t>
      </w:r>
      <w:r>
        <w:rPr>
          <w:rFonts w:hint="eastAsia" w:ascii="仿宋" w:hAnsi="仿宋" w:eastAsia="仿宋" w:cs="宋体"/>
          <w:color w:val="auto"/>
          <w:kern w:val="0"/>
          <w:sz w:val="28"/>
          <w:szCs w:val="28"/>
          <w:lang w:val="en-US" w:eastAsia="zh-CN"/>
        </w:rPr>
        <w:t>14</w:t>
      </w:r>
      <w:r>
        <w:rPr>
          <w:rFonts w:hint="eastAsia" w:ascii="仿宋" w:hAnsi="仿宋" w:eastAsia="仿宋" w:cs="宋体"/>
          <w:color w:val="auto"/>
          <w:kern w:val="0"/>
          <w:sz w:val="28"/>
          <w:szCs w:val="28"/>
          <w:lang w:val="zh-CN"/>
        </w:rPr>
        <w:t>台开关柜；</w:t>
      </w:r>
      <w:r>
        <w:rPr>
          <w:rFonts w:hint="eastAsia" w:ascii="仿宋" w:hAnsi="仿宋" w:eastAsia="仿宋" w:cs="仿宋"/>
          <w:color w:val="auto"/>
          <w:sz w:val="28"/>
          <w:szCs w:val="28"/>
          <w:highlight w:val="none"/>
          <w:lang w:val="zh-CN"/>
        </w:rPr>
        <w:t>双电源等设备的检查、修理及调试，所涉及的维修材料，由业主方进行采购。</w:t>
      </w:r>
    </w:p>
    <w:tbl>
      <w:tblPr>
        <w:tblStyle w:val="34"/>
        <w:tblW w:w="8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47"/>
        <w:gridCol w:w="939"/>
        <w:gridCol w:w="1554"/>
        <w:gridCol w:w="939"/>
        <w:gridCol w:w="939"/>
        <w:gridCol w:w="995"/>
        <w:gridCol w:w="940"/>
      </w:tblGrid>
      <w:tr w14:paraId="6139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E87D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bookmarkStart w:id="38" w:name="_Toc77508214"/>
            <w:r>
              <w:rPr>
                <w:rFonts w:hint="eastAsia" w:ascii="宋体" w:hAnsi="宋体" w:eastAsia="宋体" w:cs="宋体"/>
                <w:i w:val="0"/>
                <w:iCs w:val="0"/>
                <w:color w:val="auto"/>
                <w:kern w:val="0"/>
                <w:sz w:val="21"/>
                <w:szCs w:val="21"/>
                <w:highlight w:val="none"/>
                <w:u w:val="none"/>
                <w:lang w:val="en-US" w:eastAsia="zh-CN" w:bidi="ar"/>
              </w:rPr>
              <w:t>序号</w:t>
            </w:r>
          </w:p>
        </w:tc>
        <w:tc>
          <w:tcPr>
            <w:tcW w:w="1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1953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地点</w:t>
            </w:r>
          </w:p>
        </w:tc>
        <w:tc>
          <w:tcPr>
            <w:tcW w:w="2493" w:type="dxa"/>
            <w:gridSpan w:val="2"/>
            <w:tcBorders>
              <w:top w:val="single" w:color="000000" w:sz="4" w:space="0"/>
              <w:left w:val="single" w:color="000000" w:sz="4" w:space="0"/>
              <w:bottom w:val="single" w:color="000000" w:sz="4" w:space="0"/>
              <w:right w:val="single" w:color="000000" w:sz="4" w:space="0"/>
            </w:tcBorders>
            <w:noWrap w:val="0"/>
            <w:vAlign w:val="center"/>
          </w:tcPr>
          <w:p w14:paraId="0F1F5911">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D75488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计量柜</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A69E028">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pt及避雷柜</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5CA53B">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    出线柜</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785DDB7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  进线柜</w:t>
            </w:r>
          </w:p>
        </w:tc>
      </w:tr>
      <w:tr w14:paraId="07AB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489D3">
            <w:pPr>
              <w:keepNext w:val="0"/>
              <w:keepLines w:val="0"/>
              <w:pageBreakBefore w:val="0"/>
              <w:widowControl/>
              <w:kinsoku/>
              <w:wordWrap/>
              <w:overflowPunct/>
              <w:topLinePunct w:val="0"/>
              <w:autoSpaceDE/>
              <w:autoSpaceDN/>
              <w:bidi w:val="0"/>
              <w:adjustRightInd/>
              <w:spacing w:after="0"/>
              <w:ind w:left="0" w:right="0"/>
              <w:jc w:val="center"/>
              <w:rPr>
                <w:rFonts w:hint="eastAsia" w:ascii="宋体" w:hAnsi="宋体" w:eastAsia="宋体" w:cs="宋体"/>
                <w:i w:val="0"/>
                <w:iCs w:val="0"/>
                <w:color w:val="auto"/>
                <w:sz w:val="21"/>
                <w:szCs w:val="21"/>
                <w:highlight w:val="none"/>
                <w:u w:val="none"/>
              </w:rPr>
            </w:pP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A93FF">
            <w:pPr>
              <w:keepNext w:val="0"/>
              <w:keepLines w:val="0"/>
              <w:pageBreakBefore w:val="0"/>
              <w:widowControl/>
              <w:kinsoku/>
              <w:wordWrap/>
              <w:overflowPunct/>
              <w:topLinePunct w:val="0"/>
              <w:autoSpaceDE/>
              <w:autoSpaceDN/>
              <w:bidi w:val="0"/>
              <w:adjustRightInd/>
              <w:spacing w:after="0"/>
              <w:ind w:left="0" w:right="0"/>
              <w:jc w:val="center"/>
              <w:rPr>
                <w:rFonts w:hint="eastAsia" w:ascii="宋体" w:hAnsi="宋体" w:eastAsia="宋体" w:cs="宋体"/>
                <w:i w:val="0"/>
                <w:iCs w:val="0"/>
                <w:color w:val="auto"/>
                <w:sz w:val="21"/>
                <w:szCs w:val="21"/>
                <w:highlight w:val="none"/>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58AC50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899597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容量/每台</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C6614B4">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0B58FD7">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D59657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0CFD8E9">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数量（台）</w:t>
            </w:r>
          </w:p>
        </w:tc>
      </w:tr>
      <w:tr w14:paraId="09E9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7E204B58">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F30DB1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主楼地下室（双电源）</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87CA54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A7DA6CB">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1600KVA*2</w:t>
            </w:r>
          </w:p>
          <w:p w14:paraId="07C0DFE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50KVA</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4B9D70">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256D06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62BE62">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607054D2">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6FB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E7A88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1039653">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西实训楼</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0FBE3E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55864D5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1600KVA</w:t>
            </w:r>
          </w:p>
          <w:p w14:paraId="46EB8A66">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1000KVA</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4BA930D">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5C15804">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81A3B9C">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B65463E">
            <w:pPr>
              <w:keepNext w:val="0"/>
              <w:keepLines w:val="0"/>
              <w:pageBreakBefore w:val="0"/>
              <w:widowControl/>
              <w:suppressLineNumbers w:val="0"/>
              <w:kinsoku/>
              <w:wordWrap/>
              <w:overflowPunct/>
              <w:topLinePunct w:val="0"/>
              <w:autoSpaceDE/>
              <w:autoSpaceDN/>
              <w:bidi w:val="0"/>
              <w:adjustRightInd/>
              <w:spacing w:after="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bl>
    <w:p w14:paraId="4124D415">
      <w:pPr>
        <w:keepNext w:val="0"/>
        <w:keepLines w:val="0"/>
        <w:pageBreakBefore w:val="0"/>
        <w:numPr>
          <w:ilvl w:val="0"/>
          <w:numId w:val="0"/>
        </w:numPr>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kern w:val="2"/>
          <w:sz w:val="28"/>
          <w:szCs w:val="28"/>
          <w:highlight w:val="none"/>
          <w:lang w:val="zh-CN" w:eastAsia="zh-CN" w:bidi="ar-SA"/>
        </w:rPr>
        <w:t>二、</w:t>
      </w:r>
      <w:r>
        <w:rPr>
          <w:rFonts w:hint="eastAsia" w:ascii="仿宋" w:hAnsi="仿宋" w:eastAsia="仿宋" w:cs="仿宋"/>
          <w:b/>
          <w:bCs/>
          <w:color w:val="auto"/>
          <w:sz w:val="28"/>
          <w:szCs w:val="28"/>
          <w:highlight w:val="none"/>
          <w:lang w:val="zh-CN"/>
        </w:rPr>
        <w:t>维保起止时间：</w:t>
      </w:r>
    </w:p>
    <w:p w14:paraId="080E27FD">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本次招标周期为三年（202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.5.1-202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.4.30），合同一年一签。一年合同期满后，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人根据服务及考核情况决定是否</w:t>
      </w:r>
      <w:r>
        <w:rPr>
          <w:rFonts w:hint="eastAsia" w:ascii="仿宋" w:hAnsi="仿宋" w:eastAsia="仿宋" w:cs="仿宋"/>
          <w:color w:val="auto"/>
          <w:spacing w:val="7"/>
          <w:sz w:val="28"/>
          <w:szCs w:val="28"/>
          <w:highlight w:val="none"/>
        </w:rPr>
        <w:t>可以</w:t>
      </w:r>
      <w:r>
        <w:rPr>
          <w:rFonts w:hint="eastAsia" w:ascii="仿宋" w:hAnsi="仿宋" w:eastAsia="仿宋" w:cs="仿宋"/>
          <w:color w:val="auto"/>
          <w:spacing w:val="7"/>
          <w:sz w:val="28"/>
          <w:szCs w:val="28"/>
          <w:highlight w:val="none"/>
          <w:lang w:val="en-US" w:eastAsia="zh-CN"/>
        </w:rPr>
        <w:t>续</w:t>
      </w:r>
      <w:r>
        <w:rPr>
          <w:rFonts w:hint="eastAsia" w:ascii="仿宋" w:hAnsi="仿宋" w:eastAsia="仿宋" w:cs="仿宋"/>
          <w:color w:val="auto"/>
          <w:spacing w:val="7"/>
          <w:sz w:val="28"/>
          <w:szCs w:val="28"/>
          <w:highlight w:val="none"/>
        </w:rPr>
        <w:t>签合同，合同一年一签</w:t>
      </w:r>
      <w:r>
        <w:rPr>
          <w:rFonts w:hint="eastAsia" w:ascii="仿宋" w:hAnsi="仿宋" w:eastAsia="仿宋" w:cs="仿宋"/>
          <w:color w:val="auto"/>
          <w:spacing w:val="7"/>
          <w:sz w:val="28"/>
          <w:szCs w:val="28"/>
          <w:highlight w:val="none"/>
          <w:lang w:val="en-US" w:eastAsia="zh-CN"/>
        </w:rPr>
        <w:t>最多续签</w:t>
      </w:r>
      <w:r>
        <w:rPr>
          <w:rFonts w:hint="eastAsia" w:ascii="仿宋" w:hAnsi="仿宋" w:eastAsia="仿宋" w:cs="仿宋"/>
          <w:color w:val="auto"/>
          <w:spacing w:val="7"/>
          <w:sz w:val="28"/>
          <w:szCs w:val="28"/>
          <w:highlight w:val="none"/>
        </w:rPr>
        <w:t>两次。如出现用电安全事故合同不再续签。</w:t>
      </w:r>
    </w:p>
    <w:bookmarkEnd w:id="38"/>
    <w:p w14:paraId="653C5E1A">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三、高压配电维保服务要求：</w:t>
      </w:r>
    </w:p>
    <w:p w14:paraId="34773E4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一）服务</w:t>
      </w:r>
      <w:r>
        <w:rPr>
          <w:rFonts w:hint="eastAsia" w:ascii="仿宋" w:hAnsi="仿宋" w:eastAsia="仿宋" w:cs="仿宋"/>
          <w:color w:val="auto"/>
          <w:sz w:val="28"/>
          <w:szCs w:val="28"/>
          <w:highlight w:val="none"/>
          <w:lang w:val="zh-CN"/>
        </w:rPr>
        <w:t>地点</w:t>
      </w:r>
    </w:p>
    <w:p w14:paraId="21768956">
      <w:pPr>
        <w:keepNext w:val="0"/>
        <w:keepLines w:val="0"/>
        <w:pageBreakBefore w:val="0"/>
        <w:kinsoku/>
        <w:wordWrap/>
        <w:overflowPunct/>
        <w:topLinePunct w:val="0"/>
        <w:autoSpaceDE/>
        <w:autoSpaceDN/>
        <w:bidi w:val="0"/>
        <w:snapToGrid w:val="0"/>
        <w:spacing w:line="300" w:lineRule="auto"/>
        <w:ind w:left="0" w:leftChars="0" w:firstLine="1120" w:firstLineChars="4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1号变电所：行政楼地下室；2号变电所：西理实楼南侧。</w:t>
      </w:r>
    </w:p>
    <w:p w14:paraId="55273AF7">
      <w:pPr>
        <w:keepNext w:val="0"/>
        <w:keepLines w:val="0"/>
        <w:pageBreakBefore w:val="0"/>
        <w:numPr>
          <w:ilvl w:val="0"/>
          <w:numId w:val="0"/>
        </w:numPr>
        <w:kinsoku/>
        <w:wordWrap/>
        <w:overflowPunct/>
        <w:topLinePunct w:val="0"/>
        <w:autoSpaceDE/>
        <w:autoSpaceDN/>
        <w:bidi w:val="0"/>
        <w:snapToGrid w:val="0"/>
        <w:spacing w:line="300" w:lineRule="auto"/>
        <w:ind w:leftChars="200" w:firstLine="280" w:firstLineChars="1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（二）服务内容</w:t>
      </w:r>
    </w:p>
    <w:p w14:paraId="6131CBE4">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维护从高压进线电缆至</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内的高压一次部分、高压二次部分、配电变压器等进行年度预防性试验，迅速处理突发事故，积极配合甲方及时恢复正常供电，确保校方安全用电，可靠供电，经济运行。</w:t>
      </w:r>
    </w:p>
    <w:tbl>
      <w:tblPr>
        <w:tblStyle w:val="3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29"/>
        <w:gridCol w:w="6431"/>
      </w:tblGrid>
      <w:tr w14:paraId="28DE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09556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nil"/>
              <w:bottom w:val="single" w:color="auto" w:sz="4" w:space="0"/>
              <w:right w:val="single" w:color="auto" w:sz="4" w:space="0"/>
            </w:tcBorders>
            <w:noWrap w:val="0"/>
            <w:vAlign w:val="center"/>
          </w:tcPr>
          <w:p w14:paraId="34B9D43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1" w:type="dxa"/>
            <w:tcBorders>
              <w:top w:val="single" w:color="auto" w:sz="4" w:space="0"/>
              <w:left w:val="nil"/>
              <w:bottom w:val="single" w:color="auto" w:sz="4" w:space="0"/>
              <w:right w:val="single" w:color="auto" w:sz="4" w:space="0"/>
            </w:tcBorders>
            <w:noWrap w:val="0"/>
            <w:vAlign w:val="center"/>
          </w:tcPr>
          <w:p w14:paraId="4C35779B">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试验及维保内容</w:t>
            </w:r>
          </w:p>
        </w:tc>
      </w:tr>
      <w:tr w14:paraId="7156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B3B14B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9" w:type="dxa"/>
            <w:tcBorders>
              <w:top w:val="single" w:color="auto" w:sz="4" w:space="0"/>
              <w:left w:val="nil"/>
              <w:bottom w:val="single" w:color="auto" w:sz="4" w:space="0"/>
              <w:right w:val="single" w:color="auto" w:sz="4" w:space="0"/>
            </w:tcBorders>
            <w:noWrap w:val="0"/>
            <w:vAlign w:val="center"/>
          </w:tcPr>
          <w:p w14:paraId="67C90EF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母线</w:t>
            </w:r>
          </w:p>
        </w:tc>
        <w:tc>
          <w:tcPr>
            <w:tcW w:w="6431" w:type="dxa"/>
            <w:tcBorders>
              <w:top w:val="single" w:color="auto" w:sz="4" w:space="0"/>
              <w:left w:val="nil"/>
              <w:bottom w:val="single" w:color="auto" w:sz="4" w:space="0"/>
              <w:right w:val="single" w:color="auto" w:sz="4" w:space="0"/>
            </w:tcBorders>
            <w:noWrap w:val="0"/>
            <w:vAlign w:val="center"/>
          </w:tcPr>
          <w:p w14:paraId="37C30AC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1、绝缘电阻试验；2、机械连接、紧固检查；3、发热部位检查；4、与母线有关的元器件检测。</w:t>
            </w:r>
          </w:p>
        </w:tc>
      </w:tr>
      <w:tr w14:paraId="7AFD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321043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29" w:type="dxa"/>
            <w:tcBorders>
              <w:top w:val="single" w:color="auto" w:sz="4" w:space="0"/>
              <w:left w:val="nil"/>
              <w:bottom w:val="single" w:color="auto" w:sz="4" w:space="0"/>
              <w:right w:val="single" w:color="auto" w:sz="4" w:space="0"/>
            </w:tcBorders>
            <w:noWrap w:val="0"/>
            <w:vAlign w:val="center"/>
          </w:tcPr>
          <w:p w14:paraId="769342F0">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w:t>
            </w:r>
          </w:p>
        </w:tc>
        <w:tc>
          <w:tcPr>
            <w:tcW w:w="6431" w:type="dxa"/>
            <w:tcBorders>
              <w:top w:val="single" w:color="auto" w:sz="4" w:space="0"/>
              <w:left w:val="nil"/>
              <w:bottom w:val="single" w:color="auto" w:sz="4" w:space="0"/>
              <w:right w:val="single" w:color="auto" w:sz="4" w:space="0"/>
            </w:tcBorders>
            <w:noWrap w:val="0"/>
            <w:vAlign w:val="center"/>
          </w:tcPr>
          <w:p w14:paraId="3CCAB044">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1、接地电阻的测试；2、接地极的检查；3、设备外壳及中心点接地电阻试验；4、高、低压柜保护接地电阻试验。</w:t>
            </w:r>
          </w:p>
        </w:tc>
      </w:tr>
      <w:tr w14:paraId="342C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2A4208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29" w:type="dxa"/>
            <w:tcBorders>
              <w:top w:val="single" w:color="auto" w:sz="4" w:space="0"/>
              <w:left w:val="nil"/>
              <w:bottom w:val="single" w:color="auto" w:sz="4" w:space="0"/>
              <w:right w:val="single" w:color="auto" w:sz="4" w:space="0"/>
            </w:tcBorders>
            <w:noWrap w:val="0"/>
            <w:vAlign w:val="center"/>
          </w:tcPr>
          <w:p w14:paraId="4CF3077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辅助、控制回路</w:t>
            </w:r>
          </w:p>
        </w:tc>
        <w:tc>
          <w:tcPr>
            <w:tcW w:w="6431" w:type="dxa"/>
            <w:tcBorders>
              <w:top w:val="single" w:color="auto" w:sz="4" w:space="0"/>
              <w:left w:val="nil"/>
              <w:bottom w:val="single" w:color="auto" w:sz="4" w:space="0"/>
              <w:right w:val="single" w:color="auto" w:sz="4" w:space="0"/>
            </w:tcBorders>
            <w:noWrap w:val="0"/>
            <w:vAlign w:val="center"/>
          </w:tcPr>
          <w:p w14:paraId="5B833F74">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绝缘电阻测量</w:t>
            </w:r>
          </w:p>
        </w:tc>
      </w:tr>
      <w:tr w14:paraId="4D55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4AE3B66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29" w:type="dxa"/>
            <w:tcBorders>
              <w:top w:val="single" w:color="auto" w:sz="4" w:space="0"/>
              <w:left w:val="nil"/>
              <w:bottom w:val="single" w:color="auto" w:sz="4" w:space="0"/>
              <w:right w:val="single" w:color="auto" w:sz="4" w:space="0"/>
            </w:tcBorders>
            <w:noWrap w:val="0"/>
            <w:vAlign w:val="center"/>
          </w:tcPr>
          <w:p w14:paraId="2868699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6431" w:type="dxa"/>
            <w:tcBorders>
              <w:top w:val="single" w:color="auto" w:sz="4" w:space="0"/>
              <w:left w:val="nil"/>
              <w:bottom w:val="single" w:color="auto" w:sz="4" w:space="0"/>
              <w:right w:val="single" w:color="auto" w:sz="4" w:space="0"/>
            </w:tcBorders>
            <w:noWrap w:val="0"/>
            <w:vAlign w:val="center"/>
          </w:tcPr>
          <w:p w14:paraId="4C76395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1、分合闸时间测量；2、导电回路电阻测量；3、绝缘电阻测量；4、工频耐压试验。</w:t>
            </w:r>
          </w:p>
        </w:tc>
      </w:tr>
      <w:tr w14:paraId="41E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573923B">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29" w:type="dxa"/>
            <w:tcBorders>
              <w:top w:val="single" w:color="auto" w:sz="4" w:space="0"/>
              <w:left w:val="nil"/>
              <w:bottom w:val="single" w:color="auto" w:sz="4" w:space="0"/>
              <w:right w:val="single" w:color="auto" w:sz="4" w:space="0"/>
            </w:tcBorders>
            <w:noWrap w:val="0"/>
            <w:vAlign w:val="center"/>
          </w:tcPr>
          <w:p w14:paraId="590193D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操作机构</w:t>
            </w:r>
          </w:p>
        </w:tc>
        <w:tc>
          <w:tcPr>
            <w:tcW w:w="6431" w:type="dxa"/>
            <w:tcBorders>
              <w:top w:val="single" w:color="auto" w:sz="4" w:space="0"/>
              <w:left w:val="nil"/>
              <w:bottom w:val="single" w:color="auto" w:sz="4" w:space="0"/>
              <w:right w:val="single" w:color="auto" w:sz="4" w:space="0"/>
            </w:tcBorders>
            <w:noWrap w:val="0"/>
            <w:vAlign w:val="center"/>
          </w:tcPr>
          <w:p w14:paraId="5D9FBC98">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1、分合闸线圈动作电压测量；2、线圈电阻测量；3、绝缘电阻测量。</w:t>
            </w:r>
          </w:p>
        </w:tc>
      </w:tr>
      <w:tr w14:paraId="28E6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FD29B3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29" w:type="dxa"/>
            <w:tcBorders>
              <w:top w:val="single" w:color="auto" w:sz="4" w:space="0"/>
              <w:left w:val="nil"/>
              <w:bottom w:val="single" w:color="auto" w:sz="4" w:space="0"/>
              <w:right w:val="single" w:color="auto" w:sz="4" w:space="0"/>
            </w:tcBorders>
            <w:noWrap w:val="0"/>
            <w:vAlign w:val="center"/>
          </w:tcPr>
          <w:p w14:paraId="33402180">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避雷器</w:t>
            </w:r>
          </w:p>
        </w:tc>
        <w:tc>
          <w:tcPr>
            <w:tcW w:w="6431" w:type="dxa"/>
            <w:tcBorders>
              <w:top w:val="single" w:color="auto" w:sz="4" w:space="0"/>
              <w:left w:val="nil"/>
              <w:bottom w:val="single" w:color="auto" w:sz="4" w:space="0"/>
              <w:right w:val="single" w:color="auto" w:sz="4" w:space="0"/>
            </w:tcBorders>
            <w:noWrap w:val="0"/>
            <w:vAlign w:val="center"/>
          </w:tcPr>
          <w:p w14:paraId="7C7B988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1、绝缘电阻测量；2、泄露电流的测量；3、底座绝缘电阻测量。</w:t>
            </w:r>
          </w:p>
        </w:tc>
      </w:tr>
      <w:tr w14:paraId="658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AEBBBF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29" w:type="dxa"/>
            <w:tcBorders>
              <w:top w:val="single" w:color="auto" w:sz="4" w:space="0"/>
              <w:left w:val="nil"/>
              <w:bottom w:val="single" w:color="auto" w:sz="4" w:space="0"/>
              <w:right w:val="single" w:color="auto" w:sz="4" w:space="0"/>
            </w:tcBorders>
            <w:noWrap w:val="0"/>
            <w:vAlign w:val="center"/>
          </w:tcPr>
          <w:p w14:paraId="59AAC40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高压柜</w:t>
            </w:r>
          </w:p>
        </w:tc>
        <w:tc>
          <w:tcPr>
            <w:tcW w:w="6431" w:type="dxa"/>
            <w:tcBorders>
              <w:top w:val="single" w:color="auto" w:sz="4" w:space="0"/>
              <w:left w:val="nil"/>
              <w:bottom w:val="single" w:color="auto" w:sz="4" w:space="0"/>
              <w:right w:val="single" w:color="auto" w:sz="4" w:space="0"/>
            </w:tcBorders>
            <w:noWrap w:val="0"/>
            <w:vAlign w:val="center"/>
          </w:tcPr>
          <w:p w14:paraId="510F0E0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1、设备清扫、螺丝紧固；2、元器件检查；3二次线路性能检测调试，检查紧固、开关绝缘试验，仪表回路检查、直流柜检测，接地保护检查等。</w:t>
            </w:r>
          </w:p>
        </w:tc>
      </w:tr>
      <w:tr w14:paraId="391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A71778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29" w:type="dxa"/>
            <w:tcBorders>
              <w:top w:val="single" w:color="auto" w:sz="4" w:space="0"/>
              <w:left w:val="nil"/>
              <w:bottom w:val="single" w:color="auto" w:sz="4" w:space="0"/>
              <w:right w:val="single" w:color="auto" w:sz="4" w:space="0"/>
            </w:tcBorders>
            <w:noWrap w:val="0"/>
            <w:vAlign w:val="center"/>
          </w:tcPr>
          <w:p w14:paraId="360E9F5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直流屏</w:t>
            </w:r>
          </w:p>
        </w:tc>
        <w:tc>
          <w:tcPr>
            <w:tcW w:w="6431" w:type="dxa"/>
            <w:tcBorders>
              <w:top w:val="single" w:color="auto" w:sz="4" w:space="0"/>
              <w:left w:val="nil"/>
              <w:bottom w:val="single" w:color="auto" w:sz="4" w:space="0"/>
              <w:right w:val="single" w:color="auto" w:sz="4" w:space="0"/>
            </w:tcBorders>
            <w:noWrap w:val="0"/>
            <w:vAlign w:val="center"/>
          </w:tcPr>
          <w:p w14:paraId="30E29FA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1、充放电试验保养；2连接线紧固、设备清扫；3开关运行情况；</w:t>
            </w:r>
          </w:p>
        </w:tc>
      </w:tr>
      <w:tr w14:paraId="196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93E72C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960" w:type="dxa"/>
            <w:gridSpan w:val="2"/>
            <w:tcBorders>
              <w:top w:val="single" w:color="auto" w:sz="4" w:space="0"/>
              <w:left w:val="nil"/>
              <w:bottom w:val="single" w:color="auto" w:sz="4" w:space="0"/>
              <w:right w:val="single" w:color="auto" w:sz="4" w:space="0"/>
            </w:tcBorders>
            <w:noWrap w:val="0"/>
            <w:vAlign w:val="center"/>
          </w:tcPr>
          <w:p w14:paraId="1077449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招标范围内电气设备的故障排除。</w:t>
            </w:r>
          </w:p>
        </w:tc>
      </w:tr>
    </w:tbl>
    <w:p w14:paraId="6FE5FE59">
      <w:pPr>
        <w:keepNext w:val="0"/>
        <w:keepLines w:val="0"/>
        <w:pageBreakBefore w:val="0"/>
        <w:numPr>
          <w:ilvl w:val="0"/>
          <w:numId w:val="0"/>
        </w:numPr>
        <w:kinsoku/>
        <w:wordWrap/>
        <w:overflowPunct/>
        <w:topLinePunct w:val="0"/>
        <w:autoSpaceDE/>
        <w:autoSpaceDN/>
        <w:bidi w:val="0"/>
        <w:snapToGrid w:val="0"/>
        <w:spacing w:line="300" w:lineRule="auto"/>
        <w:ind w:leftChars="200"/>
        <w:contextualSpacing/>
        <w:textAlignment w:val="auto"/>
        <w:rPr>
          <w:rFonts w:hint="default" w:ascii="仿宋" w:hAnsi="仿宋" w:eastAsia="仿宋" w:cs="仿宋"/>
          <w:color w:val="auto"/>
          <w:sz w:val="28"/>
          <w:szCs w:val="28"/>
          <w:highlight w:val="none"/>
          <w:lang w:val="en-US" w:eastAsia="zh-CN"/>
        </w:rPr>
      </w:pPr>
    </w:p>
    <w:p w14:paraId="1FC48213">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rPr>
        <w:t>维护</w:t>
      </w:r>
      <w:r>
        <w:rPr>
          <w:rFonts w:hint="eastAsia" w:ascii="仿宋" w:hAnsi="仿宋" w:eastAsia="仿宋" w:cs="仿宋"/>
          <w:color w:val="auto"/>
          <w:sz w:val="28"/>
          <w:szCs w:val="28"/>
          <w:highlight w:val="none"/>
          <w:lang w:val="en-US" w:eastAsia="zh-CN"/>
        </w:rPr>
        <w:t>要求</w:t>
      </w:r>
    </w:p>
    <w:p w14:paraId="6A4D39EF">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设备维保</w:t>
      </w:r>
    </w:p>
    <w:p w14:paraId="62B9F335">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根据采购人</w:t>
      </w:r>
      <w:r>
        <w:rPr>
          <w:rFonts w:hint="eastAsia" w:ascii="仿宋" w:hAnsi="仿宋" w:eastAsia="仿宋" w:cs="仿宋"/>
          <w:color w:val="auto"/>
          <w:sz w:val="28"/>
          <w:szCs w:val="28"/>
          <w:highlight w:val="none"/>
          <w:lang w:val="en-US" w:eastAsia="zh-CN"/>
        </w:rPr>
        <w:t>高压配电间的</w:t>
      </w:r>
      <w:r>
        <w:rPr>
          <w:rFonts w:hint="eastAsia" w:ascii="仿宋" w:hAnsi="仿宋" w:eastAsia="仿宋" w:cs="仿宋"/>
          <w:color w:val="auto"/>
          <w:sz w:val="28"/>
          <w:szCs w:val="28"/>
          <w:highlight w:val="none"/>
        </w:rPr>
        <w:t>实际情况，每年一次（具体时间供应商提前</w:t>
      </w:r>
      <w:r>
        <w:rPr>
          <w:rFonts w:hint="eastAsia" w:ascii="仿宋" w:hAnsi="仿宋" w:eastAsia="仿宋" w:cs="仿宋"/>
          <w:color w:val="auto"/>
          <w:sz w:val="28"/>
          <w:szCs w:val="28"/>
          <w:highlight w:val="none"/>
          <w:lang w:val="en-US" w:eastAsia="zh-CN"/>
        </w:rPr>
        <w:t>一周</w:t>
      </w:r>
      <w:r>
        <w:rPr>
          <w:rFonts w:hint="eastAsia" w:ascii="仿宋" w:hAnsi="仿宋" w:eastAsia="仿宋" w:cs="仿宋"/>
          <w:color w:val="auto"/>
          <w:sz w:val="28"/>
          <w:szCs w:val="28"/>
          <w:highlight w:val="none"/>
        </w:rPr>
        <w:t>与采购人商定检修时间，并共同签署认可）对各配电间（箱变）的供电设备进行年检。年检全部完成后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个工作日内出具检测报告。供电设备包括：变压器、高压开关柜、避雷器、高压电缆、电容器、接地系统、母线系统、出线电缆等。</w:t>
      </w:r>
    </w:p>
    <w:p w14:paraId="106C9365">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日常巡查</w:t>
      </w:r>
    </w:p>
    <w:p w14:paraId="0517369C">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对各配电间（箱变）、电气设备的运行情况巡查不少于一次，在现场做好巡查记录表，发现故障或异常情况需及时通报，优质高效的提供维护及故障排除服务，保证采购人机房高压电气设备的正常运行，确保采购人电气设备年维护率。</w:t>
      </w:r>
    </w:p>
    <w:p w14:paraId="5A3AFCC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故障维修</w:t>
      </w:r>
    </w:p>
    <w:p w14:paraId="04FA7064">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在接到学校故障报修后，供应商在第一时间派员到现场处理故障（不超过60分钟），帮助校方尽快恢复正常用电。</w:t>
      </w:r>
    </w:p>
    <w:p w14:paraId="09A6812C">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要求</w:t>
      </w:r>
    </w:p>
    <w:p w14:paraId="5C959135">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4.1在整个维护过程中，供应商应做好详细记录，并由双方现场人员签证。</w:t>
      </w:r>
    </w:p>
    <w:p w14:paraId="0D74AF14">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4.2根据采购人需求，供应商提供必要的技术咨询服务，帮助采购人提高对高压电气设备的管理水平；</w:t>
      </w:r>
      <w:r>
        <w:rPr>
          <w:rFonts w:hint="eastAsia" w:ascii="仿宋" w:hAnsi="仿宋" w:eastAsia="仿宋" w:cs="仿宋"/>
          <w:b w:val="0"/>
          <w:bCs/>
          <w:color w:val="auto"/>
          <w:sz w:val="28"/>
          <w:szCs w:val="28"/>
          <w:highlight w:val="none"/>
        </w:rPr>
        <w:t>发现不合格或存在安全隐患及时通报采购人进行更换，完善防护设施，消除安全隐患。</w:t>
      </w:r>
    </w:p>
    <w:p w14:paraId="5D0D1D2A">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4.3供应商的维护人员必须具备</w:t>
      </w:r>
      <w:r>
        <w:rPr>
          <w:rFonts w:hint="eastAsia" w:ascii="仿宋" w:hAnsi="仿宋" w:eastAsia="仿宋" w:cs="仿宋"/>
          <w:color w:val="auto"/>
          <w:sz w:val="28"/>
          <w:szCs w:val="28"/>
          <w:highlight w:val="none"/>
          <w:shd w:val="clear" w:color="auto" w:fill="FFFFFF"/>
        </w:rPr>
        <w:t>高压电工操作资格证书</w:t>
      </w:r>
      <w:r>
        <w:rPr>
          <w:rFonts w:hint="eastAsia" w:ascii="仿宋" w:hAnsi="仿宋" w:eastAsia="仿宋" w:cs="仿宋"/>
          <w:color w:val="auto"/>
          <w:sz w:val="28"/>
          <w:szCs w:val="28"/>
          <w:highlight w:val="none"/>
        </w:rPr>
        <w:t>，并且身体满足上岗条件，供应商必须详细列出维修人员名单和持证情况。</w:t>
      </w:r>
    </w:p>
    <w:p w14:paraId="6C8698D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供应商必须按照国家规定和行业要求配备专业的电工操作人员，并按规程操作。应保证操作上岗人员符合上岗条件、包括对操作人员进行必要的业务培训考核。任何发生在维护服务过程中的安全责任事故全部由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负责，与采购人无关。</w:t>
      </w:r>
    </w:p>
    <w:p w14:paraId="0100B65B">
      <w:pPr>
        <w:shd w:val="clear" w:color="auto" w:fill="FFFFFF"/>
        <w:spacing w:after="0" w:line="46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4.5供应商应负责提供从事本项目业务的工具器材、检验设备、交通工具等，一般维修保养不另收费；运行设备元气件损坏需更换时所发生的材料由采购人提供，人工费不计</w:t>
      </w:r>
      <w:r>
        <w:rPr>
          <w:rFonts w:hint="eastAsia" w:ascii="仿宋" w:hAnsi="仿宋" w:eastAsia="仿宋" w:cs="仿宋"/>
          <w:color w:val="auto"/>
          <w:sz w:val="28"/>
          <w:szCs w:val="28"/>
          <w:highlight w:val="none"/>
          <w:lang w:eastAsia="zh-CN"/>
        </w:rPr>
        <w:t>。</w:t>
      </w:r>
    </w:p>
    <w:p w14:paraId="6F97AB9C">
      <w:pPr>
        <w:spacing w:after="0" w:line="4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4.6维保服务履约期间供应商拟投入本项目的项目组人员需全天24小时待命。</w:t>
      </w:r>
    </w:p>
    <w:p w14:paraId="68B676C7">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假期根据学校时间安排一次设备维护保养；对高压值班人员每季度培训一次。</w:t>
      </w:r>
    </w:p>
    <w:p w14:paraId="1F5C1C28">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配电间</w:t>
      </w:r>
      <w:r>
        <w:rPr>
          <w:rFonts w:hint="eastAsia" w:ascii="仿宋" w:hAnsi="仿宋" w:eastAsia="仿宋" w:cs="仿宋"/>
          <w:color w:val="auto"/>
          <w:sz w:val="28"/>
          <w:szCs w:val="28"/>
          <w:highlight w:val="none"/>
          <w:lang w:val="en-US" w:eastAsia="zh-CN"/>
        </w:rPr>
        <w:t>实行24小时值班制度。</w:t>
      </w:r>
      <w:r>
        <w:rPr>
          <w:rFonts w:hint="eastAsia" w:ascii="仿宋" w:hAnsi="仿宋" w:eastAsia="仿宋" w:cs="仿宋"/>
          <w:color w:val="auto"/>
          <w:sz w:val="28"/>
          <w:szCs w:val="28"/>
          <w:highlight w:val="none"/>
          <w:lang w:val="zh-CN" w:eastAsia="zh-CN"/>
        </w:rPr>
        <w:t>1号、2号配电间各安排值班电工24小时值班。人员配置须符合江苏省电力公司“关于加强客户变（配）电所值班电工管理的通知”（电营[2015]22号）相关规定,值班人员须具备相应的工作经验，身体健康、无传染性疾病、无刑事违法或处分犯罪记录，</w:t>
      </w:r>
      <w:r>
        <w:rPr>
          <w:rFonts w:hint="eastAsia" w:ascii="仿宋" w:hAnsi="仿宋" w:eastAsia="仿宋" w:cs="仿宋"/>
          <w:color w:val="auto"/>
          <w:sz w:val="28"/>
          <w:szCs w:val="28"/>
          <w:highlight w:val="none"/>
          <w:u w:val="single"/>
          <w:lang w:val="zh-CN" w:eastAsia="zh-CN"/>
        </w:rPr>
        <w:t>须具有高压电工证，持证上岗</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eastAsia="zh-CN"/>
        </w:rPr>
        <w:tab/>
      </w:r>
    </w:p>
    <w:p w14:paraId="6D356D73">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领取中标通知书30天内，成交人必须将本项目安排的所有高压配电值班工作人员的高压电工证原件给采购人，同时所有的高压电工证均须至供电公司登记备案，并提供登记证明材料的原件供采购人审核。如果成交人不能提供，则采购人有权废除成交人的成交资格（相关考试及拿证费用自行负责）。合同签订后，相应服务人员如需要更换，须及时报招标采购人，经招标采购人同意认可后才能更换。</w:t>
      </w:r>
    </w:p>
    <w:p w14:paraId="50B0678D">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成交人及其派驻人员必须严格按照《江苏省电工进网作业许可管理检查办法》的要求进行现场操作。</w:t>
      </w:r>
    </w:p>
    <w:p w14:paraId="3974E3B9">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四、其它要求：</w:t>
      </w:r>
    </w:p>
    <w:p w14:paraId="05DEBB87">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应严格遵守劳动法和人社部门相关规定，报价应充分考虑维保服务期内可能发生的所有劳资保险等风险，包含人工、保险、税金等其他一切可能发生的费用，服务期间发生的一切劳资纠纷采购人免责。</w:t>
      </w:r>
    </w:p>
    <w:p w14:paraId="491B11E2">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五、履约保证金</w:t>
      </w:r>
    </w:p>
    <w:p w14:paraId="18992B06">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b/>
          <w:bCs/>
          <w:color w:val="auto"/>
          <w:sz w:val="28"/>
          <w:szCs w:val="28"/>
          <w:highlight w:val="none"/>
          <w:lang w:val="zh-CN"/>
        </w:rPr>
        <w:t>本项目成交后的履约保证金为2万元。</w:t>
      </w:r>
    </w:p>
    <w:p w14:paraId="0426B8EA">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2.成交供应商的履约保证金须在成交通知书发出3个工作日内汇入采购人账户，成交供应商凭成交通知书、履约保证金缴纳凭证在成交通知书发出后1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日内与采购人签订合同。超期或未有协商，则视为自动放弃成交资格。</w:t>
      </w:r>
    </w:p>
    <w:p w14:paraId="08C2A249">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3.成交供应商在按要求保质保量的完成该项目</w:t>
      </w:r>
      <w:r>
        <w:rPr>
          <w:rFonts w:hint="eastAsia" w:ascii="仿宋" w:hAnsi="仿宋" w:eastAsia="仿宋" w:cs="仿宋"/>
          <w:color w:val="auto"/>
          <w:sz w:val="28"/>
          <w:szCs w:val="28"/>
          <w:highlight w:val="none"/>
          <w:lang w:val="en-US" w:eastAsia="zh-CN"/>
        </w:rPr>
        <w:t>并完成交接工作撤场</w:t>
      </w:r>
      <w:r>
        <w:rPr>
          <w:rFonts w:hint="eastAsia" w:ascii="仿宋" w:hAnsi="仿宋" w:eastAsia="仿宋" w:cs="仿宋"/>
          <w:color w:val="auto"/>
          <w:sz w:val="28"/>
          <w:szCs w:val="28"/>
          <w:highlight w:val="none"/>
          <w:lang w:val="zh-CN"/>
        </w:rPr>
        <w:t>后，采购人凭成交供应商提交的申请，</w:t>
      </w:r>
      <w:r>
        <w:rPr>
          <w:rFonts w:hint="eastAsia" w:ascii="仿宋" w:hAnsi="仿宋" w:eastAsia="仿宋" w:cs="仿宋"/>
          <w:color w:val="auto"/>
          <w:sz w:val="28"/>
          <w:szCs w:val="28"/>
          <w:highlight w:val="none"/>
          <w:lang w:val="en-US" w:eastAsia="zh-CN"/>
        </w:rPr>
        <w:t>于30日内</w:t>
      </w:r>
      <w:r>
        <w:rPr>
          <w:rFonts w:hint="eastAsia" w:ascii="仿宋" w:hAnsi="仿宋" w:eastAsia="仿宋" w:cs="仿宋"/>
          <w:color w:val="auto"/>
          <w:sz w:val="28"/>
          <w:szCs w:val="28"/>
          <w:highlight w:val="none"/>
          <w:lang w:val="zh-CN"/>
        </w:rPr>
        <w:t>一次性无息退还该合同项目的履约保证金。</w:t>
      </w:r>
    </w:p>
    <w:p w14:paraId="6913F81E">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w:t>
      </w:r>
      <w:r>
        <w:rPr>
          <w:rFonts w:hint="eastAsia" w:ascii="仿宋" w:hAnsi="仿宋" w:eastAsia="仿宋" w:cs="仿宋"/>
          <w:color w:val="auto"/>
          <w:sz w:val="28"/>
          <w:szCs w:val="28"/>
          <w:highlight w:val="none"/>
          <w:u w:val="single"/>
          <w:lang w:val="zh-CN"/>
        </w:rPr>
        <w:t>由于成交供应商原因，在签订合同后出现不按合同履行的情况，</w:t>
      </w:r>
      <w:r>
        <w:rPr>
          <w:rFonts w:hint="eastAsia" w:ascii="仿宋" w:hAnsi="仿宋" w:eastAsia="仿宋" w:cs="仿宋"/>
          <w:color w:val="auto"/>
          <w:sz w:val="28"/>
          <w:szCs w:val="28"/>
          <w:highlight w:val="none"/>
          <w:u w:val="single"/>
          <w:lang w:val="en-US" w:eastAsia="zh-CN"/>
        </w:rPr>
        <w:t>或发生事故的，履约保证金</w:t>
      </w:r>
      <w:r>
        <w:rPr>
          <w:rFonts w:hint="eastAsia" w:ascii="仿宋" w:hAnsi="仿宋" w:eastAsia="仿宋" w:cs="仿宋"/>
          <w:color w:val="auto"/>
          <w:sz w:val="28"/>
          <w:szCs w:val="28"/>
          <w:highlight w:val="none"/>
          <w:u w:val="single"/>
          <w:lang w:val="zh-CN"/>
        </w:rPr>
        <w:t>不予退还，同时采购单位亦有权终止合同，</w:t>
      </w:r>
      <w:r>
        <w:rPr>
          <w:rFonts w:hint="eastAsia" w:ascii="仿宋" w:hAnsi="仿宋" w:eastAsia="仿宋" w:cs="仿宋"/>
          <w:color w:val="auto"/>
          <w:sz w:val="28"/>
          <w:szCs w:val="28"/>
          <w:highlight w:val="none"/>
          <w:u w:val="single"/>
          <w:lang w:val="en-US" w:eastAsia="zh-CN"/>
        </w:rPr>
        <w:t>如因</w:t>
      </w:r>
      <w:r>
        <w:rPr>
          <w:rFonts w:hint="eastAsia" w:ascii="仿宋" w:hAnsi="仿宋" w:eastAsia="仿宋" w:cs="仿宋"/>
          <w:color w:val="auto"/>
          <w:sz w:val="28"/>
          <w:szCs w:val="28"/>
          <w:highlight w:val="none"/>
          <w:u w:val="single"/>
          <w:lang w:val="zh-CN"/>
        </w:rPr>
        <w:t>成交供应商</w:t>
      </w:r>
      <w:r>
        <w:rPr>
          <w:rFonts w:hint="eastAsia" w:ascii="仿宋" w:hAnsi="仿宋" w:eastAsia="仿宋" w:cs="仿宋"/>
          <w:color w:val="auto"/>
          <w:sz w:val="28"/>
          <w:szCs w:val="28"/>
          <w:highlight w:val="none"/>
          <w:u w:val="single"/>
          <w:lang w:val="en-US" w:eastAsia="zh-CN"/>
        </w:rPr>
        <w:t>原因造成采购人损失的</w:t>
      </w:r>
      <w:r>
        <w:rPr>
          <w:rFonts w:hint="eastAsia" w:ascii="仿宋" w:hAnsi="仿宋" w:eastAsia="仿宋" w:cs="仿宋"/>
          <w:color w:val="auto"/>
          <w:sz w:val="28"/>
          <w:szCs w:val="28"/>
          <w:highlight w:val="none"/>
          <w:u w:val="single"/>
          <w:lang w:val="zh-CN"/>
        </w:rPr>
        <w:t>还须承担相应的法律责任。</w:t>
      </w:r>
    </w:p>
    <w:p w14:paraId="7C583DFA">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en-US" w:eastAsia="zh-CN"/>
        </w:rPr>
        <w:t>付款方式</w:t>
      </w:r>
    </w:p>
    <w:p w14:paraId="653324F2">
      <w:pPr>
        <w:snapToGrid w:val="0"/>
        <w:spacing w:line="300" w:lineRule="auto"/>
        <w:ind w:firstLine="560" w:firstLineChars="200"/>
        <w:contextualSpacing/>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供电设备年度检测完毕并出具相关测试报告且服务期满，成交人开具相应正式发票后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采购人于收到发票后</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个工作日</w:t>
      </w:r>
      <w:r>
        <w:rPr>
          <w:rFonts w:hint="eastAsia" w:ascii="仿宋" w:hAnsi="仿宋" w:eastAsia="仿宋" w:cs="仿宋"/>
          <w:color w:val="auto"/>
          <w:sz w:val="28"/>
          <w:szCs w:val="28"/>
          <w:highlight w:val="none"/>
        </w:rPr>
        <w:t>内支付当年维保费</w:t>
      </w:r>
      <w:r>
        <w:rPr>
          <w:rFonts w:hint="eastAsia" w:ascii="仿宋" w:hAnsi="仿宋" w:eastAsia="仿宋" w:cs="仿宋"/>
          <w:color w:val="auto"/>
          <w:sz w:val="28"/>
          <w:szCs w:val="28"/>
          <w:highlight w:val="none"/>
          <w:lang w:eastAsia="zh-CN"/>
        </w:rPr>
        <w:t>。</w:t>
      </w:r>
    </w:p>
    <w:p w14:paraId="5F580639">
      <w:pPr>
        <w:keepNext w:val="0"/>
        <w:keepLines w:val="0"/>
        <w:pageBreakBefore w:val="0"/>
        <w:kinsoku/>
        <w:wordWrap/>
        <w:overflowPunct/>
        <w:topLinePunct w:val="0"/>
        <w:autoSpaceDE/>
        <w:autoSpaceDN/>
        <w:bidi w:val="0"/>
        <w:snapToGrid w:val="0"/>
        <w:spacing w:line="300" w:lineRule="auto"/>
        <w:ind w:left="0" w:leftChars="0" w:firstLine="562" w:firstLineChars="200"/>
        <w:contextualSpacing/>
        <w:textAlignment w:val="auto"/>
        <w:rPr>
          <w:rFonts w:hint="eastAsia" w:ascii="仿宋" w:hAnsi="仿宋" w:eastAsia="仿宋" w:cs="仿宋"/>
          <w:b/>
          <w:bCs/>
          <w:color w:val="auto"/>
          <w:sz w:val="28"/>
          <w:szCs w:val="28"/>
          <w:highlight w:val="none"/>
          <w:lang w:val="en-US" w:eastAsia="zh-CN"/>
        </w:rPr>
      </w:pPr>
    </w:p>
    <w:p w14:paraId="42BD2F60">
      <w:pPr>
        <w:bidi w:val="0"/>
        <w:rPr>
          <w:rFonts w:hint="eastAsia"/>
          <w:lang w:val="zh-CN"/>
        </w:rPr>
      </w:pPr>
    </w:p>
    <w:p w14:paraId="5405E8A5">
      <w:pP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br w:type="page"/>
      </w:r>
    </w:p>
    <w:p w14:paraId="4D9B81AD">
      <w:pPr>
        <w:snapToGrid w:val="0"/>
        <w:spacing w:line="30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合同签订</w:t>
      </w:r>
    </w:p>
    <w:p w14:paraId="52A7C1AB">
      <w:pPr>
        <w:bidi w:val="0"/>
        <w:rPr>
          <w:rFonts w:hint="eastAsia" w:ascii="仿宋" w:hAnsi="仿宋" w:eastAsia="仿宋" w:cs="仿宋"/>
          <w:color w:val="auto"/>
          <w:highlight w:val="none"/>
          <w:lang w:val="zh-CN"/>
        </w:rPr>
      </w:pPr>
    </w:p>
    <w:p w14:paraId="5B7BFBF2">
      <w:pPr>
        <w:bidi w:val="0"/>
        <w:rPr>
          <w:rFonts w:hint="eastAsia"/>
          <w:color w:val="auto"/>
          <w:highlight w:val="none"/>
          <w:lang w:val="zh-CN"/>
        </w:rPr>
      </w:pPr>
      <w:bookmarkStart w:id="39" w:name="_Toc16938559"/>
      <w:bookmarkStart w:id="40" w:name="_Toc20823315"/>
      <w:bookmarkStart w:id="41" w:name="_Toc513029243"/>
    </w:p>
    <w:p w14:paraId="7FF92B3F">
      <w:pPr>
        <w:keepNext/>
        <w:keepLines/>
        <w:spacing w:before="340" w:after="330" w:line="360" w:lineRule="auto"/>
        <w:jc w:val="center"/>
        <w:rPr>
          <w:rFonts w:hint="eastAsia" w:ascii="仿宋" w:hAnsi="仿宋" w:eastAsia="仿宋" w:cs="仿宋"/>
          <w:b/>
          <w:color w:val="auto"/>
          <w:kern w:val="44"/>
          <w:sz w:val="36"/>
          <w:szCs w:val="36"/>
          <w:highlight w:val="none"/>
        </w:rPr>
      </w:pPr>
      <w:r>
        <w:rPr>
          <w:rFonts w:hint="eastAsia" w:ascii="仿宋" w:hAnsi="仿宋" w:eastAsia="仿宋" w:cs="仿宋"/>
          <w:b/>
          <w:bCs/>
          <w:color w:val="auto"/>
          <w:kern w:val="44"/>
          <w:szCs w:val="21"/>
          <w:highlight w:val="none"/>
        </w:rPr>
        <w:t xml:space="preserve">   </w:t>
      </w:r>
    </w:p>
    <w:p w14:paraId="7CAA2B48">
      <w:pPr>
        <w:bidi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江苏省南通卫生高职校1号及2号配电间高压配电维保服务项目</w:t>
      </w:r>
    </w:p>
    <w:p w14:paraId="388A287C">
      <w:pPr>
        <w:bidi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合 同 书</w:t>
      </w:r>
    </w:p>
    <w:p w14:paraId="703EDD5B">
      <w:pPr>
        <w:tabs>
          <w:tab w:val="left" w:pos="720"/>
        </w:tabs>
        <w:spacing w:line="360" w:lineRule="auto"/>
        <w:ind w:firstLine="562"/>
        <w:jc w:val="center"/>
        <w:rPr>
          <w:rFonts w:hint="eastAsia" w:ascii="仿宋" w:hAnsi="仿宋" w:eastAsia="仿宋" w:cs="仿宋"/>
          <w:b/>
          <w:color w:val="auto"/>
          <w:sz w:val="28"/>
          <w:szCs w:val="28"/>
          <w:highlight w:val="none"/>
        </w:rPr>
      </w:pPr>
    </w:p>
    <w:p w14:paraId="7E4D13B6">
      <w:pPr>
        <w:tabs>
          <w:tab w:val="left" w:pos="720"/>
        </w:tabs>
        <w:spacing w:line="360" w:lineRule="auto"/>
        <w:ind w:firstLine="562"/>
        <w:jc w:val="center"/>
        <w:rPr>
          <w:rFonts w:hint="eastAsia" w:ascii="仿宋" w:hAnsi="仿宋" w:eastAsia="仿宋" w:cs="仿宋"/>
          <w:b/>
          <w:color w:val="auto"/>
          <w:sz w:val="28"/>
          <w:szCs w:val="28"/>
          <w:highlight w:val="none"/>
        </w:rPr>
      </w:pPr>
    </w:p>
    <w:p w14:paraId="1B698733">
      <w:pPr>
        <w:tabs>
          <w:tab w:val="left" w:pos="720"/>
        </w:tabs>
        <w:spacing w:line="360" w:lineRule="auto"/>
        <w:ind w:firstLine="562"/>
        <w:rPr>
          <w:rFonts w:hint="eastAsia" w:ascii="仿宋" w:hAnsi="仿宋" w:eastAsia="仿宋" w:cs="仿宋"/>
          <w:b/>
          <w:color w:val="auto"/>
          <w:sz w:val="28"/>
          <w:szCs w:val="28"/>
          <w:highlight w:val="none"/>
        </w:rPr>
      </w:pPr>
    </w:p>
    <w:p w14:paraId="4247CEE8">
      <w:pPr>
        <w:tabs>
          <w:tab w:val="left" w:pos="720"/>
        </w:tabs>
        <w:spacing w:line="360" w:lineRule="auto"/>
        <w:ind w:firstLine="562"/>
        <w:rPr>
          <w:rFonts w:hint="eastAsia" w:ascii="仿宋" w:hAnsi="仿宋" w:eastAsia="仿宋" w:cs="仿宋"/>
          <w:b/>
          <w:color w:val="auto"/>
          <w:sz w:val="28"/>
          <w:szCs w:val="28"/>
          <w:highlight w:val="none"/>
        </w:rPr>
      </w:pPr>
    </w:p>
    <w:p w14:paraId="526FA578">
      <w:pPr>
        <w:tabs>
          <w:tab w:val="left" w:pos="720"/>
        </w:tabs>
        <w:spacing w:line="360" w:lineRule="auto"/>
        <w:ind w:firstLine="562"/>
        <w:rPr>
          <w:rFonts w:hint="eastAsia" w:ascii="仿宋" w:hAnsi="仿宋" w:eastAsia="仿宋" w:cs="仿宋"/>
          <w:b/>
          <w:color w:val="auto"/>
          <w:sz w:val="28"/>
          <w:szCs w:val="28"/>
          <w:highlight w:val="none"/>
        </w:rPr>
      </w:pPr>
    </w:p>
    <w:p w14:paraId="01A89D63">
      <w:pPr>
        <w:tabs>
          <w:tab w:val="left" w:pos="720"/>
        </w:tabs>
        <w:spacing w:line="360" w:lineRule="auto"/>
        <w:ind w:firstLine="562"/>
        <w:rPr>
          <w:rFonts w:hint="eastAsia" w:ascii="仿宋" w:hAnsi="仿宋" w:eastAsia="仿宋" w:cs="仿宋"/>
          <w:b/>
          <w:color w:val="auto"/>
          <w:sz w:val="28"/>
          <w:szCs w:val="28"/>
          <w:highlight w:val="none"/>
        </w:rPr>
      </w:pPr>
    </w:p>
    <w:p w14:paraId="72B6045E">
      <w:pPr>
        <w:tabs>
          <w:tab w:val="left" w:pos="720"/>
        </w:tabs>
        <w:spacing w:line="360" w:lineRule="auto"/>
        <w:ind w:firstLine="562"/>
        <w:rPr>
          <w:rFonts w:hint="eastAsia" w:ascii="仿宋" w:hAnsi="仿宋" w:eastAsia="仿宋" w:cs="仿宋"/>
          <w:b/>
          <w:color w:val="auto"/>
          <w:sz w:val="28"/>
          <w:szCs w:val="28"/>
          <w:highlight w:val="none"/>
        </w:rPr>
      </w:pPr>
    </w:p>
    <w:p w14:paraId="749B1472">
      <w:pPr>
        <w:tabs>
          <w:tab w:val="left" w:pos="720"/>
        </w:tabs>
        <w:spacing w:line="360" w:lineRule="auto"/>
        <w:ind w:firstLine="562"/>
        <w:rPr>
          <w:rFonts w:hint="eastAsia" w:ascii="仿宋" w:hAnsi="仿宋" w:eastAsia="仿宋" w:cs="仿宋"/>
          <w:b/>
          <w:color w:val="auto"/>
          <w:sz w:val="28"/>
          <w:szCs w:val="28"/>
          <w:highlight w:val="none"/>
        </w:rPr>
      </w:pPr>
    </w:p>
    <w:p w14:paraId="41364ED1">
      <w:pPr>
        <w:spacing w:line="360" w:lineRule="auto"/>
        <w:ind w:firstLine="560"/>
        <w:rPr>
          <w:rFonts w:hint="eastAsia" w:ascii="仿宋" w:hAnsi="仿宋" w:eastAsia="仿宋" w:cs="仿宋"/>
          <w:color w:val="auto"/>
          <w:sz w:val="28"/>
          <w:szCs w:val="28"/>
          <w:highlight w:val="none"/>
        </w:rPr>
      </w:pPr>
    </w:p>
    <w:p w14:paraId="5B9DFB0D">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rPr>
      </w:pPr>
    </w:p>
    <w:p w14:paraId="7CD25F05">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rPr>
      </w:pPr>
    </w:p>
    <w:p w14:paraId="6D9C0803">
      <w:pPr>
        <w:tabs>
          <w:tab w:val="left" w:pos="720"/>
        </w:tabs>
        <w:spacing w:line="360" w:lineRule="auto"/>
        <w:ind w:left="0" w:leftChars="0" w:firstLine="1262" w:firstLineChars="419"/>
        <w:jc w:val="both"/>
        <w:rPr>
          <w:rFonts w:hint="eastAsia"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甲    方：</w:t>
      </w:r>
      <w:r>
        <w:rPr>
          <w:rFonts w:hint="eastAsia" w:ascii="仿宋" w:hAnsi="仿宋" w:eastAsia="仿宋" w:cs="仿宋"/>
          <w:b/>
          <w:bCs/>
          <w:color w:val="auto"/>
          <w:sz w:val="28"/>
          <w:szCs w:val="28"/>
          <w:highlight w:val="none"/>
          <w:u w:val="single"/>
        </w:rPr>
        <w:t>江苏省南通卫生高等职业技术学校</w:t>
      </w:r>
    </w:p>
    <w:p w14:paraId="22C9D13E">
      <w:pPr>
        <w:tabs>
          <w:tab w:val="left" w:pos="720"/>
        </w:tabs>
        <w:spacing w:line="360" w:lineRule="auto"/>
        <w:ind w:left="0" w:leftChars="0" w:firstLine="1262" w:firstLineChars="419"/>
        <w:jc w:val="center"/>
        <w:rPr>
          <w:rFonts w:hint="eastAsia" w:ascii="仿宋" w:hAnsi="仿宋" w:eastAsia="仿宋" w:cs="仿宋"/>
          <w:b/>
          <w:color w:val="auto"/>
          <w:sz w:val="30"/>
          <w:szCs w:val="30"/>
          <w:highlight w:val="none"/>
        </w:rPr>
      </w:pPr>
    </w:p>
    <w:p w14:paraId="1AB3F72A">
      <w:pPr>
        <w:spacing w:line="360" w:lineRule="auto"/>
        <w:ind w:left="0" w:leftChars="0" w:firstLine="1262" w:firstLineChars="41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乙    方：</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w:t>
      </w: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6C22FFA1">
      <w:pPr>
        <w:tabs>
          <w:tab w:val="left" w:pos="720"/>
        </w:tabs>
        <w:spacing w:line="360" w:lineRule="auto"/>
        <w:rPr>
          <w:rFonts w:hint="eastAsia" w:ascii="宋体" w:hAnsi="宋体"/>
          <w:color w:val="auto"/>
          <w:sz w:val="30"/>
          <w:szCs w:val="30"/>
          <w:highlight w:val="none"/>
        </w:rPr>
      </w:pPr>
    </w:p>
    <w:p w14:paraId="0E916A21">
      <w:pPr>
        <w:tabs>
          <w:tab w:val="left" w:pos="720"/>
        </w:tabs>
        <w:spacing w:line="360" w:lineRule="auto"/>
        <w:rPr>
          <w:rFonts w:hint="eastAsia" w:ascii="宋体" w:hAnsi="宋体"/>
          <w:color w:val="auto"/>
          <w:sz w:val="24"/>
          <w:highlight w:val="none"/>
        </w:rPr>
      </w:pPr>
    </w:p>
    <w:p w14:paraId="51F83BB9">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color w:val="auto"/>
          <w:highlight w:val="none"/>
        </w:rPr>
        <w:br w:type="page"/>
      </w:r>
      <w:r>
        <w:rPr>
          <w:rFonts w:hint="eastAsia" w:ascii="仿宋" w:hAnsi="仿宋" w:eastAsia="仿宋" w:cs="仿宋"/>
          <w:color w:val="auto"/>
          <w:sz w:val="28"/>
          <w:szCs w:val="28"/>
          <w:highlight w:val="none"/>
        </w:rPr>
        <w:t>注：本合同仅为合同的参考文本，合同签订双方可根据项目的具体要求进行修订。</w:t>
      </w:r>
    </w:p>
    <w:p w14:paraId="05AE414C">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u w:val="single"/>
        </w:rPr>
        <w:t>江苏省南通卫生高职校1号及2号配电间高压配电维保服务项目</w:t>
      </w:r>
      <w:r>
        <w:rPr>
          <w:rFonts w:hint="eastAsia" w:ascii="仿宋" w:hAnsi="仿宋" w:eastAsia="仿宋" w:cs="仿宋"/>
          <w:color w:val="auto"/>
          <w:sz w:val="28"/>
          <w:szCs w:val="28"/>
          <w:highlight w:val="none"/>
        </w:rPr>
        <w:t>的招标结果，按照《中华人民共和国民法典》等相关法律法规的规定，</w:t>
      </w:r>
      <w:r>
        <w:rPr>
          <w:rFonts w:hint="eastAsia" w:ascii="仿宋" w:hAnsi="仿宋" w:eastAsia="仿宋" w:cs="仿宋"/>
          <w:color w:val="auto"/>
          <w:kern w:val="28"/>
          <w:sz w:val="28"/>
          <w:szCs w:val="28"/>
          <w:highlight w:val="none"/>
        </w:rPr>
        <w:t>经双方协商，</w:t>
      </w:r>
      <w:r>
        <w:rPr>
          <w:rFonts w:hint="eastAsia" w:ascii="仿宋" w:hAnsi="仿宋" w:eastAsia="仿宋" w:cs="仿宋"/>
          <w:color w:val="auto"/>
          <w:sz w:val="28"/>
          <w:szCs w:val="28"/>
          <w:highlight w:val="none"/>
        </w:rPr>
        <w:t>本着平等互利和诚实信用的原则，</w:t>
      </w:r>
      <w:r>
        <w:rPr>
          <w:rFonts w:hint="eastAsia" w:ascii="仿宋" w:hAnsi="仿宋" w:eastAsia="仿宋" w:cs="仿宋"/>
          <w:color w:val="auto"/>
          <w:kern w:val="28"/>
          <w:sz w:val="28"/>
          <w:szCs w:val="28"/>
          <w:highlight w:val="none"/>
        </w:rPr>
        <w:t>一致同意签订本合同如下。</w:t>
      </w:r>
    </w:p>
    <w:p w14:paraId="699AC1B0">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一、维护设备清单：</w:t>
      </w:r>
    </w:p>
    <w:tbl>
      <w:tblPr>
        <w:tblStyle w:val="34"/>
        <w:tblW w:w="8318" w:type="dxa"/>
        <w:jc w:val="center"/>
        <w:tblLayout w:type="fixed"/>
        <w:tblCellMar>
          <w:top w:w="0" w:type="dxa"/>
          <w:left w:w="108" w:type="dxa"/>
          <w:bottom w:w="0" w:type="dxa"/>
          <w:right w:w="108" w:type="dxa"/>
        </w:tblCellMar>
      </w:tblPr>
      <w:tblGrid>
        <w:gridCol w:w="814"/>
        <w:gridCol w:w="3342"/>
        <w:gridCol w:w="1225"/>
        <w:gridCol w:w="1209"/>
        <w:gridCol w:w="1728"/>
      </w:tblGrid>
      <w:tr w14:paraId="3B89CB8C">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52253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342" w:type="dxa"/>
            <w:tcBorders>
              <w:top w:val="single" w:color="auto" w:sz="4" w:space="0"/>
              <w:left w:val="nil"/>
              <w:bottom w:val="single" w:color="auto" w:sz="4" w:space="0"/>
              <w:right w:val="single" w:color="auto" w:sz="4" w:space="0"/>
            </w:tcBorders>
            <w:noWrap w:val="0"/>
            <w:vAlign w:val="center"/>
          </w:tcPr>
          <w:p w14:paraId="21D24698">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主要</w:t>
            </w:r>
            <w:r>
              <w:rPr>
                <w:rFonts w:hint="eastAsia" w:ascii="仿宋" w:hAnsi="仿宋" w:eastAsia="仿宋" w:cs="仿宋"/>
                <w:color w:val="auto"/>
                <w:sz w:val="28"/>
                <w:szCs w:val="28"/>
                <w:highlight w:val="none"/>
              </w:rPr>
              <w:t>设备名称</w:t>
            </w:r>
          </w:p>
        </w:tc>
        <w:tc>
          <w:tcPr>
            <w:tcW w:w="1225" w:type="dxa"/>
            <w:tcBorders>
              <w:top w:val="single" w:color="auto" w:sz="4" w:space="0"/>
              <w:left w:val="nil"/>
              <w:bottom w:val="single" w:color="auto" w:sz="4" w:space="0"/>
              <w:right w:val="single" w:color="auto" w:sz="4" w:space="0"/>
            </w:tcBorders>
            <w:noWrap w:val="0"/>
            <w:vAlign w:val="center"/>
          </w:tcPr>
          <w:p w14:paraId="707465F5">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209" w:type="dxa"/>
            <w:tcBorders>
              <w:top w:val="single" w:color="auto" w:sz="4" w:space="0"/>
              <w:left w:val="nil"/>
              <w:bottom w:val="single" w:color="auto" w:sz="4" w:space="0"/>
              <w:right w:val="single" w:color="auto" w:sz="4" w:space="0"/>
            </w:tcBorders>
            <w:noWrap w:val="0"/>
            <w:vAlign w:val="center"/>
          </w:tcPr>
          <w:p w14:paraId="50A3E128">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728" w:type="dxa"/>
            <w:tcBorders>
              <w:top w:val="single" w:color="auto" w:sz="4" w:space="0"/>
              <w:left w:val="nil"/>
              <w:bottom w:val="single" w:color="auto" w:sz="4" w:space="0"/>
              <w:right w:val="single" w:color="auto" w:sz="4" w:space="0"/>
            </w:tcBorders>
            <w:noWrap w:val="0"/>
            <w:vAlign w:val="center"/>
          </w:tcPr>
          <w:p w14:paraId="4BF86F22">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4AB6E438">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4D22D571">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342" w:type="dxa"/>
            <w:tcBorders>
              <w:top w:val="single" w:color="auto" w:sz="4" w:space="0"/>
              <w:left w:val="nil"/>
              <w:bottom w:val="single" w:color="auto" w:sz="4" w:space="0"/>
              <w:right w:val="single" w:color="auto" w:sz="4" w:space="0"/>
            </w:tcBorders>
            <w:noWrap w:val="0"/>
            <w:vAlign w:val="center"/>
          </w:tcPr>
          <w:p w14:paraId="463CAFA0">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zh-CN" w:eastAsia="zh-CN"/>
              </w:rPr>
              <w:t>6</w:t>
            </w:r>
            <w:r>
              <w:rPr>
                <w:rFonts w:hint="eastAsia" w:ascii="仿宋" w:hAnsi="仿宋" w:eastAsia="仿宋" w:cs="仿宋"/>
                <w:color w:val="auto"/>
                <w:sz w:val="28"/>
                <w:szCs w:val="28"/>
                <w:highlight w:val="none"/>
                <w:lang w:val="zh-CN"/>
              </w:rPr>
              <w:t>00KVA变压器</w:t>
            </w:r>
          </w:p>
        </w:tc>
        <w:tc>
          <w:tcPr>
            <w:tcW w:w="1225" w:type="dxa"/>
            <w:tcBorders>
              <w:top w:val="single" w:color="auto" w:sz="4" w:space="0"/>
              <w:left w:val="nil"/>
              <w:bottom w:val="single" w:color="auto" w:sz="4" w:space="0"/>
              <w:right w:val="single" w:color="auto" w:sz="4" w:space="0"/>
            </w:tcBorders>
            <w:noWrap w:val="0"/>
            <w:vAlign w:val="center"/>
          </w:tcPr>
          <w:p w14:paraId="67DA8D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209" w:type="dxa"/>
            <w:tcBorders>
              <w:top w:val="single" w:color="auto" w:sz="4" w:space="0"/>
              <w:left w:val="nil"/>
              <w:bottom w:val="single" w:color="auto" w:sz="4" w:space="0"/>
              <w:right w:val="single" w:color="auto" w:sz="4" w:space="0"/>
            </w:tcBorders>
            <w:noWrap w:val="0"/>
            <w:vAlign w:val="center"/>
          </w:tcPr>
          <w:p w14:paraId="300912CF">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10F1425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62C88217">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70D27C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3342" w:type="dxa"/>
            <w:tcBorders>
              <w:top w:val="single" w:color="auto" w:sz="4" w:space="0"/>
              <w:left w:val="nil"/>
              <w:bottom w:val="single" w:color="auto" w:sz="4" w:space="0"/>
              <w:right w:val="single" w:color="auto" w:sz="4" w:space="0"/>
            </w:tcBorders>
            <w:noWrap w:val="0"/>
            <w:vAlign w:val="center"/>
          </w:tcPr>
          <w:p w14:paraId="45AC61E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00KVA变压器</w:t>
            </w:r>
          </w:p>
        </w:tc>
        <w:tc>
          <w:tcPr>
            <w:tcW w:w="1225" w:type="dxa"/>
            <w:tcBorders>
              <w:top w:val="single" w:color="auto" w:sz="4" w:space="0"/>
              <w:left w:val="nil"/>
              <w:bottom w:val="single" w:color="auto" w:sz="4" w:space="0"/>
              <w:right w:val="single" w:color="auto" w:sz="4" w:space="0"/>
            </w:tcBorders>
            <w:noWrap w:val="0"/>
            <w:vAlign w:val="center"/>
          </w:tcPr>
          <w:p w14:paraId="7D148C6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209" w:type="dxa"/>
            <w:tcBorders>
              <w:top w:val="single" w:color="auto" w:sz="4" w:space="0"/>
              <w:left w:val="nil"/>
              <w:bottom w:val="single" w:color="auto" w:sz="4" w:space="0"/>
              <w:right w:val="single" w:color="auto" w:sz="4" w:space="0"/>
            </w:tcBorders>
            <w:noWrap w:val="0"/>
            <w:vAlign w:val="center"/>
          </w:tcPr>
          <w:p w14:paraId="529D939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32F8AD8F">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71FE7A5D">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F43B62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7F1E0BA0">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50KVA</w:t>
            </w:r>
            <w:r>
              <w:rPr>
                <w:rFonts w:hint="eastAsia" w:ascii="仿宋" w:hAnsi="仿宋" w:eastAsia="仿宋" w:cs="仿宋"/>
                <w:color w:val="auto"/>
                <w:sz w:val="28"/>
                <w:szCs w:val="28"/>
                <w:highlight w:val="none"/>
                <w:lang w:val="zh-CN" w:eastAsia="zh-CN"/>
              </w:rPr>
              <w:t>所用变</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3FDCDD41">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5608BF5C">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39E0C26B">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3D2AB626">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42889F8A">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6B67B6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开关柜</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1219A60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14</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57D2BF0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eastAsia="zh-CN"/>
              </w:rPr>
              <w:t>台</w:t>
            </w:r>
          </w:p>
        </w:tc>
        <w:tc>
          <w:tcPr>
            <w:tcW w:w="1728" w:type="dxa"/>
            <w:tcBorders>
              <w:top w:val="single" w:color="auto" w:sz="4" w:space="0"/>
              <w:left w:val="nil"/>
              <w:bottom w:val="single" w:color="auto" w:sz="4" w:space="0"/>
              <w:right w:val="single" w:color="auto" w:sz="4" w:space="0"/>
            </w:tcBorders>
            <w:noWrap w:val="0"/>
            <w:vAlign w:val="center"/>
          </w:tcPr>
          <w:p w14:paraId="1BF9B0C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r w14:paraId="6D9EFB64">
        <w:tblPrEx>
          <w:tblCellMar>
            <w:top w:w="0" w:type="dxa"/>
            <w:left w:w="108" w:type="dxa"/>
            <w:bottom w:w="0" w:type="dxa"/>
            <w:right w:w="108" w:type="dxa"/>
          </w:tblCellMar>
        </w:tblPrEx>
        <w:trPr>
          <w:trHeight w:val="4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0F997D7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3342" w:type="dxa"/>
            <w:tcBorders>
              <w:top w:val="single" w:color="auto" w:sz="4" w:space="0"/>
              <w:left w:val="nil"/>
              <w:bottom w:val="single" w:color="auto" w:sz="4" w:space="0"/>
              <w:right w:val="single" w:color="auto" w:sz="4" w:space="0"/>
            </w:tcBorders>
            <w:shd w:val="clear" w:color="auto" w:fill="auto"/>
            <w:noWrap w:val="0"/>
            <w:vAlign w:val="center"/>
          </w:tcPr>
          <w:p w14:paraId="0E20F21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其他配套附属设备及电缆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14:paraId="7FFAC034">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若干</w:t>
            </w:r>
          </w:p>
        </w:tc>
        <w:tc>
          <w:tcPr>
            <w:tcW w:w="1209" w:type="dxa"/>
            <w:tcBorders>
              <w:top w:val="single" w:color="auto" w:sz="4" w:space="0"/>
              <w:left w:val="nil"/>
              <w:bottom w:val="single" w:color="auto" w:sz="4" w:space="0"/>
              <w:right w:val="single" w:color="auto" w:sz="4" w:space="0"/>
            </w:tcBorders>
            <w:shd w:val="clear" w:color="auto" w:fill="auto"/>
            <w:noWrap w:val="0"/>
            <w:vAlign w:val="center"/>
          </w:tcPr>
          <w:p w14:paraId="44C87369">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lang w:val="zh-CN" w:eastAsia="zh-CN"/>
              </w:rPr>
            </w:pPr>
          </w:p>
        </w:tc>
        <w:tc>
          <w:tcPr>
            <w:tcW w:w="1728" w:type="dxa"/>
            <w:tcBorders>
              <w:top w:val="single" w:color="auto" w:sz="4" w:space="0"/>
              <w:left w:val="nil"/>
              <w:bottom w:val="single" w:color="auto" w:sz="4" w:space="0"/>
              <w:right w:val="single" w:color="auto" w:sz="4" w:space="0"/>
            </w:tcBorders>
            <w:noWrap w:val="0"/>
            <w:vAlign w:val="center"/>
          </w:tcPr>
          <w:p w14:paraId="61713467">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color w:val="auto"/>
                <w:sz w:val="28"/>
                <w:szCs w:val="28"/>
                <w:highlight w:val="none"/>
              </w:rPr>
            </w:pPr>
          </w:p>
        </w:tc>
      </w:tr>
    </w:tbl>
    <w:p w14:paraId="60258A49">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合同总额包括人工、保险、税金等其他一切可能发生的费用等。</w:t>
      </w:r>
    </w:p>
    <w:p w14:paraId="06B8BB4B">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注：设备名称内容必须与投标文件中设备名称内容一致。</w:t>
      </w:r>
    </w:p>
    <w:p w14:paraId="0FD9CAF0">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二、合同金额</w:t>
      </w:r>
    </w:p>
    <w:p w14:paraId="500FA673">
      <w:pPr>
        <w:pStyle w:val="116"/>
        <w:keepNext w:val="0"/>
        <w:keepLines w:val="0"/>
        <w:pageBreakBefore w:val="0"/>
        <w:widowControl w:val="0"/>
        <w:kinsoku/>
        <w:wordWrap/>
        <w:overflowPunct/>
        <w:topLinePunct w:val="0"/>
        <w:autoSpaceDE/>
        <w:autoSpaceDN/>
        <w:bidi w:val="0"/>
        <w:adjustRightInd/>
        <w:snapToGrid/>
        <w:spacing w:line="300" w:lineRule="auto"/>
        <w:ind w:firstLine="422"/>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合同金额为（大写）：_______元（￥______元）人民币。</w:t>
      </w:r>
    </w:p>
    <w:p w14:paraId="77BBAD77">
      <w:pPr>
        <w:pStyle w:val="115"/>
        <w:keepNext w:val="0"/>
        <w:keepLines w:val="0"/>
        <w:pageBreakBefore w:val="0"/>
        <w:widowControl w:val="0"/>
        <w:numPr>
          <w:ilvl w:val="0"/>
          <w:numId w:val="1"/>
        </w:numPr>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要求</w:t>
      </w:r>
    </w:p>
    <w:p w14:paraId="5C6D9F15">
      <w:pPr>
        <w:keepNext w:val="0"/>
        <w:keepLines w:val="0"/>
        <w:pageBreakBefore w:val="0"/>
        <w:kinsoku/>
        <w:wordWrap/>
        <w:overflowPunct/>
        <w:topLinePunct w:val="0"/>
        <w:autoSpaceDE/>
        <w:autoSpaceDN/>
        <w:bidi w:val="0"/>
        <w:snapToGrid w:val="0"/>
        <w:spacing w:line="300" w:lineRule="auto"/>
        <w:ind w:firstLine="280" w:firstLineChars="1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一）服务</w:t>
      </w:r>
      <w:r>
        <w:rPr>
          <w:rFonts w:hint="eastAsia" w:ascii="仿宋" w:hAnsi="仿宋" w:eastAsia="仿宋" w:cs="仿宋"/>
          <w:color w:val="auto"/>
          <w:sz w:val="28"/>
          <w:szCs w:val="28"/>
          <w:highlight w:val="none"/>
          <w:lang w:val="zh-CN"/>
        </w:rPr>
        <w:t>地点</w:t>
      </w:r>
    </w:p>
    <w:p w14:paraId="77BF3378">
      <w:pPr>
        <w:keepNext w:val="0"/>
        <w:keepLines w:val="0"/>
        <w:pageBreakBefore w:val="0"/>
        <w:kinsoku/>
        <w:wordWrap/>
        <w:overflowPunct/>
        <w:topLinePunct w:val="0"/>
        <w:autoSpaceDE/>
        <w:autoSpaceDN/>
        <w:bidi w:val="0"/>
        <w:snapToGrid w:val="0"/>
        <w:spacing w:line="300" w:lineRule="auto"/>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1号变电所：行政楼地下室；2号变电所：西理实楼南侧。</w:t>
      </w:r>
    </w:p>
    <w:p w14:paraId="021A0841">
      <w:pPr>
        <w:keepNext w:val="0"/>
        <w:keepLines w:val="0"/>
        <w:pageBreakBefore w:val="0"/>
        <w:numPr>
          <w:ilvl w:val="0"/>
          <w:numId w:val="0"/>
        </w:numPr>
        <w:kinsoku/>
        <w:wordWrap/>
        <w:overflowPunct/>
        <w:topLinePunct w:val="0"/>
        <w:autoSpaceDE/>
        <w:autoSpaceDN/>
        <w:bidi w:val="0"/>
        <w:snapToGrid w:val="0"/>
        <w:spacing w:line="300" w:lineRule="auto"/>
        <w:ind w:firstLine="280" w:firstLineChars="1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（二）服务内容</w:t>
      </w:r>
    </w:p>
    <w:p w14:paraId="5DB46A1E">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维护从高压进线电缆至</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内的高压一次部分、高压二次部分、配电变压器等进行年度预防性试验，迅速处理突发事故，积极配合甲方及时恢复正常供电，确保校方安全用电，可靠供电，经济运行。</w:t>
      </w:r>
    </w:p>
    <w:tbl>
      <w:tblPr>
        <w:tblStyle w:val="3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29"/>
        <w:gridCol w:w="6431"/>
      </w:tblGrid>
      <w:tr w14:paraId="248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7E776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nil"/>
              <w:bottom w:val="single" w:color="auto" w:sz="4" w:space="0"/>
              <w:right w:val="single" w:color="auto" w:sz="4" w:space="0"/>
            </w:tcBorders>
            <w:noWrap w:val="0"/>
            <w:vAlign w:val="center"/>
          </w:tcPr>
          <w:p w14:paraId="3559746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1" w:type="dxa"/>
            <w:tcBorders>
              <w:top w:val="single" w:color="auto" w:sz="4" w:space="0"/>
              <w:left w:val="nil"/>
              <w:bottom w:val="single" w:color="auto" w:sz="4" w:space="0"/>
              <w:right w:val="single" w:color="auto" w:sz="4" w:space="0"/>
            </w:tcBorders>
            <w:noWrap w:val="0"/>
            <w:vAlign w:val="center"/>
          </w:tcPr>
          <w:p w14:paraId="701304B7">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试验及维保内容</w:t>
            </w:r>
          </w:p>
        </w:tc>
      </w:tr>
      <w:tr w14:paraId="5C2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0517188">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9" w:type="dxa"/>
            <w:tcBorders>
              <w:top w:val="single" w:color="auto" w:sz="4" w:space="0"/>
              <w:left w:val="nil"/>
              <w:bottom w:val="single" w:color="auto" w:sz="4" w:space="0"/>
              <w:right w:val="single" w:color="auto" w:sz="4" w:space="0"/>
            </w:tcBorders>
            <w:noWrap w:val="0"/>
            <w:vAlign w:val="center"/>
          </w:tcPr>
          <w:p w14:paraId="0E66FEC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母线</w:t>
            </w:r>
          </w:p>
        </w:tc>
        <w:tc>
          <w:tcPr>
            <w:tcW w:w="6431" w:type="dxa"/>
            <w:tcBorders>
              <w:top w:val="single" w:color="auto" w:sz="4" w:space="0"/>
              <w:left w:val="nil"/>
              <w:bottom w:val="single" w:color="auto" w:sz="4" w:space="0"/>
              <w:right w:val="single" w:color="auto" w:sz="4" w:space="0"/>
            </w:tcBorders>
            <w:noWrap w:val="0"/>
            <w:vAlign w:val="center"/>
          </w:tcPr>
          <w:p w14:paraId="3B624967">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1、绝缘电阻试验；2、机械连接、紧固检查；3、发热部位检查；4、与母线有关的元器件检测。</w:t>
            </w:r>
          </w:p>
        </w:tc>
      </w:tr>
      <w:tr w14:paraId="655D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68E2D3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29" w:type="dxa"/>
            <w:tcBorders>
              <w:top w:val="single" w:color="auto" w:sz="4" w:space="0"/>
              <w:left w:val="nil"/>
              <w:bottom w:val="single" w:color="auto" w:sz="4" w:space="0"/>
              <w:right w:val="single" w:color="auto" w:sz="4" w:space="0"/>
            </w:tcBorders>
            <w:noWrap w:val="0"/>
            <w:vAlign w:val="center"/>
          </w:tcPr>
          <w:p w14:paraId="13DD6AD2">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w:t>
            </w:r>
          </w:p>
        </w:tc>
        <w:tc>
          <w:tcPr>
            <w:tcW w:w="6431" w:type="dxa"/>
            <w:tcBorders>
              <w:top w:val="single" w:color="auto" w:sz="4" w:space="0"/>
              <w:left w:val="nil"/>
              <w:bottom w:val="single" w:color="auto" w:sz="4" w:space="0"/>
              <w:right w:val="single" w:color="auto" w:sz="4" w:space="0"/>
            </w:tcBorders>
            <w:noWrap w:val="0"/>
            <w:vAlign w:val="center"/>
          </w:tcPr>
          <w:p w14:paraId="3E1B7C2A">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1、接地电阻的测试；2、接地极的检查；3、设备外壳及中心点接地电阻试验；4、高、低压柜保护接地电阻试验。</w:t>
            </w:r>
          </w:p>
        </w:tc>
      </w:tr>
      <w:tr w14:paraId="784C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52312B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29" w:type="dxa"/>
            <w:tcBorders>
              <w:top w:val="single" w:color="auto" w:sz="4" w:space="0"/>
              <w:left w:val="nil"/>
              <w:bottom w:val="single" w:color="auto" w:sz="4" w:space="0"/>
              <w:right w:val="single" w:color="auto" w:sz="4" w:space="0"/>
            </w:tcBorders>
            <w:noWrap w:val="0"/>
            <w:vAlign w:val="center"/>
          </w:tcPr>
          <w:p w14:paraId="1B579CA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辅助、控制回路</w:t>
            </w:r>
          </w:p>
        </w:tc>
        <w:tc>
          <w:tcPr>
            <w:tcW w:w="6431" w:type="dxa"/>
            <w:tcBorders>
              <w:top w:val="single" w:color="auto" w:sz="4" w:space="0"/>
              <w:left w:val="nil"/>
              <w:bottom w:val="single" w:color="auto" w:sz="4" w:space="0"/>
              <w:right w:val="single" w:color="auto" w:sz="4" w:space="0"/>
            </w:tcBorders>
            <w:noWrap w:val="0"/>
            <w:vAlign w:val="center"/>
          </w:tcPr>
          <w:p w14:paraId="66D9702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绝缘电阻测量</w:t>
            </w:r>
          </w:p>
        </w:tc>
      </w:tr>
      <w:tr w14:paraId="0D0B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DA704F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29" w:type="dxa"/>
            <w:tcBorders>
              <w:top w:val="single" w:color="auto" w:sz="4" w:space="0"/>
              <w:left w:val="nil"/>
              <w:bottom w:val="single" w:color="auto" w:sz="4" w:space="0"/>
              <w:right w:val="single" w:color="auto" w:sz="4" w:space="0"/>
            </w:tcBorders>
            <w:noWrap w:val="0"/>
            <w:vAlign w:val="center"/>
          </w:tcPr>
          <w:p w14:paraId="6992369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6431" w:type="dxa"/>
            <w:tcBorders>
              <w:top w:val="single" w:color="auto" w:sz="4" w:space="0"/>
              <w:left w:val="nil"/>
              <w:bottom w:val="single" w:color="auto" w:sz="4" w:space="0"/>
              <w:right w:val="single" w:color="auto" w:sz="4" w:space="0"/>
            </w:tcBorders>
            <w:noWrap w:val="0"/>
            <w:vAlign w:val="center"/>
          </w:tcPr>
          <w:p w14:paraId="003CBDD5">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1、分合闸时间测量；2、导电回路电阻测量；3、绝缘电阻测量；4、工频耐压试验。</w:t>
            </w:r>
          </w:p>
        </w:tc>
      </w:tr>
      <w:tr w14:paraId="743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7F9996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29" w:type="dxa"/>
            <w:tcBorders>
              <w:top w:val="single" w:color="auto" w:sz="4" w:space="0"/>
              <w:left w:val="nil"/>
              <w:bottom w:val="single" w:color="auto" w:sz="4" w:space="0"/>
              <w:right w:val="single" w:color="auto" w:sz="4" w:space="0"/>
            </w:tcBorders>
            <w:noWrap w:val="0"/>
            <w:vAlign w:val="center"/>
          </w:tcPr>
          <w:p w14:paraId="5FBCED9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操作机构</w:t>
            </w:r>
          </w:p>
        </w:tc>
        <w:tc>
          <w:tcPr>
            <w:tcW w:w="6431" w:type="dxa"/>
            <w:tcBorders>
              <w:top w:val="single" w:color="auto" w:sz="4" w:space="0"/>
              <w:left w:val="nil"/>
              <w:bottom w:val="single" w:color="auto" w:sz="4" w:space="0"/>
              <w:right w:val="single" w:color="auto" w:sz="4" w:space="0"/>
            </w:tcBorders>
            <w:noWrap w:val="0"/>
            <w:vAlign w:val="center"/>
          </w:tcPr>
          <w:p w14:paraId="30301F3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1、分合闸线圈动作电压测量；2、线圈电阻测量；3、绝缘电阻测量。</w:t>
            </w:r>
          </w:p>
        </w:tc>
      </w:tr>
      <w:tr w14:paraId="7A24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7FA5C3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29" w:type="dxa"/>
            <w:tcBorders>
              <w:top w:val="single" w:color="auto" w:sz="4" w:space="0"/>
              <w:left w:val="nil"/>
              <w:bottom w:val="single" w:color="auto" w:sz="4" w:space="0"/>
              <w:right w:val="single" w:color="auto" w:sz="4" w:space="0"/>
            </w:tcBorders>
            <w:noWrap w:val="0"/>
            <w:vAlign w:val="center"/>
          </w:tcPr>
          <w:p w14:paraId="4EB7CDC3">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避雷器</w:t>
            </w:r>
          </w:p>
        </w:tc>
        <w:tc>
          <w:tcPr>
            <w:tcW w:w="6431" w:type="dxa"/>
            <w:tcBorders>
              <w:top w:val="single" w:color="auto" w:sz="4" w:space="0"/>
              <w:left w:val="nil"/>
              <w:bottom w:val="single" w:color="auto" w:sz="4" w:space="0"/>
              <w:right w:val="single" w:color="auto" w:sz="4" w:space="0"/>
            </w:tcBorders>
            <w:noWrap w:val="0"/>
            <w:vAlign w:val="center"/>
          </w:tcPr>
          <w:p w14:paraId="4139444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1、绝缘电阻测量；2、泄露电流的测量；3、底座绝缘电阻测量。</w:t>
            </w:r>
          </w:p>
        </w:tc>
      </w:tr>
      <w:tr w14:paraId="60C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00E40996">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29" w:type="dxa"/>
            <w:tcBorders>
              <w:top w:val="single" w:color="auto" w:sz="4" w:space="0"/>
              <w:left w:val="nil"/>
              <w:bottom w:val="single" w:color="auto" w:sz="4" w:space="0"/>
              <w:right w:val="single" w:color="auto" w:sz="4" w:space="0"/>
            </w:tcBorders>
            <w:noWrap w:val="0"/>
            <w:vAlign w:val="center"/>
          </w:tcPr>
          <w:p w14:paraId="23F469E1">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高压柜</w:t>
            </w:r>
          </w:p>
        </w:tc>
        <w:tc>
          <w:tcPr>
            <w:tcW w:w="6431" w:type="dxa"/>
            <w:tcBorders>
              <w:top w:val="single" w:color="auto" w:sz="4" w:space="0"/>
              <w:left w:val="nil"/>
              <w:bottom w:val="single" w:color="auto" w:sz="4" w:space="0"/>
              <w:right w:val="single" w:color="auto" w:sz="4" w:space="0"/>
            </w:tcBorders>
            <w:noWrap w:val="0"/>
            <w:vAlign w:val="center"/>
          </w:tcPr>
          <w:p w14:paraId="522E554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1、设备清扫、螺丝紧固；2、元器件检查；3二次线路性能检测调试，检查紧固、开关绝缘试验，仪表回路检查、直流柜检测，接地保护检查等。</w:t>
            </w:r>
          </w:p>
        </w:tc>
      </w:tr>
      <w:tr w14:paraId="16D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3573535C">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29" w:type="dxa"/>
            <w:tcBorders>
              <w:top w:val="single" w:color="auto" w:sz="4" w:space="0"/>
              <w:left w:val="nil"/>
              <w:bottom w:val="single" w:color="auto" w:sz="4" w:space="0"/>
              <w:right w:val="single" w:color="auto" w:sz="4" w:space="0"/>
            </w:tcBorders>
            <w:noWrap w:val="0"/>
            <w:vAlign w:val="center"/>
          </w:tcPr>
          <w:p w14:paraId="47757B0D">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直流屏</w:t>
            </w:r>
          </w:p>
        </w:tc>
        <w:tc>
          <w:tcPr>
            <w:tcW w:w="6431" w:type="dxa"/>
            <w:tcBorders>
              <w:top w:val="single" w:color="auto" w:sz="4" w:space="0"/>
              <w:left w:val="nil"/>
              <w:bottom w:val="single" w:color="auto" w:sz="4" w:space="0"/>
              <w:right w:val="single" w:color="auto" w:sz="4" w:space="0"/>
            </w:tcBorders>
            <w:noWrap w:val="0"/>
            <w:vAlign w:val="center"/>
          </w:tcPr>
          <w:p w14:paraId="31C0C139">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1、充放电试验保养；2连接线紧固、设备清扫；3开关运行情况；</w:t>
            </w:r>
          </w:p>
        </w:tc>
      </w:tr>
      <w:tr w14:paraId="3980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0F29A6E">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960" w:type="dxa"/>
            <w:gridSpan w:val="2"/>
            <w:tcBorders>
              <w:top w:val="single" w:color="auto" w:sz="4" w:space="0"/>
              <w:left w:val="nil"/>
              <w:bottom w:val="single" w:color="auto" w:sz="4" w:space="0"/>
              <w:right w:val="single" w:color="auto" w:sz="4" w:space="0"/>
            </w:tcBorders>
            <w:noWrap w:val="0"/>
            <w:vAlign w:val="center"/>
          </w:tcPr>
          <w:p w14:paraId="6C624B1F">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招标范围内电气设备的故障排除。</w:t>
            </w:r>
          </w:p>
        </w:tc>
      </w:tr>
    </w:tbl>
    <w:p w14:paraId="1B267EB2">
      <w:pPr>
        <w:keepNext w:val="0"/>
        <w:keepLines w:val="0"/>
        <w:pageBreakBefore w:val="0"/>
        <w:numPr>
          <w:ilvl w:val="0"/>
          <w:numId w:val="0"/>
        </w:numPr>
        <w:kinsoku/>
        <w:wordWrap/>
        <w:overflowPunct/>
        <w:topLinePunct w:val="0"/>
        <w:autoSpaceDE/>
        <w:autoSpaceDN/>
        <w:bidi w:val="0"/>
        <w:snapToGrid w:val="0"/>
        <w:spacing w:line="300" w:lineRule="auto"/>
        <w:ind w:leftChars="200"/>
        <w:contextualSpacing/>
        <w:textAlignment w:val="auto"/>
        <w:rPr>
          <w:rFonts w:hint="default" w:ascii="仿宋" w:hAnsi="仿宋" w:eastAsia="仿宋" w:cs="仿宋"/>
          <w:color w:val="auto"/>
          <w:sz w:val="28"/>
          <w:szCs w:val="28"/>
          <w:highlight w:val="none"/>
          <w:lang w:val="en-US" w:eastAsia="zh-CN"/>
        </w:rPr>
      </w:pPr>
    </w:p>
    <w:p w14:paraId="464FA111">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rPr>
        <w:t>维护</w:t>
      </w:r>
      <w:r>
        <w:rPr>
          <w:rFonts w:hint="eastAsia" w:ascii="仿宋" w:hAnsi="仿宋" w:eastAsia="仿宋" w:cs="仿宋"/>
          <w:color w:val="auto"/>
          <w:sz w:val="28"/>
          <w:szCs w:val="28"/>
          <w:highlight w:val="none"/>
          <w:lang w:val="en-US" w:eastAsia="zh-CN"/>
        </w:rPr>
        <w:t>要求</w:t>
      </w:r>
    </w:p>
    <w:p w14:paraId="2A3A4E37">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设备维保</w:t>
      </w:r>
    </w:p>
    <w:p w14:paraId="43FC06FB">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根据采购人</w:t>
      </w:r>
      <w:r>
        <w:rPr>
          <w:rFonts w:hint="eastAsia" w:ascii="仿宋" w:hAnsi="仿宋" w:eastAsia="仿宋" w:cs="仿宋"/>
          <w:color w:val="auto"/>
          <w:sz w:val="28"/>
          <w:szCs w:val="28"/>
          <w:highlight w:val="none"/>
          <w:lang w:val="en-US" w:eastAsia="zh-CN"/>
        </w:rPr>
        <w:t>高压配电间的</w:t>
      </w:r>
      <w:r>
        <w:rPr>
          <w:rFonts w:hint="eastAsia" w:ascii="仿宋" w:hAnsi="仿宋" w:eastAsia="仿宋" w:cs="仿宋"/>
          <w:color w:val="auto"/>
          <w:sz w:val="28"/>
          <w:szCs w:val="28"/>
          <w:highlight w:val="none"/>
        </w:rPr>
        <w:t>实际情况，每年一次（具体时间供应商提前</w:t>
      </w:r>
      <w:r>
        <w:rPr>
          <w:rFonts w:hint="eastAsia" w:ascii="仿宋" w:hAnsi="仿宋" w:eastAsia="仿宋" w:cs="仿宋"/>
          <w:color w:val="auto"/>
          <w:sz w:val="28"/>
          <w:szCs w:val="28"/>
          <w:highlight w:val="none"/>
          <w:lang w:val="en-US" w:eastAsia="zh-CN"/>
        </w:rPr>
        <w:t>一周</w:t>
      </w:r>
      <w:r>
        <w:rPr>
          <w:rFonts w:hint="eastAsia" w:ascii="仿宋" w:hAnsi="仿宋" w:eastAsia="仿宋" w:cs="仿宋"/>
          <w:color w:val="auto"/>
          <w:sz w:val="28"/>
          <w:szCs w:val="28"/>
          <w:highlight w:val="none"/>
        </w:rPr>
        <w:t>与采购人商定检修时间，并共同签署认可）对各配电间（箱变）的供电设备进行年检。年检全部完成后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个工作日内出具检测报告。供电设备包括：变压器、高压开关柜、避雷器、高压电缆、电容器、接地系统、母线系统、出线电缆等。</w:t>
      </w:r>
    </w:p>
    <w:p w14:paraId="5018C7A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日常巡查</w:t>
      </w:r>
    </w:p>
    <w:p w14:paraId="236F9AE4">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对各配电间（箱变）、电气设备的运行情况巡查不少于一次，在现场做好巡查记录表，发现故障或异常情况需及时通报，优质高效的提供维护及故障排除服务，保证采购人机房高压电气设备的正常运行，确保采购人电气设备年维护率。</w:t>
      </w:r>
    </w:p>
    <w:p w14:paraId="15969817">
      <w:pPr>
        <w:spacing w:after="0" w:line="460" w:lineRule="exact"/>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故障维修</w:t>
      </w:r>
    </w:p>
    <w:p w14:paraId="7E71B7A1">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在接到学校故障报修后，供应商在第一时间派员到现场处理故障（不超过60分钟），帮助校方尽快恢复正常用电。</w:t>
      </w:r>
    </w:p>
    <w:p w14:paraId="42D98603">
      <w:pPr>
        <w:shd w:val="clear" w:color="auto" w:fill="FFFFFF"/>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要求</w:t>
      </w:r>
    </w:p>
    <w:p w14:paraId="2C39400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4.1在整个维护过程中，供应商应做好详细记录，并由双方现场人员签证。</w:t>
      </w:r>
    </w:p>
    <w:p w14:paraId="2F324129">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4.2根据采购人需求，供应商提供必要的技术咨询服务，帮助采购人提高对高压电气设备的管理水平；</w:t>
      </w:r>
      <w:r>
        <w:rPr>
          <w:rFonts w:hint="eastAsia" w:ascii="仿宋" w:hAnsi="仿宋" w:eastAsia="仿宋" w:cs="仿宋"/>
          <w:b w:val="0"/>
          <w:bCs/>
          <w:color w:val="auto"/>
          <w:sz w:val="28"/>
          <w:szCs w:val="28"/>
          <w:highlight w:val="none"/>
        </w:rPr>
        <w:t>发现不合格或存在安全隐患及时通报采购人进行更换，完善防护设施，消除安全隐患。</w:t>
      </w:r>
    </w:p>
    <w:p w14:paraId="54534A07">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4.3供应商的维护人员必须具备</w:t>
      </w:r>
      <w:r>
        <w:rPr>
          <w:rFonts w:hint="eastAsia" w:ascii="仿宋" w:hAnsi="仿宋" w:eastAsia="仿宋" w:cs="仿宋"/>
          <w:color w:val="auto"/>
          <w:sz w:val="28"/>
          <w:szCs w:val="28"/>
          <w:highlight w:val="none"/>
          <w:shd w:val="clear" w:color="auto" w:fill="FFFFFF"/>
        </w:rPr>
        <w:t>高压电工操作资格证书</w:t>
      </w:r>
      <w:r>
        <w:rPr>
          <w:rFonts w:hint="eastAsia" w:ascii="仿宋" w:hAnsi="仿宋" w:eastAsia="仿宋" w:cs="仿宋"/>
          <w:color w:val="auto"/>
          <w:sz w:val="28"/>
          <w:szCs w:val="28"/>
          <w:highlight w:val="none"/>
        </w:rPr>
        <w:t>，并且身体满足上岗条件，供应商必须详细列出维修人员名单和持证情况。</w:t>
      </w:r>
    </w:p>
    <w:p w14:paraId="2942554E">
      <w:pPr>
        <w:shd w:val="clear" w:color="auto" w:fill="FFFFFF"/>
        <w:spacing w:after="0" w:line="4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供应商必须按照国家规定和行业要求配备专业的电工操作人员，并按规程操作。应保证操作上岗人员符合上岗条件、包括对操作人员进行必要的业务培训考核。任何发生在维护服务过程中的安全责任事故全部由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负责，与采购人无关。</w:t>
      </w:r>
    </w:p>
    <w:p w14:paraId="66D708B5">
      <w:pPr>
        <w:shd w:val="clear" w:color="auto" w:fill="FFFFFF"/>
        <w:spacing w:after="0" w:line="46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4.5供应商应负责提供从事本项目业务的工具器材、检验设备、交通工具等，一般维修保养不另收费；运行设备元气件损坏需更换时所发生的材料由采购人提供，人工费不计</w:t>
      </w:r>
      <w:r>
        <w:rPr>
          <w:rFonts w:hint="eastAsia" w:ascii="仿宋" w:hAnsi="仿宋" w:eastAsia="仿宋" w:cs="仿宋"/>
          <w:color w:val="auto"/>
          <w:sz w:val="28"/>
          <w:szCs w:val="28"/>
          <w:highlight w:val="none"/>
          <w:lang w:eastAsia="zh-CN"/>
        </w:rPr>
        <w:t>。</w:t>
      </w:r>
    </w:p>
    <w:p w14:paraId="74C62020">
      <w:pPr>
        <w:spacing w:after="0" w:line="4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4.6维保服务履约期间供应商拟投入本项目的项目组人员需全天24小时待命。</w:t>
      </w:r>
    </w:p>
    <w:p w14:paraId="6A204FCE">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假期根据学校时间安排一次设备维护保养；对高压值班人员每季度培训一次。</w:t>
      </w:r>
    </w:p>
    <w:p w14:paraId="006D227A">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配电间</w:t>
      </w:r>
      <w:r>
        <w:rPr>
          <w:rFonts w:hint="eastAsia" w:ascii="仿宋" w:hAnsi="仿宋" w:eastAsia="仿宋" w:cs="仿宋"/>
          <w:color w:val="auto"/>
          <w:sz w:val="28"/>
          <w:szCs w:val="28"/>
          <w:highlight w:val="none"/>
          <w:lang w:val="en-US" w:eastAsia="zh-CN"/>
        </w:rPr>
        <w:t>实行24小时值班制度。</w:t>
      </w:r>
      <w:r>
        <w:rPr>
          <w:rFonts w:hint="eastAsia" w:ascii="仿宋" w:hAnsi="仿宋" w:eastAsia="仿宋" w:cs="仿宋"/>
          <w:color w:val="auto"/>
          <w:sz w:val="28"/>
          <w:szCs w:val="28"/>
          <w:highlight w:val="none"/>
          <w:lang w:val="zh-CN" w:eastAsia="zh-CN"/>
        </w:rPr>
        <w:t>1号、2号配电间各安排值班电工24小时值班。人员配置须符合江苏省电力公司“关于加强客户变（配）电所值班电工管理的通知”（电营[2015]22号）相关规定,值班人员须具备相应的工作经验，身体健康、无传染性疾病、无刑事违法或处分犯罪记录，</w:t>
      </w:r>
      <w:r>
        <w:rPr>
          <w:rFonts w:hint="eastAsia" w:ascii="仿宋" w:hAnsi="仿宋" w:eastAsia="仿宋" w:cs="仿宋"/>
          <w:color w:val="auto"/>
          <w:sz w:val="28"/>
          <w:szCs w:val="28"/>
          <w:highlight w:val="none"/>
          <w:u w:val="single"/>
          <w:lang w:val="zh-CN" w:eastAsia="zh-CN"/>
        </w:rPr>
        <w:t>须具有高压电工证，持证上岗</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zh-CN" w:eastAsia="zh-CN"/>
        </w:rPr>
        <w:tab/>
      </w:r>
    </w:p>
    <w:p w14:paraId="3F48CC2A">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领取中标通知书30天内，成交人必须将本项目安排的所有高压配电值班工作人员的高压电工证原件给采购人，同时所有的高压电工证均须至供电公司登记备案，并提供登记证明材料的原件供采购人审核。如果成交人不能提供，则采购人有权废除成交人的成交资格（相关考试及拿证费用自行负责）。合同签订后，相应服务人员如需要更换，须及时报招标采购人，经招标采购人同意认可后才能更换。</w:t>
      </w:r>
    </w:p>
    <w:p w14:paraId="116F67D9">
      <w:pPr>
        <w:shd w:val="clear" w:color="auto" w:fill="FFFFFF"/>
        <w:spacing w:after="0"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成交人及其派驻人员必须严格按照《江苏省电工进网作业许可管理检查办法》的要求进行现场操作。</w:t>
      </w:r>
    </w:p>
    <w:p w14:paraId="4A388465">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四、维保起止时间及地点</w:t>
      </w:r>
    </w:p>
    <w:p w14:paraId="7A96C0F9">
      <w:pPr>
        <w:spacing w:after="0"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1. 本次</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lang w:val="zh-CN"/>
        </w:rPr>
        <w:t>周期为</w:t>
      </w: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lang w:val="zh-CN"/>
        </w:rPr>
        <w:t>年（202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rPr>
        <w:t>.5.1-202</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lang w:val="zh-CN"/>
        </w:rPr>
        <w:t>.4.30）。</w:t>
      </w:r>
      <w:r>
        <w:rPr>
          <w:rFonts w:hint="eastAsia" w:ascii="仿宋" w:hAnsi="仿宋" w:eastAsia="仿宋" w:cs="仿宋"/>
          <w:color w:val="auto"/>
          <w:sz w:val="28"/>
          <w:szCs w:val="28"/>
          <w:highlight w:val="none"/>
          <w:lang w:val="zh-CN"/>
        </w:rPr>
        <w:t>一年合同期满后，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人根据服务及考核情况决定是否</w:t>
      </w:r>
      <w:r>
        <w:rPr>
          <w:rFonts w:hint="eastAsia" w:ascii="仿宋" w:hAnsi="仿宋" w:eastAsia="仿宋" w:cs="仿宋"/>
          <w:color w:val="auto"/>
          <w:spacing w:val="7"/>
          <w:sz w:val="28"/>
          <w:szCs w:val="28"/>
          <w:highlight w:val="none"/>
        </w:rPr>
        <w:t>可以</w:t>
      </w:r>
      <w:r>
        <w:rPr>
          <w:rFonts w:hint="eastAsia" w:ascii="仿宋" w:hAnsi="仿宋" w:eastAsia="仿宋" w:cs="仿宋"/>
          <w:color w:val="auto"/>
          <w:spacing w:val="7"/>
          <w:sz w:val="28"/>
          <w:szCs w:val="28"/>
          <w:highlight w:val="none"/>
          <w:lang w:val="en-US" w:eastAsia="zh-CN"/>
        </w:rPr>
        <w:t>续</w:t>
      </w:r>
      <w:r>
        <w:rPr>
          <w:rFonts w:hint="eastAsia" w:ascii="仿宋" w:hAnsi="仿宋" w:eastAsia="仿宋" w:cs="仿宋"/>
          <w:color w:val="auto"/>
          <w:spacing w:val="7"/>
          <w:sz w:val="28"/>
          <w:szCs w:val="28"/>
          <w:highlight w:val="none"/>
        </w:rPr>
        <w:t>签合同，合同一年一签</w:t>
      </w:r>
      <w:r>
        <w:rPr>
          <w:rFonts w:hint="eastAsia" w:ascii="仿宋" w:hAnsi="仿宋" w:eastAsia="仿宋" w:cs="仿宋"/>
          <w:color w:val="auto"/>
          <w:spacing w:val="7"/>
          <w:sz w:val="28"/>
          <w:szCs w:val="28"/>
          <w:highlight w:val="none"/>
          <w:lang w:val="en-US" w:eastAsia="zh-CN"/>
        </w:rPr>
        <w:t>最多续签</w:t>
      </w:r>
      <w:r>
        <w:rPr>
          <w:rFonts w:hint="eastAsia" w:ascii="仿宋" w:hAnsi="仿宋" w:eastAsia="仿宋" w:cs="仿宋"/>
          <w:color w:val="auto"/>
          <w:spacing w:val="7"/>
          <w:sz w:val="28"/>
          <w:szCs w:val="28"/>
          <w:highlight w:val="none"/>
        </w:rPr>
        <w:t>两次。如出现用电安全事故合同不再续签。</w:t>
      </w:r>
    </w:p>
    <w:p w14:paraId="2DEFDE10">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2.维保地点：（1）1号变电所：行政楼地下室；（2）2号变电所：西理实楼南侧。</w:t>
      </w:r>
    </w:p>
    <w:p w14:paraId="095BA4A7">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五、付款方式</w:t>
      </w:r>
    </w:p>
    <w:p w14:paraId="4803753F">
      <w:pPr>
        <w:snapToGrid w:val="0"/>
        <w:spacing w:line="300" w:lineRule="auto"/>
        <w:ind w:firstLine="560" w:firstLineChars="200"/>
        <w:contextualSpacing/>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供电设备年度检测完毕并出具相关测试报告且服务期满，成交人开具相应正式发票后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采购人于收到发票后</w:t>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lang w:val="en-US" w:eastAsia="zh-CN"/>
        </w:rPr>
        <w:t>个工作日</w:t>
      </w:r>
      <w:r>
        <w:rPr>
          <w:rFonts w:hint="eastAsia" w:ascii="仿宋" w:hAnsi="仿宋" w:eastAsia="仿宋" w:cs="仿宋"/>
          <w:color w:val="auto"/>
          <w:sz w:val="28"/>
          <w:szCs w:val="28"/>
          <w:highlight w:val="none"/>
        </w:rPr>
        <w:t>内支付当年维保费</w:t>
      </w:r>
      <w:r>
        <w:rPr>
          <w:rFonts w:hint="eastAsia" w:ascii="仿宋" w:hAnsi="仿宋" w:eastAsia="仿宋" w:cs="仿宋"/>
          <w:color w:val="auto"/>
          <w:sz w:val="28"/>
          <w:szCs w:val="28"/>
          <w:highlight w:val="none"/>
          <w:lang w:eastAsia="zh-CN"/>
        </w:rPr>
        <w:t>。</w:t>
      </w:r>
    </w:p>
    <w:p w14:paraId="3D182E72">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六</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违约责任与赔偿损失</w:t>
      </w:r>
    </w:p>
    <w:p w14:paraId="2A251C79">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1.乙方提供的服务不符合招标文件、报价文件或本合同规定的，甲方有权追责，并且乙方须向甲方支付本合同总价5%的违约金。      </w:t>
      </w:r>
    </w:p>
    <w:p w14:paraId="21BC0DF0">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2.其它违约责任按《中华人民共和国合同法》处理。</w:t>
      </w:r>
    </w:p>
    <w:p w14:paraId="4452F97B">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、争议的解决</w:t>
      </w:r>
    </w:p>
    <w:p w14:paraId="1F30887C">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1)合同执行过程中发生的任何争议，如双方不能通过友好协商解决，向项目所在地法院提起诉讼。</w:t>
      </w:r>
    </w:p>
    <w:p w14:paraId="6E1F506E">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、不可抗力：</w:t>
      </w:r>
    </w:p>
    <w:p w14:paraId="112CA715">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393DEBE">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、税费：</w:t>
      </w:r>
    </w:p>
    <w:p w14:paraId="289F5596">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在中国境内、外发生的与本合同执行有关的一切税费均由乙方负担。</w:t>
      </w:r>
    </w:p>
    <w:p w14:paraId="76E02DD4">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十、其它</w:t>
      </w:r>
    </w:p>
    <w:p w14:paraId="503062D2">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1.本合同所有附件、招标文件、投标文件、中标通知书通知书均为合同的有效组成部分，与本合同具有同等法律效力。</w:t>
      </w:r>
    </w:p>
    <w:p w14:paraId="4F9ABB1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color w:val="auto"/>
          <w:sz w:val="28"/>
          <w:szCs w:val="28"/>
          <w:highlight w:val="none"/>
        </w:rPr>
        <w:t>在执行本合同的过程中，所有经双方签署确认的文件（包括会议纪要、补充协议、往来信函）即成为本合同的有效组成部分。</w:t>
      </w:r>
    </w:p>
    <w:p w14:paraId="50B0239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如一方地址、电话、传真号码有变更，应在变更当日内书面通知对方，否则，应承担相应责任。 </w:t>
      </w:r>
    </w:p>
    <w:p w14:paraId="565BDBE4">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4.除甲方事先书面同意外，乙方不得部分或全部转让其应履行的合同项下的义务。</w:t>
      </w:r>
    </w:p>
    <w:p w14:paraId="65510C64">
      <w:pPr>
        <w:pStyle w:val="11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、合同生效：</w:t>
      </w:r>
    </w:p>
    <w:p w14:paraId="02D74FED">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59F6911B">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陆</w:t>
      </w:r>
      <w:r>
        <w:rPr>
          <w:rFonts w:hint="eastAsia" w:ascii="仿宋" w:hAnsi="仿宋" w:eastAsia="仿宋" w:cs="仿宋"/>
          <w:color w:val="auto"/>
          <w:sz w:val="28"/>
          <w:szCs w:val="28"/>
          <w:highlight w:val="none"/>
        </w:rPr>
        <w:t>份。</w:t>
      </w:r>
    </w:p>
    <w:p w14:paraId="3B84FAD7">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仿宋" w:hAnsi="仿宋" w:eastAsia="仿宋" w:cs="仿宋"/>
          <w:b/>
          <w:color w:val="auto"/>
          <w:sz w:val="28"/>
          <w:szCs w:val="28"/>
          <w:highlight w:val="none"/>
        </w:rPr>
      </w:pPr>
    </w:p>
    <w:tbl>
      <w:tblPr>
        <w:tblStyle w:val="35"/>
        <w:tblW w:w="0" w:type="auto"/>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6"/>
        <w:gridCol w:w="1343"/>
        <w:gridCol w:w="2978"/>
        <w:gridCol w:w="1169"/>
      </w:tblGrid>
      <w:tr w14:paraId="1EBC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2A5F427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甲方：</w:t>
            </w:r>
          </w:p>
        </w:tc>
        <w:tc>
          <w:tcPr>
            <w:tcW w:w="1343" w:type="dxa"/>
          </w:tcPr>
          <w:p w14:paraId="4892CCC4">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tcPr>
          <w:p w14:paraId="0A9CE83B">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乙方：</w:t>
            </w:r>
          </w:p>
        </w:tc>
        <w:tc>
          <w:tcPr>
            <w:tcW w:w="1169" w:type="dxa"/>
          </w:tcPr>
          <w:p w14:paraId="046E178F">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72B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62C57CE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地址：</w:t>
            </w:r>
          </w:p>
        </w:tc>
        <w:tc>
          <w:tcPr>
            <w:tcW w:w="1343" w:type="dxa"/>
          </w:tcPr>
          <w:p w14:paraId="3A72CA1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1B8A393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地址：</w:t>
            </w:r>
          </w:p>
        </w:tc>
        <w:tc>
          <w:tcPr>
            <w:tcW w:w="1169" w:type="dxa"/>
          </w:tcPr>
          <w:p w14:paraId="07C5C2EC">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5F44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5" w:hRule="atLeast"/>
        </w:trPr>
        <w:tc>
          <w:tcPr>
            <w:tcW w:w="2866" w:type="dxa"/>
          </w:tcPr>
          <w:p w14:paraId="76116A2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法定代表人或授权代表：</w:t>
            </w:r>
          </w:p>
        </w:tc>
        <w:tc>
          <w:tcPr>
            <w:tcW w:w="1343" w:type="dxa"/>
          </w:tcPr>
          <w:p w14:paraId="2F8D9E1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0B3630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法定代表人或授权代表：</w:t>
            </w:r>
          </w:p>
        </w:tc>
        <w:tc>
          <w:tcPr>
            <w:tcW w:w="1169" w:type="dxa"/>
          </w:tcPr>
          <w:p w14:paraId="1F2CA8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r w14:paraId="1B56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43E1C6D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联系电话：</w:t>
            </w:r>
          </w:p>
        </w:tc>
        <w:tc>
          <w:tcPr>
            <w:tcW w:w="1343" w:type="dxa"/>
          </w:tcPr>
          <w:p w14:paraId="6445040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c>
          <w:tcPr>
            <w:tcW w:w="2978" w:type="dxa"/>
            <w:shd w:val="clear" w:color="auto" w:fill="auto"/>
            <w:vAlign w:val="top"/>
          </w:tcPr>
          <w:p w14:paraId="4D23C8C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联系电话：</w:t>
            </w:r>
          </w:p>
        </w:tc>
        <w:tc>
          <w:tcPr>
            <w:tcW w:w="1169" w:type="dxa"/>
          </w:tcPr>
          <w:p w14:paraId="73DA38CD">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color w:val="auto"/>
                <w:sz w:val="24"/>
                <w:szCs w:val="24"/>
                <w:highlight w:val="none"/>
                <w:vertAlign w:val="baseline"/>
              </w:rPr>
            </w:pPr>
          </w:p>
        </w:tc>
      </w:tr>
    </w:tbl>
    <w:p w14:paraId="24D59797">
      <w:pPr>
        <w:pStyle w:val="10"/>
        <w:keepNext w:val="0"/>
        <w:keepLines w:val="0"/>
        <w:pageBreakBefore w:val="0"/>
        <w:widowControl w:val="0"/>
        <w:kinsoku w:val="0"/>
        <w:wordWrap/>
        <w:overflowPunct/>
        <w:topLinePunct/>
        <w:autoSpaceDE w:val="0"/>
        <w:autoSpaceDN w:val="0"/>
        <w:bidi w:val="0"/>
        <w:adjustRightInd/>
        <w:snapToGrid w:val="0"/>
        <w:spacing w:line="300" w:lineRule="auto"/>
        <w:ind w:left="0" w:leftChars="0" w:right="210" w:firstLine="3998" w:firstLineChars="1666"/>
        <w:contextualSpacing/>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4"/>
          <w:szCs w:val="24"/>
          <w:highlight w:val="none"/>
        </w:rPr>
        <w:t>签订日期：      年    月   日</w:t>
      </w:r>
      <w:bookmarkEnd w:id="39"/>
      <w:bookmarkEnd w:id="40"/>
      <w:bookmarkEnd w:id="41"/>
      <w:bookmarkStart w:id="42" w:name="_Hlt16619369"/>
      <w:bookmarkEnd w:id="42"/>
      <w:r>
        <w:rPr>
          <w:rFonts w:hint="eastAsia" w:ascii="仿宋" w:hAnsi="仿宋" w:eastAsia="仿宋" w:cs="仿宋"/>
          <w:bCs/>
          <w:color w:val="auto"/>
          <w:sz w:val="44"/>
          <w:highlight w:val="none"/>
        </w:rPr>
        <w:br w:type="page"/>
      </w:r>
    </w:p>
    <w:p w14:paraId="1A80E481">
      <w:pPr>
        <w:snapToGrid w:val="0"/>
        <w:spacing w:line="400" w:lineRule="atLeast"/>
        <w:ind w:firstLine="723"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质疑提出和处理</w:t>
      </w:r>
    </w:p>
    <w:p w14:paraId="414A6EFC">
      <w:pPr>
        <w:bidi w:val="0"/>
        <w:rPr>
          <w:rFonts w:hint="eastAsia"/>
          <w:color w:val="auto"/>
          <w:highlight w:val="none"/>
          <w:lang w:val="zh-CN"/>
        </w:rPr>
      </w:pPr>
    </w:p>
    <w:p w14:paraId="77220E4B">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一、质疑的提出</w:t>
      </w:r>
    </w:p>
    <w:p w14:paraId="6630AF2F">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1.质疑必须是直接参加本次招投标活动的当事人。</w:t>
      </w:r>
    </w:p>
    <w:p w14:paraId="10A6E005">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2.取得询价文件的供应商应根据询价文件第二章 “供应商须知”中“第一条第4款”的约定提出质疑，响应文件接收截止后未进行投标登记的供应商，不能就响应文件接收截止后的</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lang w:val="zh-CN"/>
        </w:rPr>
        <w:t>过程、成交结果提出质疑；在</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lang w:val="zh-CN"/>
        </w:rPr>
        <w:t>过程中，凡主持人或</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lang w:val="zh-CN"/>
        </w:rPr>
        <w:t>小组明确提出须由供应商确认的事项，供应商当场无异议的，事后不得提出质疑、投诉。</w:t>
      </w:r>
    </w:p>
    <w:p w14:paraId="04984A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08D6691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4.对本次招投标有质疑的，须实名制以书面形式提出，不得进行匿名、虚假、恶意质疑。</w:t>
      </w:r>
    </w:p>
    <w:p w14:paraId="11511BF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14:paraId="55DA940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对不能提供相关佐证材料的、涉及商业秘密的、非书面形式的、非送达的、匿名的《质疑函》作无效质疑处理，将不予受理。</w:t>
      </w:r>
    </w:p>
    <w:p w14:paraId="18724477">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相关佐证材料要具备客观性、关联性、合法性，无法查实的（如宣传册、媒体报道、猜测、推理等）不能作为佐证材料。</w:t>
      </w:r>
    </w:p>
    <w:p w14:paraId="790275CB">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招标人、采购单位不负责搜集相关佐证材料等工作。</w:t>
      </w:r>
    </w:p>
    <w:p w14:paraId="27468E8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zh-CN"/>
        </w:rPr>
        <w:t>、《质疑函》的受理和回复</w:t>
      </w:r>
    </w:p>
    <w:p w14:paraId="5A42746C">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1.《质疑函》须由质疑人的法定代表人或参加本次招标被委托授权人送达采购单位和招标人。</w:t>
      </w:r>
    </w:p>
    <w:p w14:paraId="4782C3F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1E546B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3.对不符合提出质疑要求的《质疑函》，出具《质疑退回通知书》并提出相关补充材料要求，质疑人未在规定时间内提供补充佐证材料的，视同放弃质疑。</w:t>
      </w:r>
    </w:p>
    <w:p w14:paraId="24D6DFB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4.招标人负责将质疑人提交的质疑相关材料提供给相关专家或评标小组审核，并将审核意见回复质疑人。</w:t>
      </w:r>
    </w:p>
    <w:p w14:paraId="52ABA37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79D97B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5.因质疑情况复杂，组织论证或审查时间较长的，招标人以书面形式通知质疑人，可适当延长质疑回复处理时间。</w:t>
      </w:r>
    </w:p>
    <w:p w14:paraId="1CDD8F4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三、质疑处理</w:t>
      </w:r>
    </w:p>
    <w:p w14:paraId="30A2468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1.质疑成立的处理。招标人终止采购，并建议有关部门给相关当事人予以处理。</w:t>
      </w:r>
    </w:p>
    <w:p w14:paraId="52A70770">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2.质疑不成立的处理：</w:t>
      </w:r>
    </w:p>
    <w:p w14:paraId="39D8A401">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（1）质疑人书面《申请撤回质疑函》。</w:t>
      </w:r>
    </w:p>
    <w:p w14:paraId="3116FA9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（2）质疑人在规定的时间内不配合进行质疑调查处理的，按自动撤回《质疑函》处理。</w:t>
      </w:r>
    </w:p>
    <w:p w14:paraId="30F9C738">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（3）质疑人不按《质疑函》格式就提出质疑的，视情列入不良供应商名单。</w:t>
      </w:r>
    </w:p>
    <w:p w14:paraId="1DFDC20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6EA74EA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14:paraId="7CEDBB8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（6）质疑人承担使用虚假材料或恶意方式质疑的法律责任。</w:t>
      </w:r>
    </w:p>
    <w:p w14:paraId="28E7E88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四、无佐证材料的举报作违约处理</w:t>
      </w:r>
    </w:p>
    <w:p w14:paraId="0E45E59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供应商不得进行不提供相关佐证材料（含无法查实的如宣传册、媒体报道、猜测、推理等）而向有关部门的举报，否则对其在1至3年内禁入南通市政府采购活动。</w:t>
      </w:r>
    </w:p>
    <w:p w14:paraId="074D05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五、投诉的提出</w:t>
      </w:r>
    </w:p>
    <w:p w14:paraId="746C54DC">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质疑人对招标人的答复不满意或者招标人未在规定的时间内做出答复的，可以在答复期满后15个工作日内向采购人单位的上级主管部门投诉。</w:t>
      </w:r>
    </w:p>
    <w:p w14:paraId="49BF292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六、投诉不成立的作违约处理</w:t>
      </w:r>
    </w:p>
    <w:p w14:paraId="40DBA8B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供应商进行质疑后，招标人回复质疑不成立，质疑人仍进行投诉的，并最终投诉不成立的，对其在1至3年内禁入南通市政府采购活动。</w:t>
      </w:r>
    </w:p>
    <w:p w14:paraId="1474328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七、质疑、举报、投诉不成立的等相关情况</w:t>
      </w:r>
    </w:p>
    <w:p w14:paraId="35FE90F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《质疑函》、《质疑回复函》，质疑、举报、投诉不成立的等相关情况，视情在南通政府采购网、省、国家级等相关媒体予以披露。并建议相关政府采购机构对该供应商同步实施1至3年内禁入。</w:t>
      </w:r>
    </w:p>
    <w:p w14:paraId="1B8F477D">
      <w:pPr>
        <w:bidi w:val="0"/>
        <w:rPr>
          <w:rFonts w:hint="eastAsia"/>
          <w:color w:val="auto"/>
          <w:highlight w:val="none"/>
          <w:lang w:val="zh-CN"/>
        </w:rPr>
      </w:pPr>
    </w:p>
    <w:p w14:paraId="297A19E6">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7B85BAA5">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3C0C5A8C">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40CEA6C1">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675EBF5D">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2661B3CE">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450BF7DA">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72B51B9C">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54120947">
      <w:pPr>
        <w:autoSpaceDE w:val="0"/>
        <w:autoSpaceDN w:val="0"/>
        <w:adjustRightInd w:val="0"/>
        <w:snapToGrid w:val="0"/>
        <w:spacing w:line="300" w:lineRule="auto"/>
        <w:ind w:left="4513" w:right="210" w:hanging="4513"/>
        <w:jc w:val="center"/>
        <w:rPr>
          <w:rFonts w:hint="eastAsia" w:ascii="仿宋" w:hAnsi="仿宋" w:eastAsia="仿宋" w:cs="仿宋"/>
          <w:b/>
          <w:bCs/>
          <w:color w:val="auto"/>
          <w:sz w:val="36"/>
          <w:szCs w:val="36"/>
          <w:highlight w:val="none"/>
          <w:lang w:val="zh-CN"/>
        </w:rPr>
      </w:pPr>
    </w:p>
    <w:p w14:paraId="1F2B1578">
      <w:pPr>
        <w:snapToGrid w:val="0"/>
        <w:spacing w:line="400" w:lineRule="atLeast"/>
        <w:ind w:firstLine="723"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bCs/>
          <w:color w:val="auto"/>
          <w:sz w:val="36"/>
          <w:szCs w:val="36"/>
          <w:highlight w:val="none"/>
          <w:lang w:val="en-US" w:eastAsia="zh-CN"/>
        </w:rPr>
        <w:t>六</w:t>
      </w:r>
      <w:r>
        <w:rPr>
          <w:rFonts w:hint="eastAsia" w:ascii="仿宋" w:hAnsi="仿宋" w:eastAsia="仿宋" w:cs="仿宋"/>
          <w:b/>
          <w:bCs/>
          <w:color w:val="auto"/>
          <w:sz w:val="36"/>
          <w:szCs w:val="36"/>
          <w:highlight w:val="none"/>
          <w:lang w:val="zh-CN"/>
        </w:rPr>
        <w:t>部分  响应文件组成</w:t>
      </w:r>
    </w:p>
    <w:p w14:paraId="3988C467">
      <w:pPr>
        <w:bidi w:val="0"/>
        <w:rPr>
          <w:rFonts w:hint="eastAsia"/>
          <w:color w:val="auto"/>
          <w:highlight w:val="none"/>
          <w:lang w:val="zh-CN"/>
        </w:rPr>
      </w:pPr>
    </w:p>
    <w:p w14:paraId="50D9AB3D">
      <w:pPr>
        <w:snapToGrid w:val="0"/>
        <w:spacing w:line="300" w:lineRule="auto"/>
        <w:ind w:firstLine="555"/>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响应文件由资格审查证明材料、价格响应文件</w:t>
      </w:r>
      <w:r>
        <w:rPr>
          <w:rFonts w:hint="eastAsia" w:ascii="仿宋" w:hAnsi="仿宋" w:eastAsia="仿宋" w:cs="仿宋"/>
          <w:b/>
          <w:color w:val="auto"/>
          <w:sz w:val="28"/>
          <w:szCs w:val="28"/>
          <w:highlight w:val="none"/>
          <w:lang w:val="en-US" w:eastAsia="zh-CN"/>
        </w:rPr>
        <w:t>两</w:t>
      </w:r>
      <w:r>
        <w:rPr>
          <w:rFonts w:hint="eastAsia" w:ascii="仿宋" w:hAnsi="仿宋" w:eastAsia="仿宋" w:cs="仿宋"/>
          <w:b/>
          <w:color w:val="auto"/>
          <w:sz w:val="28"/>
          <w:szCs w:val="28"/>
          <w:highlight w:val="none"/>
        </w:rPr>
        <w:t>部分组成。</w:t>
      </w:r>
    </w:p>
    <w:p w14:paraId="1A3AECE3">
      <w:pPr>
        <w:snapToGrid w:val="0"/>
        <w:spacing w:line="300" w:lineRule="auto"/>
        <w:ind w:firstLine="555"/>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eastAsia="zh-CN"/>
        </w:rPr>
        <w:t>响应文件</w:t>
      </w:r>
    </w:p>
    <w:p w14:paraId="2500A556">
      <w:pPr>
        <w:pStyle w:val="65"/>
        <w:snapToGrid w:val="0"/>
        <w:spacing w:line="300" w:lineRule="auto"/>
        <w:ind w:firstLine="560" w:firstLineChars="2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A.资格后审材料文件</w:t>
      </w:r>
      <w:r>
        <w:rPr>
          <w:rFonts w:hint="eastAsia" w:ascii="仿宋" w:hAnsi="仿宋" w:eastAsia="仿宋" w:cs="仿宋"/>
          <w:color w:val="auto"/>
          <w:sz w:val="28"/>
          <w:highlight w:val="none"/>
          <w:u w:val="single"/>
        </w:rPr>
        <w:t>（一个密封包，内含：1份“正</w:t>
      </w:r>
      <w:bookmarkStart w:id="43" w:name="_Toc363573860"/>
      <w:r>
        <w:rPr>
          <w:rFonts w:hint="eastAsia" w:ascii="仿宋" w:hAnsi="仿宋" w:eastAsia="仿宋" w:cs="仿宋"/>
          <w:color w:val="auto"/>
          <w:sz w:val="28"/>
          <w:highlight w:val="none"/>
          <w:u w:val="single"/>
        </w:rPr>
        <w:t>本”和2份</w:t>
      </w:r>
      <w:bookmarkEnd w:id="43"/>
      <w:r>
        <w:rPr>
          <w:rFonts w:hint="eastAsia" w:ascii="仿宋" w:hAnsi="仿宋" w:eastAsia="仿宋" w:cs="仿宋"/>
          <w:color w:val="auto"/>
          <w:sz w:val="28"/>
          <w:highlight w:val="none"/>
          <w:u w:val="single"/>
        </w:rPr>
        <w:t>“副本”。）</w:t>
      </w:r>
    </w:p>
    <w:p w14:paraId="06A8B1E8">
      <w:pPr>
        <w:pStyle w:val="65"/>
        <w:snapToGrid w:val="0"/>
        <w:spacing w:line="300" w:lineRule="auto"/>
        <w:ind w:firstLine="560" w:firstLineChars="200"/>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B.</w:t>
      </w:r>
      <w:bookmarkStart w:id="44" w:name="_Hlk15939051"/>
      <w:r>
        <w:rPr>
          <w:rFonts w:hint="eastAsia" w:ascii="仿宋" w:hAnsi="仿宋" w:eastAsia="仿宋" w:cs="仿宋"/>
          <w:color w:val="auto"/>
          <w:sz w:val="28"/>
          <w:highlight w:val="none"/>
        </w:rPr>
        <w:t>价格标文件</w:t>
      </w:r>
      <w:r>
        <w:rPr>
          <w:rFonts w:hint="eastAsia" w:ascii="仿宋" w:hAnsi="仿宋" w:eastAsia="仿宋" w:cs="仿宋"/>
          <w:b/>
          <w:bCs/>
          <w:color w:val="auto"/>
          <w:sz w:val="28"/>
          <w:highlight w:val="none"/>
        </w:rPr>
        <w:t>（一个密封包，内含：1份“正本”和2份“副本”。）</w:t>
      </w:r>
    </w:p>
    <w:p w14:paraId="184307B5">
      <w:pPr>
        <w:snapToGrid w:val="0"/>
        <w:spacing w:line="300" w:lineRule="auto"/>
        <w:ind w:firstLine="555"/>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二、投标响应文件封面范例</w:t>
      </w:r>
    </w:p>
    <w:p w14:paraId="79F699E8">
      <w:pPr>
        <w:snapToGrid w:val="0"/>
        <w:spacing w:line="300" w:lineRule="auto"/>
        <w:ind w:firstLine="555"/>
        <w:jc w:val="left"/>
        <w:rPr>
          <w:rFonts w:hint="eastAsia" w:ascii="仿宋" w:hAnsi="仿宋" w:eastAsia="仿宋" w:cs="仿宋"/>
          <w:color w:val="auto"/>
          <w:w w:val="80"/>
          <w:kern w:val="44"/>
          <w:sz w:val="28"/>
          <w:szCs w:val="28"/>
          <w:highlight w:val="none"/>
        </w:rPr>
      </w:pPr>
    </w:p>
    <w:p w14:paraId="07229637">
      <w:pPr>
        <w:pStyle w:val="65"/>
        <w:snapToGrid w:val="0"/>
        <w:spacing w:line="300" w:lineRule="auto"/>
        <w:ind w:firstLine="2520" w:firstLineChars="900"/>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项目</w:t>
      </w:r>
    </w:p>
    <w:p w14:paraId="56BD62A4">
      <w:pPr>
        <w:pStyle w:val="65"/>
        <w:snapToGrid w:val="0"/>
        <w:spacing w:line="300" w:lineRule="auto"/>
        <w:ind w:firstLine="3080" w:firstLineChars="110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竞争性</w:t>
      </w:r>
      <w:r>
        <w:rPr>
          <w:rFonts w:hint="eastAsia" w:ascii="仿宋" w:hAnsi="仿宋" w:eastAsia="仿宋" w:cs="仿宋"/>
          <w:color w:val="auto"/>
          <w:sz w:val="28"/>
          <w:highlight w:val="none"/>
          <w:lang w:eastAsia="zh-CN"/>
        </w:rPr>
        <w:t>响应文件</w:t>
      </w:r>
    </w:p>
    <w:p w14:paraId="4AC6A125">
      <w:pPr>
        <w:pStyle w:val="65"/>
        <w:snapToGrid w:val="0"/>
        <w:spacing w:line="300" w:lineRule="auto"/>
        <w:ind w:firstLine="560" w:firstLineChars="200"/>
        <w:rPr>
          <w:rFonts w:hint="eastAsia" w:ascii="仿宋" w:hAnsi="仿宋" w:eastAsia="仿宋" w:cs="仿宋"/>
          <w:color w:val="auto"/>
          <w:sz w:val="28"/>
          <w:highlight w:val="none"/>
        </w:rPr>
      </w:pPr>
    </w:p>
    <w:p w14:paraId="754DBAAD">
      <w:pPr>
        <w:pStyle w:val="65"/>
        <w:snapToGrid w:val="0"/>
        <w:spacing w:line="300" w:lineRule="auto"/>
        <w:ind w:firstLine="577"/>
        <w:rPr>
          <w:rFonts w:hint="eastAsia" w:ascii="仿宋" w:hAnsi="仿宋" w:eastAsia="仿宋" w:cs="仿宋"/>
          <w:color w:val="auto"/>
          <w:sz w:val="28"/>
          <w:highlight w:val="none"/>
        </w:rPr>
      </w:pPr>
      <w:r>
        <w:rPr>
          <w:rFonts w:hint="eastAsia" w:ascii="仿宋" w:hAnsi="仿宋" w:eastAsia="仿宋" w:cs="仿宋"/>
          <w:color w:val="auto"/>
          <w:sz w:val="28"/>
          <w:highlight w:val="none"/>
        </w:rPr>
        <w:t>对</w:t>
      </w:r>
      <w:bookmarkEnd w:id="44"/>
      <w:r>
        <w:rPr>
          <w:rFonts w:hint="eastAsia" w:ascii="仿宋" w:hAnsi="仿宋" w:eastAsia="仿宋" w:cs="仿宋"/>
          <w:color w:val="auto"/>
          <w:sz w:val="28"/>
          <w:highlight w:val="none"/>
        </w:rPr>
        <w:t>应</w:t>
      </w:r>
      <w:r>
        <w:rPr>
          <w:rFonts w:hint="eastAsia" w:ascii="仿宋" w:hAnsi="仿宋" w:eastAsia="仿宋" w:cs="仿宋"/>
          <w:color w:val="auto"/>
          <w:sz w:val="28"/>
          <w:highlight w:val="none"/>
          <w:lang w:eastAsia="zh-CN"/>
        </w:rPr>
        <w:t>响应文件</w:t>
      </w:r>
      <w:r>
        <w:rPr>
          <w:rFonts w:hint="eastAsia" w:ascii="仿宋" w:hAnsi="仿宋" w:eastAsia="仿宋" w:cs="仿宋"/>
          <w:color w:val="auto"/>
          <w:sz w:val="28"/>
          <w:highlight w:val="none"/>
        </w:rPr>
        <w:t>，相应填写：资格后审材料文件</w:t>
      </w:r>
    </w:p>
    <w:p w14:paraId="34C4BCE7">
      <w:pPr>
        <w:pStyle w:val="65"/>
        <w:snapToGrid w:val="0"/>
        <w:spacing w:line="300" w:lineRule="auto"/>
        <w:ind w:firstLine="4480" w:firstLineChars="1600"/>
        <w:rPr>
          <w:rFonts w:hint="eastAsia" w:ascii="仿宋" w:hAnsi="仿宋" w:eastAsia="仿宋" w:cs="仿宋"/>
          <w:color w:val="auto"/>
          <w:sz w:val="28"/>
          <w:highlight w:val="none"/>
        </w:rPr>
      </w:pPr>
      <w:r>
        <w:rPr>
          <w:rFonts w:hint="eastAsia" w:ascii="仿宋" w:hAnsi="仿宋" w:eastAsia="仿宋" w:cs="仿宋"/>
          <w:color w:val="auto"/>
          <w:sz w:val="28"/>
          <w:highlight w:val="none"/>
        </w:rPr>
        <w:t>价格标文件</w:t>
      </w:r>
    </w:p>
    <w:p w14:paraId="50D2477E">
      <w:pPr>
        <w:pStyle w:val="65"/>
        <w:snapToGrid w:val="0"/>
        <w:spacing w:line="300" w:lineRule="auto"/>
        <w:ind w:firstLine="560" w:firstLineChars="200"/>
        <w:rPr>
          <w:rFonts w:hint="eastAsia" w:ascii="仿宋" w:hAnsi="仿宋" w:eastAsia="仿宋" w:cs="仿宋"/>
          <w:color w:val="auto"/>
          <w:sz w:val="28"/>
          <w:highlight w:val="none"/>
        </w:rPr>
      </w:pPr>
    </w:p>
    <w:p w14:paraId="397EF9E2">
      <w:pPr>
        <w:pStyle w:val="65"/>
        <w:snapToGrid w:val="0"/>
        <w:spacing w:line="300" w:lineRule="auto"/>
        <w:ind w:firstLine="560" w:firstLineChars="200"/>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（资格后审）</w:t>
      </w:r>
    </w:p>
    <w:p w14:paraId="5B2B4913">
      <w:pPr>
        <w:pStyle w:val="65"/>
        <w:snapToGrid w:val="0"/>
        <w:spacing w:line="300" w:lineRule="auto"/>
        <w:ind w:firstLine="560" w:firstLineChars="200"/>
        <w:rPr>
          <w:rFonts w:hint="eastAsia" w:ascii="仿宋" w:hAnsi="仿宋" w:eastAsia="仿宋" w:cs="仿宋"/>
          <w:color w:val="auto"/>
          <w:sz w:val="28"/>
          <w:highlight w:val="none"/>
        </w:rPr>
      </w:pPr>
    </w:p>
    <w:p w14:paraId="27018F1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6CA7867A">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2EFF836">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10D4D59">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957832E">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1C1F62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700987E7">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0AA8B1B3">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5D6B184F">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421D78CB">
      <w:pPr>
        <w:snapToGrid w:val="0"/>
        <w:spacing w:line="300" w:lineRule="auto"/>
        <w:ind w:firstLine="562" w:firstLineChars="200"/>
        <w:contextualSpacing/>
        <w:rPr>
          <w:rFonts w:hint="eastAsia" w:ascii="仿宋" w:hAnsi="仿宋" w:eastAsia="仿宋" w:cs="仿宋"/>
          <w:b/>
          <w:color w:val="auto"/>
          <w:sz w:val="28"/>
          <w:szCs w:val="28"/>
          <w:highlight w:val="none"/>
        </w:rPr>
      </w:pPr>
    </w:p>
    <w:p w14:paraId="3B6FD139">
      <w:pPr>
        <w:snapToGrid w:val="0"/>
        <w:spacing w:line="300" w:lineRule="auto"/>
        <w:contextualSpacing/>
        <w:rPr>
          <w:rFonts w:hint="eastAsia" w:ascii="仿宋" w:hAnsi="仿宋" w:eastAsia="仿宋" w:cs="仿宋"/>
          <w:b/>
          <w:color w:val="auto"/>
          <w:sz w:val="28"/>
          <w:szCs w:val="28"/>
          <w:highlight w:val="none"/>
        </w:rPr>
      </w:pPr>
    </w:p>
    <w:p w14:paraId="09AB2F54">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ED31B97">
      <w:pPr>
        <w:keepNext w:val="0"/>
        <w:keepLines w:val="0"/>
        <w:pageBreakBefore w:val="0"/>
        <w:widowControl w:val="0"/>
        <w:kinsoku/>
        <w:wordWrap/>
        <w:overflowPunct/>
        <w:topLinePunct w:val="0"/>
        <w:bidi w:val="0"/>
        <w:snapToGrid/>
        <w:spacing w:line="300" w:lineRule="auto"/>
        <w:ind w:firstLine="562" w:firstLineChars="2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A、资格审查证明材料（不能出现报价标）</w:t>
      </w:r>
    </w:p>
    <w:p w14:paraId="197569B6">
      <w:pPr>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1.关于资格的声明函；</w:t>
      </w:r>
    </w:p>
    <w:p w14:paraId="365F3E32">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2.法定代表人身份证明书（提供复印件并加盖公章）;</w:t>
      </w:r>
    </w:p>
    <w:p w14:paraId="32A845B4">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zh-CN"/>
        </w:rPr>
      </w:pPr>
      <w:r>
        <w:rPr>
          <w:rFonts w:hint="eastAsia" w:ascii="仿宋" w:hAnsi="仿宋" w:eastAsia="仿宋" w:cs="仿宋"/>
          <w:color w:val="auto"/>
          <w:sz w:val="28"/>
          <w:highlight w:val="none"/>
          <w:lang w:val="zh-CN"/>
        </w:rPr>
        <w:t>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zh-CN"/>
        </w:rPr>
        <w:t>法定代表人授权委托书原件，投标代表本人身份证复印件（原件随身备查）；</w:t>
      </w:r>
    </w:p>
    <w:p w14:paraId="45848668">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4.符合政府采购法22条规定的声明；</w:t>
      </w:r>
    </w:p>
    <w:p w14:paraId="736CEF35">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5.提供有效的营业执照（提供复印件并加盖公章）</w:t>
      </w:r>
      <w:r>
        <w:rPr>
          <w:rFonts w:hint="eastAsia" w:ascii="仿宋" w:hAnsi="仿宋" w:eastAsia="仿宋" w:cs="仿宋"/>
          <w:color w:val="auto"/>
          <w:sz w:val="28"/>
          <w:highlight w:val="none"/>
          <w:lang w:eastAsia="zh-CN"/>
        </w:rPr>
        <w:t>；</w:t>
      </w:r>
    </w:p>
    <w:p w14:paraId="5CDA65DF">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提供有效的</w:t>
      </w:r>
      <w:r>
        <w:rPr>
          <w:rFonts w:hint="eastAsia" w:ascii="仿宋" w:hAnsi="仿宋" w:eastAsia="仿宋" w:cs="仿宋"/>
          <w:color w:val="auto"/>
          <w:sz w:val="28"/>
          <w:highlight w:val="none"/>
          <w:lang w:val="en-US" w:eastAsia="zh-CN"/>
        </w:rPr>
        <w:t>承装（修、试）电力设施许可证</w:t>
      </w:r>
      <w:r>
        <w:rPr>
          <w:rFonts w:hint="eastAsia" w:ascii="仿宋" w:hAnsi="仿宋" w:eastAsia="仿宋" w:cs="仿宋"/>
          <w:color w:val="auto"/>
          <w:sz w:val="28"/>
          <w:highlight w:val="none"/>
        </w:rPr>
        <w:t>（提供复印件并加盖公章）</w:t>
      </w:r>
      <w:r>
        <w:rPr>
          <w:rFonts w:hint="eastAsia" w:ascii="仿宋" w:hAnsi="仿宋" w:eastAsia="仿宋" w:cs="仿宋"/>
          <w:color w:val="auto"/>
          <w:sz w:val="28"/>
          <w:highlight w:val="none"/>
          <w:lang w:val="en-US" w:eastAsia="zh-CN"/>
        </w:rPr>
        <w:t>；</w:t>
      </w:r>
    </w:p>
    <w:p w14:paraId="14E7635A">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提供有效的</w:t>
      </w:r>
      <w:r>
        <w:rPr>
          <w:rFonts w:hint="eastAsia" w:ascii="仿宋" w:hAnsi="仿宋" w:eastAsia="仿宋" w:cs="仿宋"/>
          <w:color w:val="auto"/>
          <w:sz w:val="28"/>
          <w:highlight w:val="none"/>
          <w:lang w:val="en-US" w:eastAsia="zh-CN"/>
        </w:rPr>
        <w:t>安全生产许可证</w:t>
      </w:r>
      <w:r>
        <w:rPr>
          <w:rFonts w:hint="eastAsia" w:ascii="仿宋" w:hAnsi="仿宋" w:eastAsia="仿宋" w:cs="仿宋"/>
          <w:color w:val="auto"/>
          <w:sz w:val="28"/>
          <w:highlight w:val="none"/>
        </w:rPr>
        <w:t>（提供复印件并加盖公章）</w:t>
      </w:r>
      <w:r>
        <w:rPr>
          <w:rFonts w:hint="eastAsia" w:ascii="仿宋" w:hAnsi="仿宋" w:eastAsia="仿宋" w:cs="仿宋"/>
          <w:color w:val="auto"/>
          <w:sz w:val="28"/>
          <w:highlight w:val="none"/>
          <w:lang w:val="en-US" w:eastAsia="zh-CN"/>
        </w:rPr>
        <w:t>；</w:t>
      </w:r>
    </w:p>
    <w:p w14:paraId="6A252743">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8.</w:t>
      </w:r>
      <w:r>
        <w:rPr>
          <w:rFonts w:hint="eastAsia" w:ascii="仿宋" w:hAnsi="仿宋" w:eastAsia="仿宋" w:cs="仿宋"/>
          <w:color w:val="auto"/>
          <w:sz w:val="28"/>
          <w:highlight w:val="none"/>
        </w:rPr>
        <w:t>提供</w:t>
      </w:r>
      <w:r>
        <w:rPr>
          <w:rFonts w:hint="eastAsia" w:ascii="仿宋" w:hAnsi="仿宋" w:eastAsia="仿宋" w:cs="仿宋"/>
          <w:color w:val="auto"/>
          <w:sz w:val="28"/>
          <w:highlight w:val="none"/>
          <w:lang w:val="en-US" w:eastAsia="zh-CN"/>
        </w:rPr>
        <w:t>拟派项目负责人①职称证书②与供应商签订的有效劳动合同；③社保机构出具并盖章的供应商为其缴纳2025年度1-3月任意一个月的养老保险缴费清单；</w:t>
      </w:r>
    </w:p>
    <w:p w14:paraId="35BC3D8D">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9.</w:t>
      </w:r>
      <w:r>
        <w:rPr>
          <w:rFonts w:hint="eastAsia" w:ascii="仿宋" w:hAnsi="仿宋" w:eastAsia="仿宋" w:cs="仿宋"/>
          <w:color w:val="auto"/>
          <w:sz w:val="28"/>
          <w:highlight w:val="none"/>
        </w:rPr>
        <w:t>提供</w:t>
      </w:r>
      <w:r>
        <w:rPr>
          <w:rFonts w:hint="eastAsia" w:ascii="仿宋" w:hAnsi="仿宋" w:eastAsia="仿宋" w:cs="仿宋"/>
          <w:color w:val="auto"/>
          <w:sz w:val="28"/>
          <w:highlight w:val="none"/>
          <w:lang w:val="en-US" w:eastAsia="zh-CN"/>
        </w:rPr>
        <w:t>拟派项目组（项目负责人除外）①</w:t>
      </w:r>
      <w:r>
        <w:rPr>
          <w:rFonts w:hint="eastAsia" w:ascii="仿宋" w:hAnsi="仿宋" w:eastAsia="仿宋" w:cs="仿宋"/>
          <w:color w:val="auto"/>
          <w:sz w:val="28"/>
          <w:szCs w:val="28"/>
          <w:highlight w:val="none"/>
          <w:lang w:val="en-US" w:eastAsia="zh-CN"/>
        </w:rPr>
        <w:t>高压电工操作资格证书</w:t>
      </w:r>
      <w:r>
        <w:rPr>
          <w:rFonts w:hint="eastAsia" w:ascii="仿宋" w:hAnsi="仿宋" w:eastAsia="仿宋" w:cs="仿宋"/>
          <w:color w:val="auto"/>
          <w:sz w:val="28"/>
          <w:highlight w:val="none"/>
          <w:lang w:val="en-US" w:eastAsia="zh-CN"/>
        </w:rPr>
        <w:t>②与供应商签订的有效劳动合同；③社保机构出具并盖章的供应商为其缴纳2025年度1-3月任意一个月的养老保险缴费清单；</w:t>
      </w:r>
    </w:p>
    <w:p w14:paraId="236922D4">
      <w:pPr>
        <w:pStyle w:val="65"/>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10.中小微企业声明函。</w:t>
      </w:r>
    </w:p>
    <w:p w14:paraId="4F9570D0">
      <w:pPr>
        <w:pStyle w:val="65"/>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color w:val="auto"/>
          <w:sz w:val="28"/>
          <w:highlight w:val="none"/>
        </w:rPr>
      </w:pPr>
      <w:r>
        <w:rPr>
          <w:rFonts w:hint="eastAsia" w:ascii="仿宋" w:hAnsi="仿宋" w:eastAsia="仿宋" w:cs="仿宋"/>
          <w:b/>
          <w:color w:val="auto"/>
          <w:sz w:val="28"/>
          <w:highlight w:val="none"/>
        </w:rPr>
        <w:t>B、价格响应文件</w:t>
      </w:r>
    </w:p>
    <w:p w14:paraId="53CF84D6">
      <w:pPr>
        <w:pStyle w:val="65"/>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投标报价</w:t>
      </w:r>
      <w:r>
        <w:rPr>
          <w:rFonts w:hint="eastAsia" w:ascii="仿宋" w:hAnsi="仿宋" w:eastAsia="仿宋" w:cs="仿宋"/>
          <w:color w:val="auto"/>
          <w:sz w:val="28"/>
          <w:highlight w:val="none"/>
        </w:rPr>
        <w:t>总表</w:t>
      </w:r>
      <w:r>
        <w:rPr>
          <w:rFonts w:hint="eastAsia" w:ascii="仿宋" w:hAnsi="仿宋" w:eastAsia="仿宋" w:cs="仿宋"/>
          <w:color w:val="auto"/>
          <w:sz w:val="28"/>
          <w:highlight w:val="none"/>
          <w:lang w:eastAsia="zh-CN"/>
        </w:rPr>
        <w:t>。</w:t>
      </w:r>
    </w:p>
    <w:p w14:paraId="2A44EF52">
      <w:pPr>
        <w:bidi w:val="0"/>
        <w:rPr>
          <w:rFonts w:hint="eastAsia"/>
          <w:color w:val="auto"/>
          <w:highlight w:val="none"/>
        </w:rPr>
      </w:pPr>
    </w:p>
    <w:p w14:paraId="7A1AF2C2">
      <w:pPr>
        <w:bidi w:val="0"/>
        <w:rPr>
          <w:rFonts w:hint="eastAsia"/>
          <w:color w:val="auto"/>
          <w:highlight w:val="none"/>
        </w:rPr>
      </w:pPr>
    </w:p>
    <w:p w14:paraId="699970F9">
      <w:pPr>
        <w:bidi w:val="0"/>
        <w:rPr>
          <w:rFonts w:hint="eastAsia"/>
          <w:color w:val="auto"/>
          <w:highlight w:val="none"/>
        </w:rPr>
      </w:pPr>
    </w:p>
    <w:p w14:paraId="6A47575C">
      <w:pPr>
        <w:bidi w:val="0"/>
        <w:rPr>
          <w:rFonts w:hint="eastAsia"/>
          <w:color w:val="auto"/>
          <w:highlight w:val="none"/>
        </w:rPr>
      </w:pPr>
    </w:p>
    <w:p w14:paraId="20B9C69D">
      <w:pPr>
        <w:bidi w:val="0"/>
        <w:rPr>
          <w:rFonts w:hint="eastAsia"/>
          <w:color w:val="auto"/>
          <w:highlight w:val="none"/>
        </w:rPr>
      </w:pPr>
    </w:p>
    <w:p w14:paraId="448469B9">
      <w:pPr>
        <w:bidi w:val="0"/>
        <w:rPr>
          <w:rFonts w:hint="eastAsia"/>
          <w:color w:val="auto"/>
          <w:highlight w:val="none"/>
        </w:rPr>
      </w:pPr>
    </w:p>
    <w:p w14:paraId="40EF1A70">
      <w:pPr>
        <w:bidi w:val="0"/>
        <w:rPr>
          <w:rFonts w:hint="eastAsia"/>
          <w:color w:val="auto"/>
          <w:highlight w:val="none"/>
        </w:rPr>
      </w:pPr>
    </w:p>
    <w:p w14:paraId="19E6D9CA">
      <w:pPr>
        <w:bidi w:val="0"/>
        <w:rPr>
          <w:rFonts w:hint="eastAsia"/>
          <w:color w:val="auto"/>
          <w:highlight w:val="none"/>
        </w:rPr>
      </w:pPr>
    </w:p>
    <w:p w14:paraId="5457ACEB">
      <w:pPr>
        <w:bidi w:val="0"/>
        <w:rPr>
          <w:rFonts w:hint="eastAsia"/>
          <w:color w:val="auto"/>
          <w:highlight w:val="none"/>
        </w:rPr>
      </w:pPr>
    </w:p>
    <w:p w14:paraId="3C4D74DC">
      <w:pP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br w:type="page"/>
      </w:r>
    </w:p>
    <w:p w14:paraId="3250C14D">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A.2资格后审材料相关格式文件</w:t>
      </w:r>
    </w:p>
    <w:p w14:paraId="72DD919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1.关于资格的声明函</w:t>
      </w:r>
    </w:p>
    <w:p w14:paraId="4A312D4F">
      <w:pPr>
        <w:snapToGrid w:val="0"/>
        <w:spacing w:line="500" w:lineRule="exact"/>
        <w:ind w:firstLine="562" w:firstLineChars="200"/>
        <w:rPr>
          <w:rFonts w:hint="eastAsia" w:ascii="仿宋" w:hAnsi="仿宋" w:eastAsia="仿宋" w:cs="仿宋"/>
          <w:b/>
          <w:color w:val="auto"/>
          <w:sz w:val="28"/>
          <w:szCs w:val="28"/>
          <w:highlight w:val="none"/>
        </w:rPr>
      </w:pPr>
    </w:p>
    <w:p w14:paraId="4F7686E2">
      <w:pPr>
        <w:snapToGrid w:val="0"/>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1481B745">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我公司认真对照</w:t>
      </w:r>
      <w:r>
        <w:rPr>
          <w:rFonts w:hint="eastAsia" w:ascii="仿宋" w:hAnsi="仿宋" w:eastAsia="仿宋" w:cs="仿宋"/>
          <w:color w:val="auto"/>
          <w:sz w:val="28"/>
          <w:szCs w:val="28"/>
          <w:highlight w:val="none"/>
          <w:lang w:eastAsia="zh-CN"/>
        </w:rPr>
        <w:t>询价公告</w:t>
      </w:r>
      <w:r>
        <w:rPr>
          <w:rFonts w:hint="eastAsia" w:ascii="仿宋" w:hAnsi="仿宋" w:eastAsia="仿宋" w:cs="仿宋"/>
          <w:color w:val="auto"/>
          <w:sz w:val="28"/>
          <w:szCs w:val="28"/>
          <w:highlight w:val="none"/>
        </w:rPr>
        <w:t>，符合贵方提出的资格要求，自愿参加</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响应，并保证提供的资料文件是准确的和真实的。提供虚假材料的愿意承担相应的法律责任。</w:t>
      </w:r>
    </w:p>
    <w:p w14:paraId="0EE9DE92">
      <w:pPr>
        <w:pStyle w:val="17"/>
        <w:widowControl/>
        <w:snapToGrid w:val="0"/>
        <w:spacing w:line="50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6C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516EC8A">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4DCC1764">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受处理的原因</w:t>
            </w:r>
          </w:p>
          <w:p w14:paraId="1FE39715">
            <w:pPr>
              <w:pStyle w:val="30"/>
              <w:widowControl w:val="0"/>
              <w:snapToGrid w:val="0"/>
              <w:spacing w:before="0" w:beforeAutospacing="0" w:after="0" w:afterAutospacing="0"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219DEBC">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处理的内容</w:t>
            </w:r>
          </w:p>
          <w:p w14:paraId="18B775D9">
            <w:pPr>
              <w:pStyle w:val="30"/>
              <w:widowControl w:val="0"/>
              <w:snapToGrid w:val="0"/>
              <w:spacing w:before="0" w:beforeAutospacing="0" w:after="0" w:afterAutospacing="0"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5107D685">
            <w:pPr>
              <w:pStyle w:val="30"/>
              <w:widowControl w:val="0"/>
              <w:snapToGrid w:val="0"/>
              <w:spacing w:before="0" w:beforeAutospacing="0" w:after="0" w:afterAutospacing="0" w:line="50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备 注</w:t>
            </w:r>
          </w:p>
        </w:tc>
      </w:tr>
      <w:tr w14:paraId="0A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14:paraId="585C24D0">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587DB6D4">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4917F5F">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D173359">
            <w:pPr>
              <w:pStyle w:val="30"/>
              <w:widowControl w:val="0"/>
              <w:snapToGrid w:val="0"/>
              <w:spacing w:before="0" w:beforeAutospacing="0" w:after="0" w:afterAutospacing="0" w:line="500" w:lineRule="exact"/>
              <w:rPr>
                <w:rFonts w:hint="eastAsia" w:ascii="仿宋" w:hAnsi="仿宋" w:eastAsia="仿宋" w:cs="仿宋"/>
                <w:color w:val="auto"/>
                <w:highlight w:val="none"/>
              </w:rPr>
            </w:pPr>
          </w:p>
        </w:tc>
      </w:tr>
    </w:tbl>
    <w:p w14:paraId="2EF97FBB">
      <w:pPr>
        <w:snapToGrid w:val="0"/>
        <w:spacing w:line="500" w:lineRule="exact"/>
        <w:ind w:firstLine="480" w:firstLineChars="200"/>
        <w:rPr>
          <w:rFonts w:hint="eastAsia" w:ascii="仿宋" w:hAnsi="仿宋" w:eastAsia="仿宋" w:cs="仿宋"/>
          <w:color w:val="auto"/>
          <w:sz w:val="24"/>
          <w:highlight w:val="none"/>
        </w:rPr>
      </w:pPr>
    </w:p>
    <w:p w14:paraId="7CC26E9A">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6E2021DB">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7B98C6E6">
      <w:pPr>
        <w:snapToGrid w:val="0"/>
        <w:spacing w:line="5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239A4828">
      <w:pPr>
        <w:snapToGrid w:val="0"/>
        <w:spacing w:line="300" w:lineRule="auto"/>
        <w:contextualSpacing/>
        <w:rPr>
          <w:rFonts w:hint="eastAsia" w:ascii="仿宋" w:hAnsi="仿宋" w:eastAsia="仿宋" w:cs="仿宋"/>
          <w:b/>
          <w:color w:val="auto"/>
          <w:sz w:val="28"/>
          <w:szCs w:val="28"/>
          <w:highlight w:val="none"/>
        </w:rPr>
      </w:pPr>
    </w:p>
    <w:p w14:paraId="27E84909">
      <w:pPr>
        <w:snapToGrid w:val="0"/>
        <w:spacing w:line="300" w:lineRule="auto"/>
        <w:contextualSpacing/>
        <w:jc w:val="center"/>
        <w:rPr>
          <w:rFonts w:hint="eastAsia" w:ascii="仿宋" w:hAnsi="仿宋" w:eastAsia="仿宋" w:cs="仿宋"/>
          <w:b/>
          <w:color w:val="auto"/>
          <w:sz w:val="28"/>
          <w:szCs w:val="28"/>
          <w:highlight w:val="none"/>
        </w:rPr>
      </w:pPr>
    </w:p>
    <w:p w14:paraId="6FE9C4E0">
      <w:pPr>
        <w:pStyle w:val="13"/>
        <w:rPr>
          <w:rFonts w:hint="eastAsia"/>
          <w:color w:val="auto"/>
          <w:highlight w:val="none"/>
        </w:rPr>
      </w:pPr>
    </w:p>
    <w:p w14:paraId="6F9AD3AD">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5A32B37">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2.法定代表人身份证明</w:t>
      </w:r>
    </w:p>
    <w:p w14:paraId="2229AF0D">
      <w:pPr>
        <w:rPr>
          <w:rFonts w:hint="eastAsia" w:ascii="仿宋" w:hAnsi="仿宋" w:eastAsia="仿宋" w:cs="仿宋"/>
          <w:color w:val="auto"/>
          <w:highlight w:val="none"/>
        </w:rPr>
      </w:pPr>
    </w:p>
    <w:p w14:paraId="4184D279">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2353319F">
      <w:pPr>
        <w:bidi w:val="0"/>
        <w:rPr>
          <w:color w:val="auto"/>
          <w:highlight w:val="none"/>
          <w:lang w:eastAsia="zh-CN"/>
        </w:rPr>
      </w:pPr>
    </w:p>
    <w:p w14:paraId="02BA6709">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p>
    <w:p w14:paraId="25FCBD47">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ab/>
      </w:r>
    </w:p>
    <w:p w14:paraId="72A698B9">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3DDC3861">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05961C0">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p>
    <w:p w14:paraId="00C358A9">
      <w:pPr>
        <w:pStyle w:val="62"/>
        <w:snapToGrid w:val="0"/>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14:paraId="522BAC0B">
      <w:pPr>
        <w:pStyle w:val="62"/>
        <w:snapToGrid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（供应商单位名称）       </w:t>
      </w:r>
      <w:r>
        <w:rPr>
          <w:rFonts w:hint="eastAsia" w:ascii="仿宋" w:hAnsi="仿宋" w:eastAsia="仿宋" w:cs="仿宋"/>
          <w:color w:val="auto"/>
          <w:sz w:val="28"/>
          <w:szCs w:val="28"/>
          <w:highlight w:val="none"/>
        </w:rPr>
        <w:t>的法定代表人。</w:t>
      </w:r>
    </w:p>
    <w:p w14:paraId="3635A698">
      <w:pPr>
        <w:snapToGrid w:val="0"/>
        <w:spacing w:line="420" w:lineRule="exact"/>
        <w:rPr>
          <w:rFonts w:hint="eastAsia" w:ascii="仿宋" w:hAnsi="仿宋" w:eastAsia="仿宋" w:cs="仿宋"/>
          <w:color w:val="auto"/>
          <w:sz w:val="28"/>
          <w:szCs w:val="36"/>
          <w:highlight w:val="none"/>
        </w:rPr>
      </w:pPr>
    </w:p>
    <w:p w14:paraId="4C8EE660">
      <w:pPr>
        <w:snapToGrid w:val="0"/>
        <w:spacing w:line="420" w:lineRule="exact"/>
        <w:rPr>
          <w:rFonts w:hint="eastAsia" w:ascii="仿宋" w:hAnsi="仿宋" w:eastAsia="仿宋" w:cs="仿宋"/>
          <w:color w:val="auto"/>
          <w:sz w:val="28"/>
          <w:szCs w:val="36"/>
          <w:highlight w:val="none"/>
        </w:rPr>
      </w:pPr>
    </w:p>
    <w:p w14:paraId="3433B189">
      <w:pPr>
        <w:snapToGrid w:val="0"/>
        <w:spacing w:line="420" w:lineRule="exact"/>
        <w:rPr>
          <w:rFonts w:hint="eastAsia" w:ascii="仿宋" w:hAnsi="仿宋" w:eastAsia="仿宋" w:cs="仿宋"/>
          <w:color w:val="auto"/>
          <w:sz w:val="28"/>
          <w:szCs w:val="36"/>
          <w:highlight w:val="none"/>
        </w:rPr>
      </w:pPr>
    </w:p>
    <w:p w14:paraId="11D557A3">
      <w:pPr>
        <w:snapToGrid w:val="0"/>
        <w:spacing w:line="420" w:lineRule="exact"/>
        <w:rPr>
          <w:rFonts w:hint="eastAsia" w:ascii="仿宋" w:hAnsi="仿宋" w:eastAsia="仿宋" w:cs="仿宋"/>
          <w:color w:val="auto"/>
          <w:sz w:val="28"/>
          <w:szCs w:val="36"/>
          <w:highlight w:val="none"/>
        </w:rPr>
      </w:pPr>
    </w:p>
    <w:p w14:paraId="12E05312">
      <w:pPr>
        <w:snapToGrid w:val="0"/>
        <w:spacing w:line="420" w:lineRule="exact"/>
        <w:rPr>
          <w:rFonts w:hint="eastAsia" w:ascii="仿宋" w:hAnsi="仿宋" w:eastAsia="仿宋" w:cs="仿宋"/>
          <w:color w:val="auto"/>
          <w:sz w:val="28"/>
          <w:szCs w:val="36"/>
          <w:highlight w:val="none"/>
        </w:rPr>
      </w:pPr>
    </w:p>
    <w:p w14:paraId="5D530F84">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注：提供法定代表人的身份证复印件并加盖公章</w:t>
      </w:r>
    </w:p>
    <w:p w14:paraId="15FB2FD5">
      <w:pPr>
        <w:bidi w:val="0"/>
        <w:rPr>
          <w:rFonts w:hint="eastAsia"/>
          <w:color w:val="auto"/>
          <w:highlight w:val="none"/>
        </w:rPr>
      </w:pPr>
    </w:p>
    <w:p w14:paraId="0C540791">
      <w:pPr>
        <w:bidi w:val="0"/>
        <w:rPr>
          <w:rFonts w:hint="eastAsia"/>
          <w:color w:val="auto"/>
          <w:highlight w:val="none"/>
        </w:rPr>
      </w:pPr>
    </w:p>
    <w:p w14:paraId="386A34E8">
      <w:pPr>
        <w:bidi w:val="0"/>
        <w:rPr>
          <w:rFonts w:hint="eastAsia"/>
          <w:color w:val="auto"/>
          <w:highlight w:val="none"/>
        </w:rPr>
      </w:pPr>
    </w:p>
    <w:p w14:paraId="672BEC8A">
      <w:pPr>
        <w:bidi w:val="0"/>
        <w:rPr>
          <w:rFonts w:hint="eastAsia"/>
          <w:color w:val="auto"/>
          <w:highlight w:val="none"/>
        </w:rPr>
      </w:pPr>
    </w:p>
    <w:p w14:paraId="78F3BB88">
      <w:pPr>
        <w:bidi w:val="0"/>
        <w:rPr>
          <w:rFonts w:hint="eastAsia"/>
          <w:color w:val="auto"/>
          <w:highlight w:val="none"/>
        </w:rPr>
      </w:pPr>
    </w:p>
    <w:p w14:paraId="42EB04AC">
      <w:pPr>
        <w:bidi w:val="0"/>
        <w:rPr>
          <w:rFonts w:hint="eastAsia"/>
          <w:color w:val="auto"/>
          <w:highlight w:val="none"/>
        </w:rPr>
      </w:pPr>
    </w:p>
    <w:p w14:paraId="07356F44">
      <w:pPr>
        <w:bidi w:val="0"/>
        <w:rPr>
          <w:rFonts w:hint="eastAsia"/>
          <w:color w:val="auto"/>
          <w:highlight w:val="none"/>
        </w:rPr>
      </w:pPr>
    </w:p>
    <w:p w14:paraId="63C5EE3F">
      <w:pPr>
        <w:bidi w:val="0"/>
        <w:rPr>
          <w:rFonts w:hint="eastAsia"/>
          <w:color w:val="auto"/>
          <w:highlight w:val="none"/>
        </w:rPr>
      </w:pPr>
    </w:p>
    <w:p w14:paraId="24B6D2CE">
      <w:pPr>
        <w:bidi w:val="0"/>
        <w:rPr>
          <w:rFonts w:hint="eastAsia"/>
          <w:color w:val="auto"/>
          <w:highlight w:val="none"/>
        </w:rPr>
      </w:pPr>
    </w:p>
    <w:p w14:paraId="0AA46CF2">
      <w:pPr>
        <w:bidi w:val="0"/>
        <w:rPr>
          <w:rFonts w:hint="eastAsia"/>
          <w:color w:val="auto"/>
          <w:highlight w:val="none"/>
        </w:rPr>
      </w:pPr>
    </w:p>
    <w:p w14:paraId="131C1F61">
      <w:pPr>
        <w:bidi w:val="0"/>
        <w:rPr>
          <w:rFonts w:hint="eastAsia"/>
          <w:color w:val="auto"/>
          <w:highlight w:val="none"/>
        </w:rPr>
      </w:pPr>
    </w:p>
    <w:p w14:paraId="1346AB42">
      <w:pPr>
        <w:bidi w:val="0"/>
        <w:rPr>
          <w:rFonts w:hint="eastAsia"/>
          <w:color w:val="auto"/>
          <w:highlight w:val="none"/>
        </w:rPr>
      </w:pPr>
    </w:p>
    <w:p w14:paraId="1621B39F">
      <w:pPr>
        <w:pStyle w:val="61"/>
        <w:rPr>
          <w:rFonts w:hint="eastAsia"/>
          <w:color w:val="auto"/>
          <w:highlight w:val="none"/>
        </w:rPr>
      </w:pPr>
    </w:p>
    <w:p w14:paraId="09F8818B">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C52278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3.法定代表人授权委托书</w:t>
      </w:r>
    </w:p>
    <w:p w14:paraId="2A6F3894">
      <w:pPr>
        <w:snapToGrid w:val="0"/>
        <w:spacing w:line="420" w:lineRule="exact"/>
        <w:rPr>
          <w:rFonts w:hint="eastAsia" w:ascii="仿宋" w:hAnsi="仿宋" w:eastAsia="仿宋" w:cs="仿宋"/>
          <w:bCs/>
          <w:color w:val="auto"/>
          <w:highlight w:val="none"/>
        </w:rPr>
      </w:pPr>
    </w:p>
    <w:p w14:paraId="52FAC135">
      <w:pPr>
        <w:snapToGrid w:val="0"/>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353E0733">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（被授权人的姓名）代表我公司参加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（项目名称)项目的政府采购活动，全权处理一切与该项目招标有关的事务。其在办理上述事宜过程中所签署的所有文件我公司均予以承认。  </w:t>
      </w:r>
    </w:p>
    <w:p w14:paraId="75BA1DB0">
      <w:pPr>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被授权人无转委托权，特此委托。</w:t>
      </w:r>
    </w:p>
    <w:p w14:paraId="7783D9BD">
      <w:pPr>
        <w:snapToGrid w:val="0"/>
        <w:spacing w:line="500" w:lineRule="exact"/>
        <w:ind w:firstLine="560" w:firstLineChars="200"/>
        <w:rPr>
          <w:rFonts w:hint="eastAsia" w:ascii="仿宋" w:hAnsi="仿宋" w:eastAsia="仿宋" w:cs="仿宋"/>
          <w:color w:val="auto"/>
          <w:kern w:val="0"/>
          <w:sz w:val="28"/>
          <w:szCs w:val="28"/>
          <w:highlight w:val="none"/>
        </w:rPr>
      </w:pPr>
    </w:p>
    <w:p w14:paraId="226B8C5A">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附：被授权人情况：</w:t>
      </w:r>
    </w:p>
    <w:p w14:paraId="14B9BF13">
      <w:pPr>
        <w:snapToGrid w:val="0"/>
        <w:spacing w:line="5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48A397C7">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2E336701">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手机：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9264A45">
      <w:pPr>
        <w:snapToGrid w:val="0"/>
        <w:spacing w:line="420" w:lineRule="exact"/>
        <w:rPr>
          <w:rFonts w:hint="eastAsia" w:ascii="仿宋" w:hAnsi="仿宋" w:eastAsia="仿宋" w:cs="仿宋"/>
          <w:color w:val="auto"/>
          <w:sz w:val="28"/>
          <w:szCs w:val="36"/>
          <w:highlight w:val="none"/>
        </w:rPr>
      </w:pPr>
    </w:p>
    <w:p w14:paraId="515D4F17">
      <w:pPr>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注：提供被授权人的身份证复印件</w:t>
      </w:r>
    </w:p>
    <w:p w14:paraId="76AEA3E2">
      <w:pPr>
        <w:snapToGrid w:val="0"/>
        <w:spacing w:line="500" w:lineRule="exact"/>
        <w:ind w:firstLine="560" w:firstLineChars="200"/>
        <w:rPr>
          <w:rFonts w:hint="eastAsia" w:ascii="仿宋" w:hAnsi="仿宋" w:eastAsia="仿宋" w:cs="仿宋"/>
          <w:color w:val="auto"/>
          <w:sz w:val="28"/>
          <w:szCs w:val="28"/>
          <w:highlight w:val="none"/>
        </w:rPr>
      </w:pPr>
    </w:p>
    <w:p w14:paraId="19E22745">
      <w:pPr>
        <w:snapToGrid w:val="0"/>
        <w:spacing w:line="500" w:lineRule="exact"/>
        <w:ind w:firstLine="560" w:firstLineChars="200"/>
        <w:jc w:val="left"/>
        <w:rPr>
          <w:rFonts w:hint="eastAsia" w:ascii="仿宋" w:hAnsi="仿宋" w:eastAsia="仿宋" w:cs="仿宋"/>
          <w:color w:val="auto"/>
          <w:sz w:val="28"/>
          <w:szCs w:val="28"/>
          <w:highlight w:val="none"/>
        </w:rPr>
      </w:pPr>
    </w:p>
    <w:p w14:paraId="093A362C">
      <w:pPr>
        <w:snapToGrid w:val="0"/>
        <w:spacing w:line="500" w:lineRule="exact"/>
        <w:ind w:firstLine="560" w:firstLineChars="200"/>
        <w:jc w:val="left"/>
        <w:rPr>
          <w:rFonts w:hint="eastAsia" w:ascii="仿宋" w:hAnsi="仿宋" w:eastAsia="仿宋" w:cs="仿宋"/>
          <w:color w:val="auto"/>
          <w:sz w:val="28"/>
          <w:szCs w:val="28"/>
          <w:highlight w:val="none"/>
        </w:rPr>
      </w:pPr>
    </w:p>
    <w:p w14:paraId="17642DC1">
      <w:pPr>
        <w:snapToGrid w:val="0"/>
        <w:spacing w:line="500" w:lineRule="exact"/>
        <w:ind w:firstLine="560" w:firstLineChars="200"/>
        <w:jc w:val="left"/>
        <w:rPr>
          <w:rFonts w:hint="eastAsia" w:ascii="仿宋" w:hAnsi="仿宋" w:eastAsia="仿宋" w:cs="仿宋"/>
          <w:color w:val="auto"/>
          <w:sz w:val="28"/>
          <w:szCs w:val="28"/>
          <w:highlight w:val="none"/>
        </w:rPr>
      </w:pPr>
    </w:p>
    <w:p w14:paraId="625C2BE6">
      <w:pPr>
        <w:snapToGrid w:val="0"/>
        <w:spacing w:line="500" w:lineRule="exact"/>
        <w:ind w:firstLine="560" w:firstLineChars="200"/>
        <w:jc w:val="left"/>
        <w:rPr>
          <w:rFonts w:hint="eastAsia" w:ascii="仿宋" w:hAnsi="仿宋" w:eastAsia="仿宋" w:cs="仿宋"/>
          <w:color w:val="auto"/>
          <w:sz w:val="28"/>
          <w:szCs w:val="28"/>
          <w:highlight w:val="none"/>
        </w:rPr>
      </w:pPr>
    </w:p>
    <w:p w14:paraId="4F66787E">
      <w:pPr>
        <w:snapToGrid w:val="0"/>
        <w:spacing w:line="500" w:lineRule="exact"/>
        <w:ind w:firstLine="560" w:firstLineChars="200"/>
        <w:jc w:val="left"/>
        <w:rPr>
          <w:rFonts w:hint="eastAsia" w:ascii="仿宋" w:hAnsi="仿宋" w:eastAsia="仿宋" w:cs="仿宋"/>
          <w:color w:val="auto"/>
          <w:sz w:val="28"/>
          <w:szCs w:val="28"/>
          <w:highlight w:val="none"/>
        </w:rPr>
      </w:pPr>
    </w:p>
    <w:p w14:paraId="47775672">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5786C684">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79133DAE">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6575FA2">
      <w:pPr>
        <w:rPr>
          <w:rFonts w:hint="eastAsia" w:ascii="仿宋" w:hAnsi="仿宋" w:eastAsia="仿宋" w:cs="仿宋"/>
          <w:color w:val="auto"/>
          <w:sz w:val="40"/>
          <w:szCs w:val="40"/>
          <w:highlight w:val="none"/>
        </w:rPr>
      </w:pPr>
    </w:p>
    <w:p w14:paraId="5F9813B9">
      <w:pPr>
        <w:rPr>
          <w:rFonts w:hint="eastAsia" w:ascii="仿宋" w:hAnsi="仿宋" w:eastAsia="仿宋" w:cs="仿宋"/>
          <w:color w:val="auto"/>
          <w:sz w:val="40"/>
          <w:szCs w:val="40"/>
          <w:highlight w:val="none"/>
        </w:rPr>
      </w:pPr>
    </w:p>
    <w:p w14:paraId="735D468B">
      <w:pPr>
        <w:bidi w:val="0"/>
        <w:rPr>
          <w:rFonts w:hint="eastAsia"/>
          <w:color w:val="auto"/>
          <w:highlight w:val="none"/>
        </w:rPr>
      </w:pPr>
    </w:p>
    <w:p w14:paraId="0CF7A57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2"/>
          <w:szCs w:val="32"/>
          <w:highlight w:val="none"/>
        </w:rPr>
        <w:t>4.符合政府采购法二十二条的书面声明</w:t>
      </w:r>
    </w:p>
    <w:p w14:paraId="4AE9263A">
      <w:pPr>
        <w:bidi w:val="0"/>
        <w:rPr>
          <w:rFonts w:hint="eastAsia"/>
          <w:color w:val="auto"/>
          <w:highlight w:val="none"/>
        </w:rPr>
      </w:pPr>
    </w:p>
    <w:p w14:paraId="698FC9E3">
      <w:pPr>
        <w:spacing w:line="42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江苏省南通卫生高等职业技术学校：</w:t>
      </w:r>
    </w:p>
    <w:p w14:paraId="357FB98D">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w:t>
      </w:r>
      <w:r>
        <w:rPr>
          <w:rFonts w:hint="eastAsia" w:ascii="仿宋" w:hAnsi="仿宋" w:eastAsia="仿宋" w:cs="仿宋"/>
          <w:color w:val="auto"/>
          <w:sz w:val="28"/>
          <w:szCs w:val="28"/>
          <w:highlight w:val="none"/>
          <w:u w:val="single"/>
        </w:rPr>
        <w:t xml:space="preserve">           （投标单位名称）</w:t>
      </w:r>
      <w:r>
        <w:rPr>
          <w:rFonts w:hint="eastAsia" w:ascii="仿宋" w:hAnsi="仿宋" w:eastAsia="仿宋" w:cs="仿宋"/>
          <w:color w:val="auto"/>
          <w:sz w:val="28"/>
          <w:szCs w:val="28"/>
          <w:highlight w:val="none"/>
        </w:rPr>
        <w:t>郑重承诺：</w:t>
      </w:r>
    </w:p>
    <w:p w14:paraId="737BF596">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C2F02DC">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1A8F4E08">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2D1C407B">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2487A173">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4F406C11">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投标人（盖章）： </w:t>
      </w:r>
    </w:p>
    <w:p w14:paraId="40607FE9">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1F5173F0">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0C193609">
      <w:pPr>
        <w:spacing w:line="420" w:lineRule="exact"/>
        <w:jc w:val="right"/>
        <w:rPr>
          <w:rFonts w:hint="eastAsia" w:ascii="仿宋" w:hAnsi="仿宋" w:eastAsia="仿宋" w:cs="仿宋"/>
          <w:color w:val="auto"/>
          <w:sz w:val="28"/>
          <w:szCs w:val="36"/>
          <w:highlight w:val="none"/>
        </w:rPr>
      </w:pPr>
    </w:p>
    <w:p w14:paraId="48EE7169">
      <w:pPr>
        <w:snapToGrid w:val="0"/>
        <w:spacing w:line="500" w:lineRule="exact"/>
        <w:rPr>
          <w:rFonts w:hint="eastAsia" w:ascii="仿宋" w:hAnsi="仿宋" w:eastAsia="仿宋" w:cs="仿宋"/>
          <w:color w:val="auto"/>
          <w:sz w:val="28"/>
          <w:szCs w:val="36"/>
          <w:highlight w:val="none"/>
        </w:rPr>
      </w:pPr>
      <w:r>
        <w:rPr>
          <w:rFonts w:hint="eastAsia" w:ascii="仿宋" w:hAnsi="仿宋" w:eastAsia="仿宋" w:cs="仿宋"/>
          <w:b/>
          <w:color w:val="auto"/>
          <w:sz w:val="40"/>
          <w:szCs w:val="40"/>
          <w:highlight w:val="none"/>
        </w:rPr>
        <w:br w:type="page"/>
      </w:r>
    </w:p>
    <w:p w14:paraId="31A2A038">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5.无重大违法记录声明</w:t>
      </w:r>
    </w:p>
    <w:p w14:paraId="3ED11090">
      <w:pPr>
        <w:bidi w:val="0"/>
        <w:rPr>
          <w:rFonts w:hint="eastAsia"/>
          <w:color w:val="auto"/>
          <w:highlight w:val="none"/>
        </w:rPr>
      </w:pPr>
    </w:p>
    <w:p w14:paraId="1CF870CC">
      <w:pPr>
        <w:snapToGrid w:val="0"/>
        <w:spacing w:line="50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21F3322E">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14:paraId="25FF6AB0">
      <w:pPr>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487D76A">
      <w:pPr>
        <w:snapToGrid w:val="0"/>
        <w:spacing w:line="500" w:lineRule="exact"/>
        <w:ind w:firstLine="200"/>
        <w:rPr>
          <w:rFonts w:hint="eastAsia" w:ascii="仿宋" w:hAnsi="仿宋" w:eastAsia="仿宋" w:cs="仿宋"/>
          <w:color w:val="auto"/>
          <w:sz w:val="28"/>
          <w:szCs w:val="28"/>
          <w:highlight w:val="none"/>
        </w:rPr>
      </w:pPr>
    </w:p>
    <w:p w14:paraId="0412F49F">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3494ACBE">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p>
    <w:p w14:paraId="7FA47C67">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投标人（盖章）： </w:t>
      </w:r>
    </w:p>
    <w:p w14:paraId="4D8D7F94">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319E32CA">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3F52FEB">
      <w:pPr>
        <w:adjustRightInd w:val="0"/>
        <w:snapToGrid w:val="0"/>
        <w:spacing w:line="420" w:lineRule="exact"/>
        <w:ind w:left="1014" w:leftChars="1" w:hanging="1012" w:hangingChars="482"/>
        <w:jc w:val="center"/>
        <w:rPr>
          <w:rFonts w:hint="eastAsia" w:ascii="仿宋" w:hAnsi="仿宋" w:eastAsia="仿宋" w:cs="仿宋"/>
          <w:color w:val="auto"/>
          <w:highlight w:val="none"/>
        </w:rPr>
      </w:pPr>
    </w:p>
    <w:p w14:paraId="23BD4A3D">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.拟派人员一览表</w:t>
      </w:r>
    </w:p>
    <w:tbl>
      <w:tblPr>
        <w:tblStyle w:val="34"/>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1460"/>
        <w:gridCol w:w="1073"/>
        <w:gridCol w:w="2434"/>
        <w:gridCol w:w="2034"/>
      </w:tblGrid>
      <w:tr w14:paraId="0BE5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center"/>
          </w:tcPr>
          <w:p w14:paraId="269C44BE">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460" w:type="dxa"/>
            <w:noWrap w:val="0"/>
            <w:vAlign w:val="center"/>
          </w:tcPr>
          <w:p w14:paraId="469BD9E6">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人员姓名</w:t>
            </w:r>
          </w:p>
        </w:tc>
        <w:tc>
          <w:tcPr>
            <w:tcW w:w="1073" w:type="dxa"/>
            <w:noWrap w:val="0"/>
            <w:vAlign w:val="center"/>
          </w:tcPr>
          <w:p w14:paraId="66F29497">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职务</w:t>
            </w:r>
          </w:p>
        </w:tc>
        <w:tc>
          <w:tcPr>
            <w:tcW w:w="2434" w:type="dxa"/>
            <w:noWrap w:val="0"/>
            <w:vAlign w:val="center"/>
          </w:tcPr>
          <w:p w14:paraId="3BEADCD3">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资格证书名称及编号</w:t>
            </w:r>
          </w:p>
        </w:tc>
        <w:tc>
          <w:tcPr>
            <w:tcW w:w="2034" w:type="dxa"/>
            <w:noWrap w:val="0"/>
            <w:vAlign w:val="center"/>
          </w:tcPr>
          <w:p w14:paraId="4136A3FB">
            <w:pPr>
              <w:widowControl/>
              <w:spacing w:before="14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r>
      <w:tr w14:paraId="1D8C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41E1A96A">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2B4D0EB2">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3233DD98">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4E493932">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39C8CE86">
            <w:pPr>
              <w:widowControl/>
              <w:spacing w:before="141" w:line="360" w:lineRule="auto"/>
              <w:jc w:val="center"/>
              <w:rPr>
                <w:rFonts w:hint="eastAsia" w:ascii="仿宋" w:hAnsi="仿宋" w:eastAsia="仿宋" w:cs="仿宋"/>
                <w:color w:val="auto"/>
                <w:kern w:val="0"/>
                <w:sz w:val="24"/>
                <w:highlight w:val="none"/>
              </w:rPr>
            </w:pPr>
          </w:p>
        </w:tc>
      </w:tr>
      <w:tr w14:paraId="39C0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487911C5">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594B540F">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72A4FCF4">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665CDD60">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2B97DCAE">
            <w:pPr>
              <w:widowControl/>
              <w:spacing w:before="141" w:line="360" w:lineRule="auto"/>
              <w:jc w:val="center"/>
              <w:rPr>
                <w:rFonts w:hint="eastAsia" w:ascii="仿宋" w:hAnsi="仿宋" w:eastAsia="仿宋" w:cs="仿宋"/>
                <w:color w:val="auto"/>
                <w:kern w:val="0"/>
                <w:sz w:val="24"/>
                <w:highlight w:val="none"/>
              </w:rPr>
            </w:pPr>
          </w:p>
        </w:tc>
      </w:tr>
      <w:tr w14:paraId="3D76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0093DDDD">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27BD3BA3">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307F00C2">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2B099E8A">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22D8883A">
            <w:pPr>
              <w:widowControl/>
              <w:spacing w:before="141" w:line="360" w:lineRule="auto"/>
              <w:jc w:val="center"/>
              <w:rPr>
                <w:rFonts w:hint="eastAsia" w:ascii="仿宋" w:hAnsi="仿宋" w:eastAsia="仿宋" w:cs="仿宋"/>
                <w:color w:val="auto"/>
                <w:kern w:val="0"/>
                <w:sz w:val="24"/>
                <w:highlight w:val="none"/>
              </w:rPr>
            </w:pPr>
          </w:p>
        </w:tc>
      </w:tr>
      <w:tr w14:paraId="4CB1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2EE9B54F">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59450F68">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0FB1A08B">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0D0C8703">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73008469">
            <w:pPr>
              <w:widowControl/>
              <w:spacing w:before="141" w:line="360" w:lineRule="auto"/>
              <w:jc w:val="center"/>
              <w:rPr>
                <w:rFonts w:hint="eastAsia" w:ascii="仿宋" w:hAnsi="仿宋" w:eastAsia="仿宋" w:cs="仿宋"/>
                <w:color w:val="auto"/>
                <w:kern w:val="0"/>
                <w:sz w:val="24"/>
                <w:highlight w:val="none"/>
              </w:rPr>
            </w:pPr>
          </w:p>
        </w:tc>
      </w:tr>
      <w:tr w14:paraId="162B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09695A3E">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0F6B1C0A">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646D1356">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769AC688">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4CB4AC09">
            <w:pPr>
              <w:widowControl/>
              <w:spacing w:before="141" w:line="360" w:lineRule="auto"/>
              <w:jc w:val="center"/>
              <w:rPr>
                <w:rFonts w:hint="eastAsia" w:ascii="仿宋" w:hAnsi="仿宋" w:eastAsia="仿宋" w:cs="仿宋"/>
                <w:color w:val="auto"/>
                <w:kern w:val="0"/>
                <w:sz w:val="24"/>
                <w:highlight w:val="none"/>
              </w:rPr>
            </w:pPr>
          </w:p>
        </w:tc>
      </w:tr>
      <w:tr w14:paraId="3FFC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44" w:type="dxa"/>
            <w:noWrap w:val="0"/>
            <w:vAlign w:val="top"/>
          </w:tcPr>
          <w:p w14:paraId="222CA6C7">
            <w:pPr>
              <w:widowControl/>
              <w:spacing w:before="141" w:line="360" w:lineRule="auto"/>
              <w:jc w:val="center"/>
              <w:rPr>
                <w:rFonts w:hint="eastAsia" w:ascii="仿宋" w:hAnsi="仿宋" w:eastAsia="仿宋" w:cs="仿宋"/>
                <w:color w:val="auto"/>
                <w:kern w:val="0"/>
                <w:sz w:val="24"/>
                <w:highlight w:val="none"/>
              </w:rPr>
            </w:pPr>
          </w:p>
        </w:tc>
        <w:tc>
          <w:tcPr>
            <w:tcW w:w="1460" w:type="dxa"/>
            <w:noWrap w:val="0"/>
            <w:vAlign w:val="top"/>
          </w:tcPr>
          <w:p w14:paraId="47DF7370">
            <w:pPr>
              <w:widowControl/>
              <w:spacing w:before="141" w:line="360" w:lineRule="auto"/>
              <w:jc w:val="center"/>
              <w:rPr>
                <w:rFonts w:hint="eastAsia" w:ascii="仿宋" w:hAnsi="仿宋" w:eastAsia="仿宋" w:cs="仿宋"/>
                <w:color w:val="auto"/>
                <w:kern w:val="0"/>
                <w:sz w:val="24"/>
                <w:highlight w:val="none"/>
              </w:rPr>
            </w:pPr>
          </w:p>
        </w:tc>
        <w:tc>
          <w:tcPr>
            <w:tcW w:w="1073" w:type="dxa"/>
            <w:noWrap w:val="0"/>
            <w:vAlign w:val="top"/>
          </w:tcPr>
          <w:p w14:paraId="0B9ACD02">
            <w:pPr>
              <w:widowControl/>
              <w:spacing w:before="141" w:line="360" w:lineRule="auto"/>
              <w:jc w:val="center"/>
              <w:rPr>
                <w:rFonts w:hint="eastAsia" w:ascii="仿宋" w:hAnsi="仿宋" w:eastAsia="仿宋" w:cs="仿宋"/>
                <w:color w:val="auto"/>
                <w:kern w:val="0"/>
                <w:sz w:val="24"/>
                <w:highlight w:val="none"/>
              </w:rPr>
            </w:pPr>
          </w:p>
        </w:tc>
        <w:tc>
          <w:tcPr>
            <w:tcW w:w="2434" w:type="dxa"/>
            <w:noWrap w:val="0"/>
            <w:vAlign w:val="top"/>
          </w:tcPr>
          <w:p w14:paraId="3179F14E">
            <w:pPr>
              <w:widowControl/>
              <w:spacing w:before="141" w:line="360" w:lineRule="auto"/>
              <w:jc w:val="center"/>
              <w:rPr>
                <w:rFonts w:hint="eastAsia" w:ascii="仿宋" w:hAnsi="仿宋" w:eastAsia="仿宋" w:cs="仿宋"/>
                <w:color w:val="auto"/>
                <w:kern w:val="0"/>
                <w:sz w:val="24"/>
                <w:highlight w:val="none"/>
              </w:rPr>
            </w:pPr>
          </w:p>
        </w:tc>
        <w:tc>
          <w:tcPr>
            <w:tcW w:w="2034" w:type="dxa"/>
            <w:noWrap w:val="0"/>
            <w:vAlign w:val="top"/>
          </w:tcPr>
          <w:p w14:paraId="79AEAD29">
            <w:pPr>
              <w:widowControl/>
              <w:spacing w:before="141" w:line="360" w:lineRule="auto"/>
              <w:jc w:val="center"/>
              <w:rPr>
                <w:rFonts w:hint="eastAsia" w:ascii="仿宋" w:hAnsi="仿宋" w:eastAsia="仿宋" w:cs="仿宋"/>
                <w:color w:val="auto"/>
                <w:kern w:val="0"/>
                <w:sz w:val="24"/>
                <w:highlight w:val="none"/>
              </w:rPr>
            </w:pPr>
          </w:p>
        </w:tc>
      </w:tr>
    </w:tbl>
    <w:p w14:paraId="2ACB6D76">
      <w:pPr>
        <w:bidi w:val="0"/>
        <w:rPr>
          <w:rFonts w:hint="eastAsia"/>
          <w:color w:val="auto"/>
          <w:highlight w:val="none"/>
        </w:rPr>
      </w:pPr>
    </w:p>
    <w:p w14:paraId="6620B044">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B5A0C28">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中小</w:t>
      </w:r>
      <w:r>
        <w:rPr>
          <w:rFonts w:hint="eastAsia" w:ascii="仿宋" w:hAnsi="仿宋" w:eastAsia="仿宋" w:cs="仿宋"/>
          <w:b/>
          <w:color w:val="auto"/>
          <w:sz w:val="32"/>
          <w:szCs w:val="32"/>
          <w:highlight w:val="none"/>
          <w:lang w:val="en-US" w:eastAsia="zh-CN"/>
        </w:rPr>
        <w:t>微</w:t>
      </w:r>
      <w:r>
        <w:rPr>
          <w:rFonts w:hint="eastAsia" w:ascii="仿宋" w:hAnsi="仿宋" w:eastAsia="仿宋" w:cs="仿宋"/>
          <w:b/>
          <w:color w:val="auto"/>
          <w:sz w:val="32"/>
          <w:szCs w:val="32"/>
          <w:highlight w:val="none"/>
        </w:rPr>
        <w:t>企业声明函</w:t>
      </w:r>
    </w:p>
    <w:p w14:paraId="6572DE03">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p>
    <w:p w14:paraId="7A3E998E">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本公司郑重声明，根据《政府采购促进中小企业发展管理办法》（财库﹝2020﹞46 号）的规定，本公司为______（请填写：中型、小型、微型）企业。即，本公司同时满足以下条件：</w:t>
      </w:r>
    </w:p>
    <w:p w14:paraId="27DAB603">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483BBDDB">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A231D8F">
      <w:pPr>
        <w:pStyle w:val="11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61155074">
      <w:pPr>
        <w:pStyle w:val="116"/>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企业名称（盖章）：</w:t>
      </w:r>
    </w:p>
    <w:p w14:paraId="1851F7C2">
      <w:pPr>
        <w:pStyle w:val="116"/>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7E0E7DB7">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57F8A9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lang w:val="en-US" w:eastAsia="zh-CN"/>
        </w:rPr>
        <w:t>B</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价格</w:t>
      </w:r>
      <w:r>
        <w:rPr>
          <w:rFonts w:hint="eastAsia" w:ascii="仿宋" w:hAnsi="仿宋" w:eastAsia="仿宋" w:cs="仿宋"/>
          <w:b/>
          <w:color w:val="auto"/>
          <w:sz w:val="28"/>
          <w:szCs w:val="28"/>
          <w:highlight w:val="none"/>
        </w:rPr>
        <w:t>标文件</w:t>
      </w:r>
      <w:r>
        <w:rPr>
          <w:rFonts w:hint="eastAsia" w:ascii="仿宋" w:hAnsi="仿宋" w:eastAsia="仿宋" w:cs="仿宋"/>
          <w:b w:val="0"/>
          <w:bCs w:val="0"/>
          <w:color w:val="auto"/>
          <w:sz w:val="21"/>
          <w:szCs w:val="21"/>
          <w:highlight w:val="none"/>
          <w:u w:val="single"/>
        </w:rPr>
        <w:t>（一个密封包，内含：1份“正本”和2份“副本”。）</w:t>
      </w:r>
    </w:p>
    <w:p w14:paraId="1BD6926A">
      <w:pPr>
        <w:bidi w:val="0"/>
        <w:rPr>
          <w:rFonts w:hint="eastAsia"/>
          <w:color w:val="auto"/>
          <w:highlight w:val="none"/>
        </w:rPr>
      </w:pPr>
    </w:p>
    <w:p w14:paraId="549ABA82">
      <w:pPr>
        <w:spacing w:line="500" w:lineRule="exact"/>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lang w:eastAsia="zh-CN"/>
        </w:rPr>
        <w:t>投标报价</w:t>
      </w:r>
      <w:r>
        <w:rPr>
          <w:rFonts w:hint="eastAsia" w:ascii="仿宋" w:hAnsi="仿宋" w:eastAsia="仿宋" w:cs="仿宋"/>
          <w:b/>
          <w:color w:val="auto"/>
          <w:sz w:val="32"/>
          <w:szCs w:val="32"/>
          <w:highlight w:val="none"/>
        </w:rPr>
        <w:t>总表（开标一览表）</w:t>
      </w:r>
    </w:p>
    <w:p w14:paraId="393A1A11">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bl>
      <w:tblPr>
        <w:tblStyle w:val="34"/>
        <w:tblW w:w="902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4"/>
        <w:gridCol w:w="3005"/>
        <w:gridCol w:w="1907"/>
        <w:gridCol w:w="2180"/>
      </w:tblGrid>
      <w:tr w14:paraId="5E7B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8"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442EC1EE">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3005" w:type="dxa"/>
            <w:tcBorders>
              <w:top w:val="single" w:color="auto" w:sz="4" w:space="0"/>
              <w:left w:val="single" w:color="auto" w:sz="4" w:space="0"/>
              <w:bottom w:val="single" w:color="auto" w:sz="4" w:space="0"/>
              <w:right w:val="single" w:color="auto" w:sz="4" w:space="0"/>
            </w:tcBorders>
            <w:vAlign w:val="center"/>
          </w:tcPr>
          <w:p w14:paraId="53ABB249">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元/年</w:t>
            </w:r>
            <w:r>
              <w:rPr>
                <w:rFonts w:hint="eastAsia" w:ascii="仿宋" w:hAnsi="仿宋" w:eastAsia="仿宋" w:cs="仿宋"/>
                <w:b/>
                <w:bCs/>
                <w:color w:val="auto"/>
                <w:sz w:val="28"/>
                <w:szCs w:val="28"/>
                <w:highlight w:val="none"/>
              </w:rPr>
              <w:t>）</w:t>
            </w:r>
          </w:p>
        </w:tc>
        <w:tc>
          <w:tcPr>
            <w:tcW w:w="1907" w:type="dxa"/>
            <w:tcBorders>
              <w:top w:val="single" w:color="auto" w:sz="4" w:space="0"/>
              <w:left w:val="single" w:color="auto" w:sz="4" w:space="0"/>
              <w:bottom w:val="single" w:color="auto" w:sz="4" w:space="0"/>
              <w:right w:val="single" w:color="auto" w:sz="4" w:space="0"/>
            </w:tcBorders>
            <w:vAlign w:val="center"/>
          </w:tcPr>
          <w:p w14:paraId="1C0BF74D">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项目完成时间</w:t>
            </w:r>
          </w:p>
        </w:tc>
        <w:tc>
          <w:tcPr>
            <w:tcW w:w="2180" w:type="dxa"/>
            <w:tcBorders>
              <w:top w:val="single" w:color="auto" w:sz="4" w:space="0"/>
              <w:left w:val="single" w:color="auto" w:sz="4" w:space="0"/>
              <w:bottom w:val="single" w:color="auto" w:sz="4" w:space="0"/>
              <w:right w:val="single" w:color="auto" w:sz="4" w:space="0"/>
            </w:tcBorders>
            <w:vAlign w:val="center"/>
          </w:tcPr>
          <w:p w14:paraId="794AB3A5">
            <w:pPr>
              <w:kinsoku w:val="0"/>
              <w:topLinePunct/>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付款方式</w:t>
            </w:r>
          </w:p>
        </w:tc>
      </w:tr>
      <w:tr w14:paraId="789FE0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1"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0838B9D3">
            <w:pPr>
              <w:kinsoku w:val="0"/>
              <w:topLinePunct/>
              <w:snapToGrid w:val="0"/>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南通卫校1号及2号配电间高压配电维保服务项目</w:t>
            </w:r>
          </w:p>
        </w:tc>
        <w:tc>
          <w:tcPr>
            <w:tcW w:w="3005" w:type="dxa"/>
            <w:tcBorders>
              <w:top w:val="single" w:color="auto" w:sz="4" w:space="0"/>
              <w:left w:val="single" w:color="auto" w:sz="4" w:space="0"/>
              <w:bottom w:val="single" w:color="auto" w:sz="4" w:space="0"/>
              <w:right w:val="single" w:color="auto" w:sz="4" w:space="0"/>
            </w:tcBorders>
            <w:vAlign w:val="center"/>
          </w:tcPr>
          <w:p w14:paraId="32D71D30">
            <w:pPr>
              <w:kinsoku w:val="0"/>
              <w:topLinePunct/>
              <w:snapToGrid w:val="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2A1741EE">
            <w:pPr>
              <w:kinsoku w:val="0"/>
              <w:topLinePunct/>
              <w:snapToGrid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 xml:space="preserve"> </w:t>
            </w:r>
          </w:p>
        </w:tc>
        <w:tc>
          <w:tcPr>
            <w:tcW w:w="1907" w:type="dxa"/>
            <w:tcBorders>
              <w:top w:val="single" w:color="auto" w:sz="4" w:space="0"/>
              <w:left w:val="single" w:color="auto" w:sz="4" w:space="0"/>
              <w:bottom w:val="single" w:color="auto" w:sz="4" w:space="0"/>
              <w:right w:val="single" w:color="auto" w:sz="4" w:space="0"/>
            </w:tcBorders>
            <w:vAlign w:val="center"/>
          </w:tcPr>
          <w:p w14:paraId="646799E2">
            <w:pPr>
              <w:kinsoku w:val="0"/>
              <w:topLinePunct/>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完全响应</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要求</w:t>
            </w:r>
          </w:p>
        </w:tc>
        <w:tc>
          <w:tcPr>
            <w:tcW w:w="2180" w:type="dxa"/>
            <w:tcBorders>
              <w:top w:val="single" w:color="auto" w:sz="4" w:space="0"/>
              <w:left w:val="single" w:color="auto" w:sz="4" w:space="0"/>
              <w:bottom w:val="single" w:color="auto" w:sz="4" w:space="0"/>
              <w:right w:val="single" w:color="auto" w:sz="4" w:space="0"/>
            </w:tcBorders>
            <w:vAlign w:val="center"/>
          </w:tcPr>
          <w:p w14:paraId="65FE88B8">
            <w:pPr>
              <w:kinsoku w:val="0"/>
              <w:topLinePunct/>
              <w:snapToGrid w:val="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完全响应</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要求的付款方式</w:t>
            </w:r>
          </w:p>
        </w:tc>
      </w:tr>
    </w:tbl>
    <w:p w14:paraId="59F2B119">
      <w:pPr>
        <w:snapToGrid w:val="0"/>
        <w:spacing w:line="500" w:lineRule="exact"/>
        <w:ind w:left="1322" w:hanging="1321" w:hangingChars="472"/>
        <w:rPr>
          <w:rFonts w:hint="eastAsia" w:ascii="仿宋" w:hAnsi="仿宋" w:eastAsia="仿宋" w:cs="仿宋"/>
          <w:color w:val="auto"/>
          <w:sz w:val="28"/>
          <w:szCs w:val="28"/>
          <w:highlight w:val="none"/>
        </w:rPr>
      </w:pPr>
    </w:p>
    <w:p w14:paraId="31230674">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 xml:space="preserve">：（盖章）             </w:t>
      </w:r>
    </w:p>
    <w:p w14:paraId="70307D38">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r>
        <w:rPr>
          <w:rFonts w:hint="eastAsia" w:ascii="仿宋" w:hAnsi="仿宋" w:eastAsia="仿宋" w:cs="仿宋"/>
          <w:color w:val="auto"/>
          <w:sz w:val="28"/>
          <w:szCs w:val="28"/>
          <w:highlight w:val="none"/>
          <w:lang w:eastAsia="zh-CN"/>
        </w:rPr>
        <w:t>被委托授权人</w:t>
      </w:r>
      <w:r>
        <w:rPr>
          <w:rFonts w:hint="eastAsia" w:ascii="仿宋" w:hAnsi="仿宋" w:eastAsia="仿宋" w:cs="仿宋"/>
          <w:color w:val="auto"/>
          <w:sz w:val="28"/>
          <w:szCs w:val="28"/>
          <w:highlight w:val="none"/>
        </w:rPr>
        <w:t>（签字或盖章）：</w:t>
      </w:r>
    </w:p>
    <w:p w14:paraId="106CB09B">
      <w:pPr>
        <w:snapToGrid w:val="0"/>
        <w:spacing w:line="500" w:lineRule="exact"/>
        <w:ind w:left="1322" w:hanging="1321" w:hangingChars="47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7AB38C1C">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color w:val="auto"/>
          <w:sz w:val="28"/>
          <w:szCs w:val="28"/>
          <w:highlight w:val="none"/>
        </w:rPr>
      </w:pPr>
    </w:p>
    <w:p w14:paraId="06AA6E6D">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67C43611">
      <w:pPr>
        <w:pStyle w:val="110"/>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（1）本表为格式表，不得自行改动，必须提供，否则视为未实质性响应询价文件。</w:t>
      </w:r>
    </w:p>
    <w:p w14:paraId="36E46363">
      <w:pPr>
        <w:pStyle w:val="110"/>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（2）投标总报价应包括：</w:t>
      </w:r>
    </w:p>
    <w:p w14:paraId="25A0C181">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询价文件采购要求的所有费用。</w:t>
      </w:r>
    </w:p>
    <w:p w14:paraId="4F02E434">
      <w:pPr>
        <w:rPr>
          <w:rFonts w:hint="eastAsia" w:ascii="仿宋" w:hAnsi="仿宋" w:eastAsia="仿宋" w:cs="仿宋"/>
          <w:color w:val="auto"/>
          <w:kern w:val="2"/>
          <w:sz w:val="28"/>
          <w:szCs w:val="28"/>
          <w:highlight w:val="none"/>
          <w:lang w:val="en-US" w:eastAsia="zh-CN" w:bidi="ar-SA"/>
        </w:rPr>
      </w:pPr>
    </w:p>
    <w:sectPr>
      <w:footerReference r:id="rId3"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ABB">
    <w:pPr>
      <w:pStyle w:val="21"/>
      <w:jc w:val="center"/>
    </w:pPr>
    <w:r>
      <w:fldChar w:fldCharType="begin"/>
    </w:r>
    <w:r>
      <w:instrText xml:space="preserve"> PAGE   \* MERGEFORMAT </w:instrText>
    </w:r>
    <w:r>
      <w:fldChar w:fldCharType="separate"/>
    </w:r>
    <w:r>
      <w:rPr>
        <w:lang w:val="zh-CN" w:eastAsia="zh-CN"/>
      </w:rPr>
      <w:t>39</w:t>
    </w:r>
    <w:r>
      <w:fldChar w:fldCharType="end"/>
    </w:r>
  </w:p>
  <w:p w14:paraId="59B56F0E">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275E5"/>
    <w:multiLevelType w:val="singleLevel"/>
    <w:tmpl w:val="3F4275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4CF1"/>
    <w:rsid w:val="00D8680C"/>
    <w:rsid w:val="016F361F"/>
    <w:rsid w:val="01D31020"/>
    <w:rsid w:val="01DB0CCF"/>
    <w:rsid w:val="020D4721"/>
    <w:rsid w:val="03231B33"/>
    <w:rsid w:val="034F71B9"/>
    <w:rsid w:val="04A62A1C"/>
    <w:rsid w:val="060B1BC2"/>
    <w:rsid w:val="06F35CC1"/>
    <w:rsid w:val="07B54D24"/>
    <w:rsid w:val="089E01F7"/>
    <w:rsid w:val="08A802E5"/>
    <w:rsid w:val="09181303"/>
    <w:rsid w:val="09BF3923"/>
    <w:rsid w:val="0A3E37D4"/>
    <w:rsid w:val="0AF618DB"/>
    <w:rsid w:val="0B59510F"/>
    <w:rsid w:val="0B5C03FE"/>
    <w:rsid w:val="0B7078E0"/>
    <w:rsid w:val="0BCC789C"/>
    <w:rsid w:val="0BF346E8"/>
    <w:rsid w:val="0C05627A"/>
    <w:rsid w:val="0C0D512F"/>
    <w:rsid w:val="0C272694"/>
    <w:rsid w:val="0CB644DB"/>
    <w:rsid w:val="0CE00A95"/>
    <w:rsid w:val="0D1C4718"/>
    <w:rsid w:val="0D3D1F3C"/>
    <w:rsid w:val="0DBD4932"/>
    <w:rsid w:val="0DDC057E"/>
    <w:rsid w:val="0F152C78"/>
    <w:rsid w:val="0F6F56CA"/>
    <w:rsid w:val="0F9F3204"/>
    <w:rsid w:val="0FA61B22"/>
    <w:rsid w:val="106901C0"/>
    <w:rsid w:val="111A5862"/>
    <w:rsid w:val="12DD1CFF"/>
    <w:rsid w:val="1438586F"/>
    <w:rsid w:val="143F42F3"/>
    <w:rsid w:val="153B5B0F"/>
    <w:rsid w:val="155142DE"/>
    <w:rsid w:val="15DF7B3C"/>
    <w:rsid w:val="16257519"/>
    <w:rsid w:val="166C15DE"/>
    <w:rsid w:val="16734E86"/>
    <w:rsid w:val="16810BF3"/>
    <w:rsid w:val="16D0666A"/>
    <w:rsid w:val="16DA4A21"/>
    <w:rsid w:val="17527FA4"/>
    <w:rsid w:val="17892EE2"/>
    <w:rsid w:val="17E47176"/>
    <w:rsid w:val="17F338DD"/>
    <w:rsid w:val="180C06D7"/>
    <w:rsid w:val="18100480"/>
    <w:rsid w:val="19531188"/>
    <w:rsid w:val="1A442663"/>
    <w:rsid w:val="1A44604F"/>
    <w:rsid w:val="1A5A1E87"/>
    <w:rsid w:val="1A7D49DD"/>
    <w:rsid w:val="1ABF28A8"/>
    <w:rsid w:val="1AD339E7"/>
    <w:rsid w:val="1B6A1FAB"/>
    <w:rsid w:val="1B850F86"/>
    <w:rsid w:val="1B8834B3"/>
    <w:rsid w:val="1BC0019A"/>
    <w:rsid w:val="1D187DD7"/>
    <w:rsid w:val="1D5666C8"/>
    <w:rsid w:val="1D7D062C"/>
    <w:rsid w:val="1DD737EE"/>
    <w:rsid w:val="1DE06B47"/>
    <w:rsid w:val="1DF443A0"/>
    <w:rsid w:val="1E317675"/>
    <w:rsid w:val="1E3414C5"/>
    <w:rsid w:val="1E827BFE"/>
    <w:rsid w:val="1EC21DA9"/>
    <w:rsid w:val="1EE15C31"/>
    <w:rsid w:val="1EEE7042"/>
    <w:rsid w:val="1F0E30DD"/>
    <w:rsid w:val="1F3A4035"/>
    <w:rsid w:val="1F4B4F23"/>
    <w:rsid w:val="1FC212A4"/>
    <w:rsid w:val="20256C41"/>
    <w:rsid w:val="20365FFB"/>
    <w:rsid w:val="204576BD"/>
    <w:rsid w:val="21B07443"/>
    <w:rsid w:val="21B87493"/>
    <w:rsid w:val="22813D29"/>
    <w:rsid w:val="22853819"/>
    <w:rsid w:val="233C2E08"/>
    <w:rsid w:val="23CB2F16"/>
    <w:rsid w:val="247C5D7F"/>
    <w:rsid w:val="24C813D4"/>
    <w:rsid w:val="25537BFE"/>
    <w:rsid w:val="257302A1"/>
    <w:rsid w:val="258778A8"/>
    <w:rsid w:val="259A0317"/>
    <w:rsid w:val="25DA747E"/>
    <w:rsid w:val="26102CE7"/>
    <w:rsid w:val="263A2FA8"/>
    <w:rsid w:val="263A4DC7"/>
    <w:rsid w:val="266100F9"/>
    <w:rsid w:val="2680332A"/>
    <w:rsid w:val="274C6FFB"/>
    <w:rsid w:val="278B5B7D"/>
    <w:rsid w:val="2835183D"/>
    <w:rsid w:val="288325A9"/>
    <w:rsid w:val="28DB23E5"/>
    <w:rsid w:val="29150366"/>
    <w:rsid w:val="292C3D51"/>
    <w:rsid w:val="29414BE3"/>
    <w:rsid w:val="295E3A56"/>
    <w:rsid w:val="2A2E29E8"/>
    <w:rsid w:val="2AC40DD1"/>
    <w:rsid w:val="2B625BC4"/>
    <w:rsid w:val="2B9B691F"/>
    <w:rsid w:val="2BFF6223"/>
    <w:rsid w:val="2C534414"/>
    <w:rsid w:val="2C6E3570"/>
    <w:rsid w:val="2C8E24BE"/>
    <w:rsid w:val="2C934D84"/>
    <w:rsid w:val="2CBD64F3"/>
    <w:rsid w:val="2CD74080"/>
    <w:rsid w:val="2CE52702"/>
    <w:rsid w:val="2D23171B"/>
    <w:rsid w:val="2DE24215"/>
    <w:rsid w:val="2E9A689E"/>
    <w:rsid w:val="2EE76BCE"/>
    <w:rsid w:val="2F954AD0"/>
    <w:rsid w:val="3021158F"/>
    <w:rsid w:val="305F7D9F"/>
    <w:rsid w:val="30FA7AC8"/>
    <w:rsid w:val="311100D9"/>
    <w:rsid w:val="31F77B64"/>
    <w:rsid w:val="320A7897"/>
    <w:rsid w:val="32B37F2E"/>
    <w:rsid w:val="32BF0681"/>
    <w:rsid w:val="32D8470B"/>
    <w:rsid w:val="32FD4455"/>
    <w:rsid w:val="32FF1D8F"/>
    <w:rsid w:val="33525131"/>
    <w:rsid w:val="339F0C19"/>
    <w:rsid w:val="33B536F1"/>
    <w:rsid w:val="33EA6E4F"/>
    <w:rsid w:val="340F5638"/>
    <w:rsid w:val="36611C66"/>
    <w:rsid w:val="37DB3AAC"/>
    <w:rsid w:val="383218F5"/>
    <w:rsid w:val="396C7089"/>
    <w:rsid w:val="397A17A6"/>
    <w:rsid w:val="39EE3C6E"/>
    <w:rsid w:val="3A606BEE"/>
    <w:rsid w:val="3A9B4BB8"/>
    <w:rsid w:val="3AB900AC"/>
    <w:rsid w:val="3AD1189A"/>
    <w:rsid w:val="3B2E1944"/>
    <w:rsid w:val="3B354E78"/>
    <w:rsid w:val="3B944428"/>
    <w:rsid w:val="3BBF2C52"/>
    <w:rsid w:val="3BBF6D7F"/>
    <w:rsid w:val="3C103CD9"/>
    <w:rsid w:val="3C742737"/>
    <w:rsid w:val="3D1B6DFC"/>
    <w:rsid w:val="3DC254CA"/>
    <w:rsid w:val="3DF243FA"/>
    <w:rsid w:val="3E8D3FC7"/>
    <w:rsid w:val="3EB47508"/>
    <w:rsid w:val="3F7942AE"/>
    <w:rsid w:val="3FE43E1D"/>
    <w:rsid w:val="40175FA1"/>
    <w:rsid w:val="40337D20"/>
    <w:rsid w:val="40646D0C"/>
    <w:rsid w:val="42540DA9"/>
    <w:rsid w:val="42D35CD5"/>
    <w:rsid w:val="4370122A"/>
    <w:rsid w:val="441E6911"/>
    <w:rsid w:val="444F21E0"/>
    <w:rsid w:val="44511355"/>
    <w:rsid w:val="452C37C2"/>
    <w:rsid w:val="46A614B6"/>
    <w:rsid w:val="46B75F04"/>
    <w:rsid w:val="46BA6852"/>
    <w:rsid w:val="46F54B62"/>
    <w:rsid w:val="472965B9"/>
    <w:rsid w:val="47E553F2"/>
    <w:rsid w:val="48896583"/>
    <w:rsid w:val="48D33D3E"/>
    <w:rsid w:val="491C4628"/>
    <w:rsid w:val="492F09D6"/>
    <w:rsid w:val="49793828"/>
    <w:rsid w:val="49A168DB"/>
    <w:rsid w:val="49EA0282"/>
    <w:rsid w:val="4A3E412A"/>
    <w:rsid w:val="4A895743"/>
    <w:rsid w:val="4AAA5C63"/>
    <w:rsid w:val="4AB60164"/>
    <w:rsid w:val="4AEA6060"/>
    <w:rsid w:val="4B8B15F1"/>
    <w:rsid w:val="4BFB5105"/>
    <w:rsid w:val="4C6D7FC9"/>
    <w:rsid w:val="4D76221E"/>
    <w:rsid w:val="4EF828C0"/>
    <w:rsid w:val="4F0E1F2B"/>
    <w:rsid w:val="4F6F4D85"/>
    <w:rsid w:val="4FC3106B"/>
    <w:rsid w:val="50047BC4"/>
    <w:rsid w:val="50221402"/>
    <w:rsid w:val="51556929"/>
    <w:rsid w:val="51A3244E"/>
    <w:rsid w:val="51F70026"/>
    <w:rsid w:val="525E180D"/>
    <w:rsid w:val="52D7593E"/>
    <w:rsid w:val="532D7587"/>
    <w:rsid w:val="53E73A84"/>
    <w:rsid w:val="53EB1733"/>
    <w:rsid w:val="54921C42"/>
    <w:rsid w:val="54DE4E87"/>
    <w:rsid w:val="56262642"/>
    <w:rsid w:val="56717635"/>
    <w:rsid w:val="56D60F7E"/>
    <w:rsid w:val="57392DCE"/>
    <w:rsid w:val="57752E80"/>
    <w:rsid w:val="577E69EF"/>
    <w:rsid w:val="57F16C7F"/>
    <w:rsid w:val="5814296E"/>
    <w:rsid w:val="585D2567"/>
    <w:rsid w:val="588875E4"/>
    <w:rsid w:val="588B0E82"/>
    <w:rsid w:val="58B8779D"/>
    <w:rsid w:val="590F1031"/>
    <w:rsid w:val="59992652"/>
    <w:rsid w:val="5B6339F0"/>
    <w:rsid w:val="5B8322E4"/>
    <w:rsid w:val="5C090A3C"/>
    <w:rsid w:val="5CF811DB"/>
    <w:rsid w:val="5D1E78AD"/>
    <w:rsid w:val="5D635F29"/>
    <w:rsid w:val="5D6972B8"/>
    <w:rsid w:val="5E272663"/>
    <w:rsid w:val="5E694788"/>
    <w:rsid w:val="5E8C7702"/>
    <w:rsid w:val="5F243B80"/>
    <w:rsid w:val="5F2924A8"/>
    <w:rsid w:val="5F700DD2"/>
    <w:rsid w:val="6021733C"/>
    <w:rsid w:val="6060015F"/>
    <w:rsid w:val="60924A0D"/>
    <w:rsid w:val="60C924CB"/>
    <w:rsid w:val="61142A2E"/>
    <w:rsid w:val="61B65DB0"/>
    <w:rsid w:val="62206160"/>
    <w:rsid w:val="627541E9"/>
    <w:rsid w:val="62E418BB"/>
    <w:rsid w:val="62F31AFE"/>
    <w:rsid w:val="63AD4BBC"/>
    <w:rsid w:val="63D70ECA"/>
    <w:rsid w:val="63DE16B9"/>
    <w:rsid w:val="65B05059"/>
    <w:rsid w:val="65D43361"/>
    <w:rsid w:val="660569E2"/>
    <w:rsid w:val="66195D1F"/>
    <w:rsid w:val="669238F3"/>
    <w:rsid w:val="66BE2423"/>
    <w:rsid w:val="66EF5667"/>
    <w:rsid w:val="678A2757"/>
    <w:rsid w:val="67B83316"/>
    <w:rsid w:val="67C314C5"/>
    <w:rsid w:val="68182DDD"/>
    <w:rsid w:val="69B144C0"/>
    <w:rsid w:val="69BD1270"/>
    <w:rsid w:val="69CE4E6D"/>
    <w:rsid w:val="69F34AD9"/>
    <w:rsid w:val="6A6261E4"/>
    <w:rsid w:val="6A6A2D76"/>
    <w:rsid w:val="6A6E39E0"/>
    <w:rsid w:val="6A7C4C8E"/>
    <w:rsid w:val="6AB62858"/>
    <w:rsid w:val="6AD54BD0"/>
    <w:rsid w:val="6ADB64CE"/>
    <w:rsid w:val="6B785296"/>
    <w:rsid w:val="6B8F210E"/>
    <w:rsid w:val="6C163C11"/>
    <w:rsid w:val="6C3C753D"/>
    <w:rsid w:val="6D6D6950"/>
    <w:rsid w:val="6D9640F9"/>
    <w:rsid w:val="6DF86F1D"/>
    <w:rsid w:val="6E22598D"/>
    <w:rsid w:val="6EE81F04"/>
    <w:rsid w:val="6F6F28E4"/>
    <w:rsid w:val="6F88317F"/>
    <w:rsid w:val="6FA10EE2"/>
    <w:rsid w:val="6FCA0E2B"/>
    <w:rsid w:val="7004433A"/>
    <w:rsid w:val="703B2D36"/>
    <w:rsid w:val="70A266F9"/>
    <w:rsid w:val="71123A97"/>
    <w:rsid w:val="7119633D"/>
    <w:rsid w:val="7130216F"/>
    <w:rsid w:val="727B1B10"/>
    <w:rsid w:val="72CB03A1"/>
    <w:rsid w:val="72D82ABE"/>
    <w:rsid w:val="72F5541E"/>
    <w:rsid w:val="73A31A4D"/>
    <w:rsid w:val="74085EF6"/>
    <w:rsid w:val="7476433D"/>
    <w:rsid w:val="748F53FE"/>
    <w:rsid w:val="7568446C"/>
    <w:rsid w:val="75C54CC1"/>
    <w:rsid w:val="75FB71EF"/>
    <w:rsid w:val="7613626B"/>
    <w:rsid w:val="762F64AC"/>
    <w:rsid w:val="765C7562"/>
    <w:rsid w:val="768D3BBF"/>
    <w:rsid w:val="76CA0970"/>
    <w:rsid w:val="76EB0991"/>
    <w:rsid w:val="77AC2823"/>
    <w:rsid w:val="78247F45"/>
    <w:rsid w:val="78436C2C"/>
    <w:rsid w:val="7872306D"/>
    <w:rsid w:val="79983E9C"/>
    <w:rsid w:val="7A3A405E"/>
    <w:rsid w:val="7A540C7C"/>
    <w:rsid w:val="7A73229B"/>
    <w:rsid w:val="7AC87A1C"/>
    <w:rsid w:val="7B5E4865"/>
    <w:rsid w:val="7B8F646A"/>
    <w:rsid w:val="7BDC361F"/>
    <w:rsid w:val="7BDD4FA8"/>
    <w:rsid w:val="7C111E80"/>
    <w:rsid w:val="7C374CF9"/>
    <w:rsid w:val="7CA53A11"/>
    <w:rsid w:val="7D2012E9"/>
    <w:rsid w:val="7D2F2869"/>
    <w:rsid w:val="7D650960"/>
    <w:rsid w:val="7F005876"/>
    <w:rsid w:val="7F032C71"/>
    <w:rsid w:val="7FAE08F2"/>
    <w:rsid w:val="7FC75190"/>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5"/>
    <w:link w:val="44"/>
    <w:qFormat/>
    <w:uiPriority w:val="0"/>
    <w:pPr>
      <w:keepNext/>
      <w:keepLines/>
      <w:spacing w:before="260" w:after="260" w:line="416" w:lineRule="auto"/>
      <w:outlineLvl w:val="2"/>
    </w:pPr>
    <w:rPr>
      <w:rFonts w:ascii="Times New Roman" w:hAnsi="Times New Roman" w:cs="Times New Roman"/>
      <w:b/>
      <w:bCs/>
      <w:i w:val="0"/>
      <w:iCs w:val="0"/>
      <w:sz w:val="32"/>
      <w:szCs w:val="32"/>
    </w:rPr>
  </w:style>
  <w:style w:type="paragraph" w:styleId="6">
    <w:name w:val="heading 4"/>
    <w:basedOn w:val="1"/>
    <w:next w:val="1"/>
    <w:link w:val="45"/>
    <w:qFormat/>
    <w:uiPriority w:val="9"/>
    <w:pPr>
      <w:keepNext/>
      <w:jc w:val="center"/>
      <w:outlineLvl w:val="3"/>
    </w:pPr>
    <w:rPr>
      <w:rFonts w:eastAsia="新宋体"/>
      <w:sz w:val="30"/>
      <w:szCs w:val="21"/>
    </w:rPr>
  </w:style>
  <w:style w:type="paragraph" w:styleId="7">
    <w:name w:val="heading 5"/>
    <w:basedOn w:val="1"/>
    <w:next w:val="1"/>
    <w:link w:val="46"/>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rFonts w:ascii="Calibri" w:hAnsi="Calibri" w:cs="Calibri"/>
      <w:i/>
      <w:iCs/>
      <w:sz w:val="20"/>
      <w:szCs w:val="20"/>
    </w:rPr>
  </w:style>
  <w:style w:type="paragraph" w:styleId="9">
    <w:name w:val="toc 7"/>
    <w:basedOn w:val="1"/>
    <w:next w:val="1"/>
    <w:qFormat/>
    <w:uiPriority w:val="39"/>
    <w:pPr>
      <w:ind w:left="1260"/>
      <w:jc w:val="left"/>
    </w:pPr>
    <w:rPr>
      <w:rFonts w:ascii="Calibri" w:hAnsi="Calibri" w:cs="Calibri"/>
      <w:sz w:val="18"/>
      <w:szCs w:val="18"/>
    </w:rPr>
  </w:style>
  <w:style w:type="paragraph" w:styleId="10">
    <w:name w:val="Normal Indent"/>
    <w:basedOn w:val="1"/>
    <w:link w:val="48"/>
    <w:qFormat/>
    <w:uiPriority w:val="0"/>
    <w:pPr>
      <w:ind w:firstLine="420"/>
    </w:pPr>
    <w:rPr>
      <w:szCs w:val="20"/>
    </w:rPr>
  </w:style>
  <w:style w:type="paragraph" w:styleId="11">
    <w:name w:val="Document Map"/>
    <w:basedOn w:val="1"/>
    <w:link w:val="49"/>
    <w:qFormat/>
    <w:uiPriority w:val="99"/>
    <w:pPr>
      <w:shd w:val="clear" w:color="auto" w:fill="000080"/>
    </w:pPr>
  </w:style>
  <w:style w:type="paragraph" w:styleId="12">
    <w:name w:val="annotation text"/>
    <w:basedOn w:val="1"/>
    <w:link w:val="50"/>
    <w:qFormat/>
    <w:uiPriority w:val="0"/>
    <w:pPr>
      <w:jc w:val="left"/>
    </w:pPr>
    <w:rPr>
      <w:szCs w:val="21"/>
    </w:rPr>
  </w:style>
  <w:style w:type="paragraph" w:styleId="13">
    <w:name w:val="Body Text"/>
    <w:basedOn w:val="1"/>
    <w:next w:val="1"/>
    <w:qFormat/>
    <w:uiPriority w:val="0"/>
    <w:pPr>
      <w:spacing w:line="400" w:lineRule="exact"/>
    </w:pPr>
    <w:rPr>
      <w:rFonts w:ascii="楷体_GB2312"/>
      <w:sz w:val="28"/>
    </w:rPr>
  </w:style>
  <w:style w:type="paragraph" w:styleId="14">
    <w:name w:val="Body Text Indent"/>
    <w:basedOn w:val="1"/>
    <w:next w:val="15"/>
    <w:link w:val="51"/>
    <w:qFormat/>
    <w:uiPriority w:val="0"/>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39"/>
    <w:pPr>
      <w:ind w:left="840"/>
      <w:jc w:val="left"/>
    </w:pPr>
    <w:rPr>
      <w:rFonts w:ascii="Calibri" w:hAnsi="Calibri" w:cs="Calibri"/>
      <w:sz w:val="18"/>
      <w:szCs w:val="18"/>
    </w:rPr>
  </w:style>
  <w:style w:type="paragraph" w:styleId="17">
    <w:name w:val="Plain Text"/>
    <w:basedOn w:val="1"/>
    <w:link w:val="52"/>
    <w:qFormat/>
    <w:uiPriority w:val="0"/>
    <w:rPr>
      <w:rFonts w:ascii="宋体" w:hAnsi="Courier New"/>
      <w:szCs w:val="21"/>
    </w:rPr>
  </w:style>
  <w:style w:type="paragraph" w:styleId="18">
    <w:name w:val="toc 8"/>
    <w:basedOn w:val="1"/>
    <w:next w:val="1"/>
    <w:qFormat/>
    <w:uiPriority w:val="39"/>
    <w:pPr>
      <w:ind w:left="1470"/>
      <w:jc w:val="left"/>
    </w:pPr>
    <w:rPr>
      <w:rFonts w:ascii="Calibri" w:hAnsi="Calibri" w:cs="Calibri"/>
      <w:sz w:val="18"/>
      <w:szCs w:val="18"/>
    </w:rPr>
  </w:style>
  <w:style w:type="paragraph" w:styleId="19">
    <w:name w:val="Date"/>
    <w:basedOn w:val="1"/>
    <w:next w:val="1"/>
    <w:link w:val="53"/>
    <w:qFormat/>
    <w:uiPriority w:val="0"/>
    <w:pPr>
      <w:ind w:left="100" w:leftChars="2500"/>
    </w:pPr>
  </w:style>
  <w:style w:type="paragraph" w:styleId="20">
    <w:name w:val="Balloon Text"/>
    <w:basedOn w:val="1"/>
    <w:link w:val="54"/>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39"/>
    <w:pPr>
      <w:ind w:left="630"/>
      <w:jc w:val="left"/>
    </w:pPr>
    <w:rPr>
      <w:rFonts w:ascii="Calibri" w:hAnsi="Calibri" w:cs="Calibri"/>
      <w:sz w:val="18"/>
      <w:szCs w:val="18"/>
    </w:rPr>
  </w:style>
  <w:style w:type="paragraph" w:styleId="25">
    <w:name w:val="toc 6"/>
    <w:basedOn w:val="1"/>
    <w:next w:val="1"/>
    <w:qFormat/>
    <w:uiPriority w:val="39"/>
    <w:pPr>
      <w:ind w:left="1050"/>
      <w:jc w:val="left"/>
    </w:pPr>
    <w:rPr>
      <w:rFonts w:ascii="Calibri" w:hAnsi="Calibri" w:cs="Calibri"/>
      <w:sz w:val="18"/>
      <w:szCs w:val="18"/>
    </w:rPr>
  </w:style>
  <w:style w:type="paragraph" w:styleId="26">
    <w:name w:val="Body Text Indent 3"/>
    <w:basedOn w:val="1"/>
    <w:link w:val="57"/>
    <w:qFormat/>
    <w:uiPriority w:val="0"/>
    <w:pPr>
      <w:spacing w:line="520" w:lineRule="exact"/>
      <w:ind w:firstLine="539" w:firstLineChars="184"/>
    </w:pPr>
    <w:rPr>
      <w:rFonts w:ascii="宋体"/>
      <w:b/>
      <w:spacing w:val="6"/>
      <w:sz w:val="28"/>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39"/>
    <w:pPr>
      <w:ind w:left="1680"/>
      <w:jc w:val="left"/>
    </w:pPr>
    <w:rPr>
      <w:rFonts w:ascii="Calibri" w:hAnsi="Calibri" w:cs="Calibri"/>
      <w:sz w:val="18"/>
      <w:szCs w:val="18"/>
    </w:rPr>
  </w:style>
  <w:style w:type="paragraph" w:styleId="29">
    <w:name w:val="HTML Preformatted"/>
    <w:basedOn w:val="1"/>
    <w:link w:val="58"/>
    <w:qFormat/>
    <w:uiPriority w:val="99"/>
    <w:pPr>
      <w:widowControl/>
      <w:jc w:val="left"/>
    </w:pPr>
    <w:rPr>
      <w:rFonts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10"/>
    <w:pPr>
      <w:spacing w:before="240" w:after="60"/>
      <w:jc w:val="center"/>
      <w:outlineLvl w:val="0"/>
    </w:pPr>
    <w:rPr>
      <w:rFonts w:ascii="Cambria" w:hAnsi="Cambria"/>
      <w:b/>
      <w:bCs/>
      <w:kern w:val="0"/>
      <w:sz w:val="32"/>
      <w:szCs w:val="32"/>
    </w:rPr>
  </w:style>
  <w:style w:type="paragraph" w:styleId="32">
    <w:name w:val="Body Text First Indent"/>
    <w:basedOn w:val="13"/>
    <w:qFormat/>
    <w:uiPriority w:val="0"/>
    <w:pPr>
      <w:tabs>
        <w:tab w:val="left" w:pos="2020"/>
        <w:tab w:val="center" w:pos="4535"/>
      </w:tabs>
      <w:ind w:firstLine="420" w:firstLineChars="100"/>
    </w:pPr>
  </w:style>
  <w:style w:type="paragraph" w:styleId="33">
    <w:name w:val="Body Text First Indent 2"/>
    <w:basedOn w:val="14"/>
    <w:qFormat/>
    <w:uiPriority w:val="0"/>
    <w:pPr>
      <w:ind w:firstLine="420" w:firstLineChars="200"/>
    </w:pPr>
    <w:rPr>
      <w:rFonts w:eastAsia="宋?"/>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paragraph" w:customStyle="1" w:styleId="41">
    <w:name w:val="Default"/>
    <w:qFormat/>
    <w:uiPriority w:val="0"/>
    <w:pPr>
      <w:autoSpaceDE w:val="0"/>
      <w:autoSpaceDN w:val="0"/>
    </w:pPr>
    <w:rPr>
      <w:rFonts w:ascii="Arial,Bold" w:hAnsi="Arial,Bold" w:eastAsia="PMingLiU" w:cs="Times New Roman"/>
      <w:lang w:val="en-US" w:eastAsia="en-US" w:bidi="ar-SA"/>
    </w:rPr>
  </w:style>
  <w:style w:type="character" w:customStyle="1" w:styleId="42">
    <w:name w:val="标题 1 Char"/>
    <w:link w:val="2"/>
    <w:qFormat/>
    <w:uiPriority w:val="0"/>
    <w:rPr>
      <w:b/>
      <w:bCs/>
      <w:kern w:val="44"/>
      <w:sz w:val="44"/>
      <w:szCs w:val="44"/>
    </w:rPr>
  </w:style>
  <w:style w:type="character" w:customStyle="1" w:styleId="43">
    <w:name w:val="标题 2 Char"/>
    <w:link w:val="3"/>
    <w:qFormat/>
    <w:uiPriority w:val="0"/>
    <w:rPr>
      <w:rFonts w:ascii="Arial" w:hAnsi="Arial" w:eastAsia="黑体"/>
      <w:b/>
      <w:bCs/>
      <w:kern w:val="2"/>
      <w:sz w:val="32"/>
      <w:szCs w:val="32"/>
    </w:rPr>
  </w:style>
  <w:style w:type="character" w:customStyle="1" w:styleId="44">
    <w:name w:val="标题 3 Char"/>
    <w:link w:val="4"/>
    <w:qFormat/>
    <w:uiPriority w:val="0"/>
    <w:rPr>
      <w:b/>
      <w:bCs/>
      <w:kern w:val="2"/>
      <w:sz w:val="32"/>
      <w:szCs w:val="32"/>
    </w:rPr>
  </w:style>
  <w:style w:type="character" w:customStyle="1" w:styleId="45">
    <w:name w:val="标题 4 Char"/>
    <w:link w:val="6"/>
    <w:qFormat/>
    <w:uiPriority w:val="9"/>
    <w:rPr>
      <w:rFonts w:eastAsia="新宋体"/>
      <w:kern w:val="2"/>
      <w:sz w:val="30"/>
      <w:szCs w:val="21"/>
    </w:rPr>
  </w:style>
  <w:style w:type="character" w:customStyle="1" w:styleId="46">
    <w:name w:val="标题 5 Char"/>
    <w:link w:val="7"/>
    <w:qFormat/>
    <w:uiPriority w:val="9"/>
    <w:rPr>
      <w:rFonts w:ascii="宋体" w:hAnsi="宋体" w:cs="宋体"/>
      <w:b/>
      <w:bCs/>
    </w:rPr>
  </w:style>
  <w:style w:type="character" w:customStyle="1" w:styleId="47">
    <w:name w:val="标题 6 Char"/>
    <w:link w:val="8"/>
    <w:qFormat/>
    <w:uiPriority w:val="9"/>
    <w:rPr>
      <w:rFonts w:ascii="宋体" w:hAnsi="宋体" w:cs="宋体"/>
      <w:b/>
      <w:bCs/>
      <w:sz w:val="15"/>
      <w:szCs w:val="15"/>
    </w:rPr>
  </w:style>
  <w:style w:type="character" w:customStyle="1" w:styleId="48">
    <w:name w:val="正文缩进 Char"/>
    <w:link w:val="10"/>
    <w:qFormat/>
    <w:uiPriority w:val="0"/>
    <w:rPr>
      <w:kern w:val="2"/>
      <w:sz w:val="21"/>
    </w:rPr>
  </w:style>
  <w:style w:type="character" w:customStyle="1" w:styleId="49">
    <w:name w:val="文档结构图 Char"/>
    <w:link w:val="11"/>
    <w:qFormat/>
    <w:uiPriority w:val="99"/>
    <w:rPr>
      <w:kern w:val="2"/>
      <w:sz w:val="21"/>
      <w:szCs w:val="24"/>
      <w:shd w:val="clear" w:color="auto" w:fill="000080"/>
    </w:rPr>
  </w:style>
  <w:style w:type="character" w:customStyle="1" w:styleId="50">
    <w:name w:val="批注文字 Char"/>
    <w:link w:val="12"/>
    <w:qFormat/>
    <w:uiPriority w:val="0"/>
    <w:rPr>
      <w:kern w:val="2"/>
      <w:sz w:val="21"/>
      <w:szCs w:val="21"/>
    </w:rPr>
  </w:style>
  <w:style w:type="character" w:customStyle="1" w:styleId="51">
    <w:name w:val="正文文本缩进 Char"/>
    <w:link w:val="14"/>
    <w:qFormat/>
    <w:uiPriority w:val="0"/>
    <w:rPr>
      <w:kern w:val="2"/>
      <w:sz w:val="21"/>
      <w:szCs w:val="24"/>
    </w:rPr>
  </w:style>
  <w:style w:type="character" w:customStyle="1" w:styleId="52">
    <w:name w:val="纯文本 Char"/>
    <w:link w:val="17"/>
    <w:qFormat/>
    <w:uiPriority w:val="0"/>
    <w:rPr>
      <w:rFonts w:ascii="宋体" w:hAnsi="Courier New" w:cs="Courier New"/>
      <w:kern w:val="2"/>
      <w:sz w:val="21"/>
      <w:szCs w:val="21"/>
    </w:rPr>
  </w:style>
  <w:style w:type="character" w:customStyle="1" w:styleId="53">
    <w:name w:val="日期 Char"/>
    <w:link w:val="19"/>
    <w:qFormat/>
    <w:uiPriority w:val="0"/>
    <w:rPr>
      <w:kern w:val="2"/>
      <w:sz w:val="21"/>
      <w:szCs w:val="24"/>
    </w:rPr>
  </w:style>
  <w:style w:type="character" w:customStyle="1" w:styleId="54">
    <w:name w:val="批注框文本 Char"/>
    <w:link w:val="20"/>
    <w:qFormat/>
    <w:uiPriority w:val="99"/>
    <w:rPr>
      <w:kern w:val="2"/>
      <w:sz w:val="18"/>
      <w:szCs w:val="18"/>
    </w:rPr>
  </w:style>
  <w:style w:type="character" w:customStyle="1" w:styleId="55">
    <w:name w:val="页脚 Char"/>
    <w:link w:val="21"/>
    <w:qFormat/>
    <w:uiPriority w:val="99"/>
    <w:rPr>
      <w:kern w:val="2"/>
      <w:sz w:val="18"/>
      <w:szCs w:val="18"/>
    </w:rPr>
  </w:style>
  <w:style w:type="character" w:customStyle="1" w:styleId="56">
    <w:name w:val="页眉 Char"/>
    <w:link w:val="22"/>
    <w:qFormat/>
    <w:uiPriority w:val="0"/>
    <w:rPr>
      <w:kern w:val="2"/>
      <w:sz w:val="18"/>
      <w:szCs w:val="18"/>
    </w:rPr>
  </w:style>
  <w:style w:type="character" w:customStyle="1" w:styleId="57">
    <w:name w:val="正文文本缩进 3 Char"/>
    <w:link w:val="26"/>
    <w:qFormat/>
    <w:uiPriority w:val="0"/>
    <w:rPr>
      <w:rFonts w:ascii="宋体"/>
      <w:b/>
      <w:spacing w:val="6"/>
      <w:kern w:val="2"/>
      <w:sz w:val="28"/>
      <w:szCs w:val="24"/>
    </w:rPr>
  </w:style>
  <w:style w:type="character" w:customStyle="1" w:styleId="58">
    <w:name w:val="HTML 预设格式 Char"/>
    <w:link w:val="29"/>
    <w:qFormat/>
    <w:uiPriority w:val="99"/>
    <w:rPr>
      <w:rFonts w:ascii="宋体" w:hAnsi="宋体" w:cs="宋体"/>
      <w:sz w:val="24"/>
      <w:szCs w:val="24"/>
    </w:rPr>
  </w:style>
  <w:style w:type="paragraph" w:customStyle="1" w:styleId="5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60">
    <w:name w:val="style4"/>
    <w:basedOn w:val="1"/>
    <w:next w:val="61"/>
    <w:qFormat/>
    <w:uiPriority w:val="0"/>
    <w:pPr>
      <w:widowControl/>
      <w:spacing w:before="280" w:after="280"/>
    </w:pPr>
    <w:rPr>
      <w:rFonts w:ascii="宋体"/>
      <w:sz w:val="18"/>
    </w:rPr>
  </w:style>
  <w:style w:type="paragraph" w:customStyle="1" w:styleId="6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1"/>
    <w:basedOn w:val="1"/>
    <w:qFormat/>
    <w:uiPriority w:val="0"/>
    <w:pPr>
      <w:spacing w:line="360" w:lineRule="auto"/>
      <w:ind w:firstLine="361"/>
    </w:pPr>
    <w:rPr>
      <w:rFonts w:ascii="宋体" w:hAnsi="宋体"/>
    </w:rPr>
  </w:style>
  <w:style w:type="paragraph" w:customStyle="1" w:styleId="63">
    <w:name w:val="正文缩进1"/>
    <w:basedOn w:val="1"/>
    <w:qFormat/>
    <w:uiPriority w:val="0"/>
    <w:pPr>
      <w:widowControl/>
      <w:ind w:firstLine="420"/>
      <w:jc w:val="left"/>
    </w:pPr>
    <w:rPr>
      <w:kern w:val="0"/>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qFormat/>
    <w:locked/>
    <w:uiPriority w:val="0"/>
    <w:rPr>
      <w:rFonts w:ascii="宋体" w:hAnsi="宋体"/>
      <w:b/>
      <w:bCs/>
      <w:color w:val="000000"/>
      <w:kern w:val="2"/>
      <w:sz w:val="32"/>
      <w:szCs w:val="32"/>
    </w:rPr>
  </w:style>
  <w:style w:type="paragraph" w:customStyle="1" w:styleId="67">
    <w:name w:val="标题 3.1"/>
    <w:basedOn w:val="4"/>
    <w:link w:val="66"/>
    <w:qFormat/>
    <w:uiPriority w:val="0"/>
    <w:pPr>
      <w:tabs>
        <w:tab w:val="left" w:pos="1440"/>
        <w:tab w:val="left" w:pos="1620"/>
      </w:tabs>
      <w:spacing w:line="600" w:lineRule="exact"/>
    </w:pPr>
    <w:rPr>
      <w:rFonts w:ascii="宋体" w:hAnsi="宋体"/>
      <w:i/>
      <w:iCs/>
      <w:color w:val="000000"/>
    </w:rPr>
  </w:style>
  <w:style w:type="paragraph" w:customStyle="1" w:styleId="68">
    <w:name w:val=" Char"/>
    <w:basedOn w:val="1"/>
    <w:qFormat/>
    <w:uiPriority w:val="0"/>
    <w:rPr>
      <w:rFonts w:ascii="Tahoma" w:hAnsi="Tahoma"/>
      <w:sz w:val="24"/>
      <w:szCs w:val="20"/>
    </w:rPr>
  </w:style>
  <w:style w:type="paragraph" w:customStyle="1" w:styleId="69">
    <w:name w:val="正文缩进4格"/>
    <w:basedOn w:val="65"/>
    <w:qFormat/>
    <w:uiPriority w:val="0"/>
    <w:pPr>
      <w:ind w:left="2" w:firstLine="538" w:firstLineChars="192"/>
    </w:pPr>
    <w:rPr>
      <w:color w:val="000000"/>
      <w:sz w:val="28"/>
    </w:rPr>
  </w:style>
  <w:style w:type="paragraph" w:customStyle="1" w:styleId="70">
    <w:name w:val=" Char Char Char Char"/>
    <w:basedOn w:val="1"/>
    <w:qFormat/>
    <w:uiPriority w:val="0"/>
    <w:rPr>
      <w:rFonts w:ascii="Tahoma" w:hAnsi="Tahoma"/>
      <w:sz w:val="24"/>
      <w:szCs w:val="20"/>
    </w:rPr>
  </w:style>
  <w:style w:type="paragraph" w:customStyle="1" w:styleId="71">
    <w:name w:val="Char1"/>
    <w:basedOn w:val="1"/>
    <w:qFormat/>
    <w:uiPriority w:val="0"/>
    <w:pPr>
      <w:tabs>
        <w:tab w:val="left" w:pos="840"/>
      </w:tabs>
      <w:ind w:left="840" w:hanging="420"/>
    </w:pPr>
    <w:rPr>
      <w:sz w:val="24"/>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 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
    <w:basedOn w:val="1"/>
    <w:qFormat/>
    <w:uiPriority w:val="0"/>
    <w:rPr>
      <w:rFonts w:ascii="Tahoma" w:hAnsi="Tahoma"/>
      <w:sz w:val="24"/>
      <w:szCs w:val="20"/>
    </w:rPr>
  </w:style>
  <w:style w:type="paragraph" w:customStyle="1" w:styleId="7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80">
    <w:name w:val="列出段落1"/>
    <w:basedOn w:val="1"/>
    <w:qFormat/>
    <w:uiPriority w:val="0"/>
    <w:pPr>
      <w:widowControl/>
      <w:ind w:left="720"/>
      <w:contextualSpacing/>
      <w:jc w:val="left"/>
    </w:pPr>
    <w:rPr>
      <w:rFonts w:ascii="Calibri" w:hAnsi="Calibri" w:cs="Calibri"/>
      <w:kern w:val="0"/>
      <w:sz w:val="24"/>
    </w:rPr>
  </w:style>
  <w:style w:type="character" w:customStyle="1" w:styleId="81">
    <w:name w:val="10"/>
    <w:qFormat/>
    <w:uiPriority w:val="0"/>
    <w:rPr>
      <w:rFonts w:hint="default" w:ascii="Times New Roman" w:hAnsi="Times New Roman" w:cs="Times New Roman"/>
    </w:rPr>
  </w:style>
  <w:style w:type="character" w:customStyle="1" w:styleId="82">
    <w:name w:val="15"/>
    <w:qFormat/>
    <w:uiPriority w:val="0"/>
    <w:rPr>
      <w:rFonts w:hint="default" w:ascii="Times New Roman" w:hAnsi="Times New Roman" w:cs="Times New Roman"/>
      <w:color w:val="0000FF"/>
    </w:rPr>
  </w:style>
  <w:style w:type="character" w:customStyle="1" w:styleId="83">
    <w:name w:val="16"/>
    <w:qFormat/>
    <w:uiPriority w:val="0"/>
    <w:rPr>
      <w:rFonts w:hint="default" w:ascii="Times New Roman" w:hAnsi="Times New Roman" w:cs="Times New Roman"/>
    </w:rPr>
  </w:style>
  <w:style w:type="character" w:customStyle="1" w:styleId="84">
    <w:name w:val="17"/>
    <w:qFormat/>
    <w:uiPriority w:val="0"/>
    <w:rPr>
      <w:rFonts w:hint="default" w:ascii="Times New Roman" w:hAnsi="Times New Roman" w:cs="Times New Roman"/>
    </w:rPr>
  </w:style>
  <w:style w:type="character" w:customStyle="1" w:styleId="85">
    <w:name w:val="18"/>
    <w:qFormat/>
    <w:uiPriority w:val="0"/>
    <w:rPr>
      <w:rFonts w:hint="eastAsia" w:ascii="宋体" w:hAnsi="宋体" w:eastAsia="宋体"/>
      <w:kern w:val="2"/>
      <w:sz w:val="18"/>
      <w:szCs w:val="18"/>
    </w:rPr>
  </w:style>
  <w:style w:type="character" w:customStyle="1" w:styleId="86">
    <w:name w:val="19"/>
    <w:qFormat/>
    <w:uiPriority w:val="0"/>
    <w:rPr>
      <w:rFonts w:hint="default" w:ascii="Times New Roman" w:hAnsi="Times New Roman" w:cs="Times New Roman"/>
      <w:b/>
      <w:bCs/>
      <w:vanish/>
    </w:rPr>
  </w:style>
  <w:style w:type="character" w:customStyle="1" w:styleId="87">
    <w:name w:val="20"/>
    <w:qFormat/>
    <w:uiPriority w:val="0"/>
    <w:rPr>
      <w:rFonts w:hint="default" w:ascii="Times New Roman" w:hAnsi="Times New Roman" w:cs="Times New Roman"/>
    </w:rPr>
  </w:style>
  <w:style w:type="character" w:customStyle="1" w:styleId="88">
    <w:name w:val="21"/>
    <w:qFormat/>
    <w:uiPriority w:val="0"/>
    <w:rPr>
      <w:rFonts w:hint="default" w:ascii="Times New Roman" w:hAnsi="Times New Roman" w:cs="Times New Roman"/>
      <w:kern w:val="2"/>
      <w:sz w:val="18"/>
      <w:szCs w:val="18"/>
    </w:rPr>
  </w:style>
  <w:style w:type="character" w:customStyle="1" w:styleId="89">
    <w:name w:val="22"/>
    <w:qFormat/>
    <w:uiPriority w:val="0"/>
    <w:rPr>
      <w:rFonts w:hint="default" w:ascii="Times New Roman" w:hAnsi="Times New Roman" w:cs="Times New Roman"/>
    </w:rPr>
  </w:style>
  <w:style w:type="character" w:customStyle="1" w:styleId="90">
    <w:name w:val="23"/>
    <w:qFormat/>
    <w:uiPriority w:val="0"/>
    <w:rPr>
      <w:rFonts w:hint="default" w:ascii="Courier New" w:hAnsi="Courier New" w:cs="Courier New"/>
      <w:sz w:val="20"/>
      <w:szCs w:val="20"/>
    </w:rPr>
  </w:style>
  <w:style w:type="character" w:customStyle="1" w:styleId="91">
    <w:name w:val="24"/>
    <w:qFormat/>
    <w:uiPriority w:val="0"/>
    <w:rPr>
      <w:rFonts w:hint="default" w:ascii="Courier New" w:hAnsi="Courier New" w:cs="Courier New"/>
    </w:rPr>
  </w:style>
  <w:style w:type="character" w:customStyle="1" w:styleId="92">
    <w:name w:val="25"/>
    <w:qFormat/>
    <w:uiPriority w:val="0"/>
    <w:rPr>
      <w:rFonts w:hint="default" w:ascii="Times New Roman" w:hAnsi="Times New Roman" w:cs="Times New Roman"/>
      <w:b/>
      <w:bCs/>
    </w:rPr>
  </w:style>
  <w:style w:type="character" w:customStyle="1" w:styleId="93">
    <w:name w:val="26"/>
    <w:qFormat/>
    <w:uiPriority w:val="0"/>
    <w:rPr>
      <w:rFonts w:hint="default" w:ascii="Times New Roman" w:hAnsi="Times New Roman" w:cs="Times New Roman"/>
      <w:color w:val="800080"/>
    </w:rPr>
  </w:style>
  <w:style w:type="character" w:customStyle="1" w:styleId="94">
    <w:name w:val="27"/>
    <w:qFormat/>
    <w:uiPriority w:val="0"/>
    <w:rPr>
      <w:rFonts w:hint="default" w:ascii="Cambria" w:hAnsi="Cambria" w:eastAsia="宋体" w:cs="Times New Roman"/>
      <w:b/>
      <w:bCs/>
      <w:kern w:val="2"/>
      <w:sz w:val="28"/>
      <w:szCs w:val="28"/>
    </w:rPr>
  </w:style>
  <w:style w:type="character" w:customStyle="1" w:styleId="95">
    <w:name w:val="28"/>
    <w:qFormat/>
    <w:uiPriority w:val="0"/>
    <w:rPr>
      <w:rFonts w:hint="default" w:ascii="Courier New" w:hAnsi="Courier New" w:cs="Courier New"/>
      <w:sz w:val="20"/>
      <w:szCs w:val="20"/>
    </w:rPr>
  </w:style>
  <w:style w:type="character" w:customStyle="1" w:styleId="96">
    <w:name w:val="29"/>
    <w:qFormat/>
    <w:uiPriority w:val="0"/>
    <w:rPr>
      <w:rFonts w:hint="default" w:ascii="Times New Roman" w:hAnsi="Times New Roman" w:cs="Times New Roman"/>
      <w:kern w:val="2"/>
      <w:sz w:val="18"/>
      <w:szCs w:val="18"/>
    </w:rPr>
  </w:style>
  <w:style w:type="character" w:customStyle="1" w:styleId="97">
    <w:name w:val="30"/>
    <w:qFormat/>
    <w:uiPriority w:val="0"/>
    <w:rPr>
      <w:rFonts w:hint="default" w:ascii="Times New Roman" w:hAnsi="Times New Roman" w:cs="Times New Roman"/>
    </w:rPr>
  </w:style>
  <w:style w:type="character" w:customStyle="1" w:styleId="98">
    <w:name w:val="31"/>
    <w:qFormat/>
    <w:uiPriority w:val="0"/>
    <w:rPr>
      <w:rFonts w:hint="default" w:ascii="Courier New" w:hAnsi="Courier New" w:cs="Courier New"/>
      <w:sz w:val="20"/>
      <w:szCs w:val="20"/>
    </w:rPr>
  </w:style>
  <w:style w:type="character" w:customStyle="1" w:styleId="99">
    <w:name w:val="32"/>
    <w:qFormat/>
    <w:uiPriority w:val="0"/>
    <w:rPr>
      <w:rFonts w:hint="default" w:ascii="Times New Roman" w:hAnsi="Times New Roman" w:cs="Times New Roman"/>
    </w:rPr>
  </w:style>
  <w:style w:type="character" w:customStyle="1" w:styleId="100">
    <w:name w:val="33"/>
    <w:qFormat/>
    <w:uiPriority w:val="0"/>
    <w:rPr>
      <w:rFonts w:hint="default" w:ascii="Times New Roman" w:hAnsi="Times New Roman" w:cs="Times New Roman"/>
      <w:shd w:val="clear" w:color="auto" w:fill="FFFFFF"/>
    </w:rPr>
  </w:style>
  <w:style w:type="paragraph" w:customStyle="1" w:styleId="101">
    <w:name w:val="GW-正文"/>
    <w:basedOn w:val="1"/>
    <w:qFormat/>
    <w:uiPriority w:val="0"/>
    <w:pPr>
      <w:ind w:firstLine="200" w:firstLineChars="200"/>
      <w:contextualSpacing/>
    </w:pPr>
    <w:rPr>
      <w:rFonts w:eastAsia="仿宋"/>
      <w:sz w:val="28"/>
    </w:rPr>
  </w:style>
  <w:style w:type="paragraph" w:customStyle="1" w:styleId="102">
    <w:name w:val="*正文"/>
    <w:basedOn w:val="1"/>
    <w:qFormat/>
    <w:uiPriority w:val="0"/>
    <w:pPr>
      <w:ind w:firstLine="560" w:firstLineChars="200"/>
      <w:jc w:val="left"/>
    </w:pPr>
    <w:rPr>
      <w:rFonts w:ascii="仿宋_GB2312" w:hAnsi="宋体" w:cs="宋体"/>
      <w:color w:val="000000"/>
      <w:kern w:val="0"/>
      <w:sz w:val="28"/>
      <w:szCs w:val="28"/>
    </w:rPr>
  </w:style>
  <w:style w:type="paragraph" w:customStyle="1" w:styleId="103">
    <w:name w:val="List Paragraph"/>
    <w:basedOn w:val="1"/>
    <w:qFormat/>
    <w:uiPriority w:val="34"/>
    <w:pPr>
      <w:ind w:firstLine="200" w:firstLineChars="200"/>
    </w:pPr>
    <w:rPr>
      <w:rFonts w:ascii="Calibri" w:hAnsi="Calibri"/>
      <w:szCs w:val="22"/>
    </w:rPr>
  </w:style>
  <w:style w:type="character" w:customStyle="1" w:styleId="104">
    <w:name w:val="标题 1 字符"/>
    <w:qFormat/>
    <w:uiPriority w:val="0"/>
    <w:rPr>
      <w:rFonts w:ascii="宋体" w:hAnsi="宋体" w:eastAsia="黑体"/>
      <w:b/>
      <w:bCs/>
      <w:iCs/>
      <w:kern w:val="44"/>
      <w:sz w:val="36"/>
    </w:rPr>
  </w:style>
  <w:style w:type="character" w:customStyle="1" w:styleId="105">
    <w:name w:val="font01"/>
    <w:qFormat/>
    <w:uiPriority w:val="0"/>
    <w:rPr>
      <w:rFonts w:hint="eastAsia" w:ascii="仿宋" w:hAnsi="仿宋" w:eastAsia="仿宋" w:cs="仿宋"/>
      <w:color w:val="000000"/>
      <w:sz w:val="24"/>
      <w:szCs w:val="24"/>
      <w:u w:val="none"/>
    </w:rPr>
  </w:style>
  <w:style w:type="paragraph" w:customStyle="1" w:styleId="106">
    <w:name w:val="No Spacing"/>
    <w:qFormat/>
    <w:uiPriority w:val="1"/>
    <w:pPr>
      <w:widowControl w:val="0"/>
      <w:jc w:val="both"/>
    </w:pPr>
    <w:rPr>
      <w:rFonts w:ascii="Calibri" w:hAnsi="Calibri" w:eastAsia="微软雅黑" w:cs="Times New Roman"/>
      <w:lang w:val="en-US" w:eastAsia="zh-CN" w:bidi="ar-SA"/>
    </w:rPr>
  </w:style>
  <w:style w:type="character" w:customStyle="1" w:styleId="107">
    <w:name w:val="NormalCharacter"/>
    <w:semiHidden/>
    <w:qFormat/>
    <w:uiPriority w:val="0"/>
    <w:rPr>
      <w:b/>
      <w:bCs/>
      <w:color w:val="FF0000"/>
    </w:rPr>
  </w:style>
  <w:style w:type="character" w:customStyle="1" w:styleId="108">
    <w:name w:val="ca-0"/>
    <w:qFormat/>
    <w:uiPriority w:val="0"/>
  </w:style>
  <w:style w:type="paragraph" w:customStyle="1" w:styleId="109">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110">
    <w:name w:val="msolistparagraph"/>
    <w:basedOn w:val="1"/>
    <w:qFormat/>
    <w:uiPriority w:val="0"/>
    <w:pPr>
      <w:ind w:firstLine="420" w:firstLineChars="200"/>
    </w:pPr>
  </w:style>
  <w:style w:type="paragraph" w:customStyle="1" w:styleId="111">
    <w:name w:val="列出段落2"/>
    <w:basedOn w:val="1"/>
    <w:qFormat/>
    <w:uiPriority w:val="99"/>
    <w:pPr>
      <w:ind w:firstLine="420" w:firstLineChars="200"/>
    </w:pPr>
  </w:style>
  <w:style w:type="character" w:customStyle="1" w:styleId="112">
    <w:name w:val="样式 小四 加粗"/>
    <w:basedOn w:val="36"/>
    <w:qFormat/>
    <w:uiPriority w:val="0"/>
    <w:rPr>
      <w:rFonts w:eastAsia="黑体"/>
      <w:b/>
      <w:bCs/>
      <w:sz w:val="24"/>
    </w:rPr>
  </w:style>
  <w:style w:type="table" w:customStyle="1" w:styleId="113">
    <w:name w:val="网格型2"/>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sh3"/>
    <w:basedOn w:val="1"/>
    <w:qFormat/>
    <w:uiPriority w:val="0"/>
    <w:pPr>
      <w:spacing w:line="460" w:lineRule="exact"/>
      <w:jc w:val="left"/>
    </w:pPr>
    <w:rPr>
      <w:rFonts w:ascii="宋体" w:hAnsi="宋体"/>
      <w:b/>
      <w:sz w:val="21"/>
      <w:szCs w:val="21"/>
    </w:rPr>
  </w:style>
  <w:style w:type="paragraph" w:customStyle="1" w:styleId="116">
    <w:name w:val="sh4"/>
    <w:basedOn w:val="1"/>
    <w:link w:val="117"/>
    <w:qFormat/>
    <w:uiPriority w:val="0"/>
    <w:pPr>
      <w:spacing w:line="460" w:lineRule="exact"/>
      <w:ind w:firstLine="420" w:firstLineChars="200"/>
    </w:pPr>
    <w:rPr>
      <w:rFonts w:ascii="宋体" w:hAnsi="宋体"/>
      <w:sz w:val="21"/>
      <w:szCs w:val="21"/>
    </w:rPr>
  </w:style>
  <w:style w:type="character" w:customStyle="1" w:styleId="117">
    <w:name w:val="sh4 Char"/>
    <w:basedOn w:val="36"/>
    <w:link w:val="116"/>
    <w:qFormat/>
    <w:uiPriority w:val="0"/>
    <w:rPr>
      <w:rFonts w:ascii="宋体" w:hAnsi="宋体"/>
      <w:sz w:val="21"/>
      <w:szCs w:val="21"/>
    </w:rPr>
  </w:style>
  <w:style w:type="paragraph" w:customStyle="1" w:styleId="118">
    <w:name w:val="sh1"/>
    <w:basedOn w:val="31"/>
    <w:qFormat/>
    <w:uiPriority w:val="0"/>
    <w:pPr>
      <w:spacing w:before="0"/>
    </w:pPr>
  </w:style>
  <w:style w:type="paragraph" w:customStyle="1" w:styleId="119">
    <w:name w:val="sh2"/>
    <w:basedOn w:val="31"/>
    <w:qFormat/>
    <w:uiPriority w:val="0"/>
  </w:style>
  <w:style w:type="character" w:customStyle="1" w:styleId="120">
    <w:name w:val="font11"/>
    <w:basedOn w:val="36"/>
    <w:qFormat/>
    <w:uiPriority w:val="0"/>
    <w:rPr>
      <w:rFonts w:ascii="宋体" w:hAnsi="宋体" w:eastAsia="宋体"/>
      <w:color w:val="000000"/>
      <w:sz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33</Pages>
  <Words>13551</Words>
  <Characters>14099</Characters>
  <Lines>132</Lines>
  <Paragraphs>37</Paragraphs>
  <TotalTime>41</TotalTime>
  <ScaleCrop>false</ScaleCrop>
  <LinksUpToDate>false</LinksUpToDate>
  <CharactersWithSpaces>14679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User</dc:creator>
  <cp:lastModifiedBy>香蕉你个卜呐呐～</cp:lastModifiedBy>
  <cp:lastPrinted>2025-04-11T03:05:00Z</cp:lastPrinted>
  <dcterms:modified xsi:type="dcterms:W3CDTF">2025-04-24T07:13:10Z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F83D7C3023A94D91B0DFA5F7F14C8F3F_13</vt:lpwstr>
  </property>
  <property fmtid="{D5CDD505-2E9C-101B-9397-08002B2CF9AE}" pid="4" name="KSOTemplateDocerSaveRecord">
    <vt:lpwstr>eyJoZGlkIjoiMjI3YTFhOTU2NTBiNTU4MzVlNjk5OThhMjc4ODA1ZTAiLCJ1c2VySWQiOiIyNjAwODQxNzQifQ==</vt:lpwstr>
  </property>
</Properties>
</file>