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04" w:lineRule="atLeast"/>
        <w:jc w:val="center"/>
        <w:rPr>
          <w:rFonts w:hint="eastAsia" w:cs="宋体"/>
          <w:kern w:val="0"/>
          <w:sz w:val="40"/>
          <w:szCs w:val="32"/>
          <w:highlight w:val="none"/>
          <w:lang w:eastAsia="zh-CN"/>
        </w:rPr>
      </w:pPr>
      <w:r>
        <w:rPr>
          <w:rFonts w:hint="eastAsia" w:cs="宋体"/>
          <w:kern w:val="0"/>
          <w:sz w:val="40"/>
          <w:szCs w:val="32"/>
          <w:highlight w:val="none"/>
          <w:lang w:eastAsia="zh-CN"/>
        </w:rPr>
        <w:t>江苏省南通卫生高等职业技术学校中职技能大赛心肺复苏及静脉注射模型采购项目</w:t>
      </w:r>
    </w:p>
    <w:p>
      <w:pPr>
        <w:pStyle w:val="4"/>
        <w:widowControl/>
        <w:spacing w:beforeAutospacing="0" w:afterAutospacing="0" w:line="504" w:lineRule="atLeast"/>
        <w:jc w:val="center"/>
        <w:rPr>
          <w:rFonts w:hint="default" w:ascii="仿宋" w:hAnsi="仿宋" w:eastAsia="仿宋" w:cs="仿宋"/>
          <w:sz w:val="24"/>
          <w:szCs w:val="24"/>
          <w:highlight w:val="none"/>
        </w:rPr>
      </w:pPr>
      <w:r>
        <w:rPr>
          <w:rFonts w:cs="宋体"/>
          <w:kern w:val="0"/>
          <w:sz w:val="40"/>
          <w:szCs w:val="32"/>
          <w:highlight w:val="none"/>
        </w:rPr>
        <w:t>单一来源采购文件</w:t>
      </w:r>
    </w:p>
    <w:p>
      <w:pPr>
        <w:pStyle w:val="10"/>
        <w:widowControl/>
        <w:shd w:val="clear" w:color="auto" w:fill="FFFFFF"/>
        <w:spacing w:beforeAutospacing="0" w:afterAutospacing="0" w:line="46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江苏省南通卫生高等职业技术学校中职技能大赛心肺复苏及静脉注射模型采购项目</w:t>
      </w:r>
      <w:r>
        <w:rPr>
          <w:rFonts w:hint="eastAsia" w:ascii="仿宋" w:hAnsi="仿宋" w:eastAsia="仿宋" w:cs="仿宋"/>
          <w:sz w:val="28"/>
          <w:szCs w:val="28"/>
          <w:highlight w:val="none"/>
          <w:shd w:val="clear" w:color="auto" w:fill="FFFFFF"/>
        </w:rPr>
        <w:t>采用单一来源方式组织采购。采购人的单一来源采购材料</w:t>
      </w:r>
      <w:r>
        <w:rPr>
          <w:rFonts w:hint="eastAsia" w:ascii="仿宋" w:hAnsi="仿宋" w:eastAsia="仿宋" w:cs="仿宋"/>
          <w:color w:val="auto"/>
          <w:sz w:val="28"/>
          <w:szCs w:val="28"/>
          <w:highlight w:val="none"/>
          <w:shd w:val="clear" w:color="auto" w:fill="FFFFFF"/>
        </w:rPr>
        <w:t>已经于2022年</w:t>
      </w:r>
      <w:r>
        <w:rPr>
          <w:rFonts w:hint="eastAsia" w:ascii="仿宋" w:hAnsi="仿宋" w:eastAsia="仿宋" w:cs="仿宋"/>
          <w:color w:val="auto"/>
          <w:sz w:val="28"/>
          <w:szCs w:val="28"/>
          <w:highlight w:val="none"/>
          <w:shd w:val="clear" w:color="auto" w:fill="FFFFFF"/>
          <w:lang w:val="en-US" w:eastAsia="zh-CN"/>
        </w:rPr>
        <w:t>12</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19</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val="en-US" w:eastAsia="zh-CN"/>
        </w:rPr>
        <w:t>江苏省</w:t>
      </w:r>
      <w:r>
        <w:rPr>
          <w:rFonts w:hint="eastAsia" w:ascii="仿宋" w:hAnsi="仿宋" w:eastAsia="仿宋" w:cs="仿宋"/>
          <w:sz w:val="28"/>
          <w:szCs w:val="28"/>
          <w:highlight w:val="none"/>
          <w:shd w:val="clear" w:color="auto" w:fill="FFFFFF"/>
          <w:lang w:val="en-US" w:eastAsia="zh-CN"/>
        </w:rPr>
        <w:t>南通卫生高等职业技术学校网站</w:t>
      </w:r>
      <w:r>
        <w:rPr>
          <w:rFonts w:hint="eastAsia" w:ascii="仿宋" w:hAnsi="仿宋" w:eastAsia="仿宋" w:cs="仿宋"/>
          <w:sz w:val="28"/>
          <w:szCs w:val="28"/>
          <w:highlight w:val="none"/>
          <w:shd w:val="clear" w:color="auto" w:fill="FFFFFF"/>
        </w:rPr>
        <w:t>进行了网上公示，公示期内无疑义。现邀请单一来源供应商进行谈判。</w:t>
      </w:r>
    </w:p>
    <w:p>
      <w:pPr>
        <w:widowControl/>
        <w:shd w:val="clear" w:color="auto" w:fill="FFFFFF"/>
        <w:spacing w:line="460" w:lineRule="exact"/>
        <w:ind w:firstLine="562" w:firstLineChars="200"/>
        <w:jc w:val="left"/>
        <w:rPr>
          <w:rFonts w:ascii="仿宋" w:hAnsi="仿宋" w:eastAsia="仿宋" w:cs="仿宋"/>
          <w:b/>
          <w:bCs/>
          <w:sz w:val="28"/>
          <w:szCs w:val="28"/>
          <w:highlight w:val="none"/>
        </w:rPr>
      </w:pPr>
      <w:r>
        <w:rPr>
          <w:rFonts w:hint="eastAsia" w:ascii="仿宋" w:hAnsi="仿宋" w:eastAsia="仿宋" w:cs="仿宋"/>
          <w:b/>
          <w:bCs/>
          <w:kern w:val="0"/>
          <w:sz w:val="28"/>
          <w:szCs w:val="28"/>
          <w:highlight w:val="none"/>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采购人：</w:t>
      </w:r>
      <w:r>
        <w:rPr>
          <w:rFonts w:hint="eastAsia" w:ascii="仿宋" w:hAnsi="仿宋" w:eastAsia="仿宋" w:cs="仿宋"/>
          <w:color w:val="auto"/>
          <w:sz w:val="28"/>
          <w:szCs w:val="28"/>
          <w:shd w:val="clear" w:fill="FFFFFF"/>
          <w:lang w:val="en-US" w:eastAsia="zh-CN"/>
        </w:rPr>
        <w:t>江苏省南通卫生高等职业技术学校</w:t>
      </w:r>
      <w:r>
        <w:rPr>
          <w:rFonts w:hint="eastAsia" w:ascii="仿宋" w:hAnsi="仿宋" w:eastAsia="仿宋" w:cs="仿宋"/>
          <w:kern w:val="0"/>
          <w:sz w:val="28"/>
          <w:szCs w:val="28"/>
          <w:highlight w:val="none"/>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rPr>
        <w:t>项目名称：</w:t>
      </w:r>
      <w:r>
        <w:rPr>
          <w:rFonts w:hint="eastAsia" w:ascii="仿宋" w:hAnsi="仿宋" w:eastAsia="仿宋" w:cs="仿宋"/>
          <w:kern w:val="0"/>
          <w:sz w:val="28"/>
          <w:szCs w:val="28"/>
          <w:highlight w:val="none"/>
          <w:shd w:val="clear" w:color="auto" w:fill="FFFFFF"/>
          <w:lang w:eastAsia="zh-CN"/>
        </w:rPr>
        <w:t>江苏省南通卫生高等职业技术学校中职技能大赛心肺复苏及静脉注射模型采购项目</w:t>
      </w:r>
    </w:p>
    <w:p>
      <w:pPr>
        <w:widowControl/>
        <w:shd w:val="clear" w:color="auto" w:fill="FFFFFF"/>
        <w:spacing w:line="460" w:lineRule="exact"/>
        <w:ind w:firstLine="560" w:firstLineChars="200"/>
        <w:jc w:val="left"/>
        <w:rPr>
          <w:rFonts w:hint="eastAsia"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服务期：在中标后5日内完成供货并调试安装到位。</w:t>
      </w:r>
    </w:p>
    <w:p>
      <w:pPr>
        <w:widowControl/>
        <w:shd w:val="clear" w:color="auto" w:fill="FFFFFF"/>
        <w:spacing w:line="460" w:lineRule="exact"/>
        <w:ind w:firstLine="562" w:firstLineChars="200"/>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b/>
          <w:bCs/>
          <w:kern w:val="0"/>
          <w:sz w:val="28"/>
          <w:szCs w:val="28"/>
          <w:highlight w:val="none"/>
          <w:shd w:val="clear" w:color="auto" w:fill="FFFFFF"/>
        </w:rPr>
        <w:t>二、项目预算</w:t>
      </w:r>
      <w:r>
        <w:rPr>
          <w:rFonts w:hint="eastAsia" w:ascii="仿宋" w:hAnsi="仿宋" w:eastAsia="仿宋" w:cs="仿宋"/>
          <w:sz w:val="28"/>
          <w:szCs w:val="28"/>
          <w:highlight w:val="none"/>
          <w:shd w:val="clear" w:color="auto" w:fill="FFFFFF"/>
        </w:rPr>
        <w:t>：</w:t>
      </w:r>
      <w:r>
        <w:rPr>
          <w:rFonts w:hint="eastAsia" w:ascii="仿宋" w:hAnsi="仿宋" w:eastAsia="仿宋" w:cs="仿宋"/>
          <w:kern w:val="0"/>
          <w:sz w:val="28"/>
          <w:szCs w:val="28"/>
          <w:highlight w:val="none"/>
          <w:shd w:val="clear" w:color="auto" w:fill="FFFFFF"/>
          <w:lang w:val="en-US" w:eastAsia="zh-CN"/>
        </w:rPr>
        <w:t>14</w:t>
      </w:r>
      <w:r>
        <w:rPr>
          <w:rFonts w:hint="default" w:ascii="仿宋" w:hAnsi="仿宋" w:eastAsia="仿宋" w:cs="仿宋"/>
          <w:kern w:val="0"/>
          <w:sz w:val="28"/>
          <w:szCs w:val="28"/>
          <w:highlight w:val="none"/>
          <w:shd w:val="clear" w:color="auto" w:fill="FFFFFF"/>
          <w:lang w:val="en-US" w:eastAsia="zh-CN"/>
        </w:rPr>
        <w:t>万元</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三、采购项目需求</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心肺复苏模拟人（2套）</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全身心肺复苏模型，符合2020版国际复苏指南对QCPR高质量心肺复苏设定的新标准，提供AHA 对于所投产品的认可证明文件，模型可支持液晶显示反馈装置通过传感器同步提供的QCPR操作反馈包含：</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1.1按压位置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1.2按压频率数据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1.3按压力度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1.4按压后胸廓回复完整性</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1.5给气肺部充盈度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1.6胃胀气提示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1.7CPR过程中按压时间的百分比，并可通过总结反馈来客观评估学生的操作表现。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模型可真实模仿人体功能和解剖标志，精确解剖标记便于按压点的识别；正常体位时气道自然关闭、正确的头后仰/压额抬下颌动作才可打开气管；声效提示通气是充足, 不足还是过量；可真实模拟颈动脉搏动，人工呼吸时胸部起伏。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模型胸部配备了三种可更换的按压弹簧用以模拟三种不同体重的病人，让操作者感受施加25kg、40kg、和60kg的不同按压力度在瘦小、标准、和肥胖病人身上达到胸廓下沉5厘米的要求。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操作时可选择三种模式：实时反馈模式、考核 (隐藏反馈)模式、和总结反馈模式。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4.1实时反馈模式能显示按压深度(过浅, 足够)、按压速率 (过慢，正确，过快)、回弹 (不完全，完全)及按压位置过低；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4.2考核模式在考核中，不会显示任何操作数据只显示训练定时器；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4.3CPR总结反馈显示: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4.3</w:t>
      </w:r>
      <w:r>
        <w:rPr>
          <w:rFonts w:hint="eastAsia" w:ascii="仿宋" w:hAnsi="仿宋" w:eastAsia="仿宋" w:cs="仿宋"/>
          <w:sz w:val="28"/>
          <w:szCs w:val="28"/>
          <w:lang w:val="en-US" w:eastAsia="zh-CN"/>
        </w:rPr>
        <w:t>.</w:t>
      </w:r>
      <w:r>
        <w:rPr>
          <w:rFonts w:hint="eastAsia" w:ascii="仿宋" w:hAnsi="仿宋" w:eastAsia="仿宋" w:cs="仿宋"/>
          <w:sz w:val="28"/>
          <w:szCs w:val="28"/>
        </w:rPr>
        <w:t>1按压得分(XX %)：训练的按压总分，用来计算得分的因数有按压深度、按压率、释放、手部位置和按压比例。指示灯会显示整个训练中与深度、释放和按压率有关的错误。最主要的错误会不停闪烁。</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4.3</w:t>
      </w:r>
      <w:r>
        <w:rPr>
          <w:rFonts w:hint="eastAsia" w:ascii="仿宋" w:hAnsi="仿宋" w:eastAsia="仿宋" w:cs="仿宋"/>
          <w:sz w:val="28"/>
          <w:szCs w:val="28"/>
          <w:lang w:val="en-US" w:eastAsia="zh-CN"/>
        </w:rPr>
        <w:t>.</w:t>
      </w:r>
      <w:r>
        <w:rPr>
          <w:rFonts w:hint="eastAsia" w:ascii="仿宋" w:hAnsi="仿宋" w:eastAsia="仿宋" w:cs="仿宋"/>
          <w:sz w:val="28"/>
          <w:szCs w:val="28"/>
        </w:rPr>
        <w:t>2通气得分 (XX %)：指通气的总分值，用来计算得分的因数为通气量和通气率。通气量最主要的错误（如有）会以短动画的方式显示出来。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4.3</w:t>
      </w:r>
      <w:r>
        <w:rPr>
          <w:rFonts w:hint="eastAsia" w:ascii="仿宋" w:hAnsi="仿宋" w:eastAsia="仿宋" w:cs="仿宋"/>
          <w:sz w:val="28"/>
          <w:szCs w:val="28"/>
          <w:lang w:val="en-US" w:eastAsia="zh-CN"/>
        </w:rPr>
        <w:t>.</w:t>
      </w:r>
      <w:r>
        <w:rPr>
          <w:rFonts w:hint="eastAsia" w:ascii="仿宋" w:hAnsi="仿宋" w:eastAsia="仿宋" w:cs="仿宋"/>
          <w:sz w:val="28"/>
          <w:szCs w:val="28"/>
        </w:rPr>
        <w:t>3按压总时间: 每分钟按压百分比显示，用以测试操作者是否达到新指南要求的80%时间比率。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在进行BLS基础生命支持训练或考核时，导师可以通过一个心肺复苏技能训练考核报告仪无线连接1- 6 个模型、同时查看及管理1-6名学员的操作实况与数据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在人工通气时，通过声效提示通气是充足,、不足还是过量。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可以真实模拟颈动脉的搏动，人工呼吸时胸部起伏。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电源为可充电的锂电池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充电和供电通过新USB－C接口</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新充满电的电池运行时间34小时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充电时间：0%~90% 3小时，90%~100%&lt;1小时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电池寿命大于 700次充电</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模型可以用手机或平板免费下载iOS 系统的 QCPR Instructor / QCPR Learner 心肺复苏软件进行反馈练习；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 模型自带2种连接显示器设备信号有线连接、无线蓝牙信号。</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复苏模拟人电子显示器小巧，易携，轻便为基础生命支持培训导师提供一个性价比高的提供实时反馈工具, 并通过装置上的总结反馈来客观地评估学生的表现。</w:t>
      </w:r>
    </w:p>
    <w:p>
      <w:pPr>
        <w:pStyle w:val="2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sz w:val="28"/>
          <w:szCs w:val="28"/>
        </w:rPr>
      </w:pPr>
      <w:r>
        <w:rPr>
          <w:rFonts w:hint="eastAsia" w:ascii="仿宋" w:hAnsi="仿宋" w:eastAsia="仿宋" w:cs="仿宋"/>
          <w:b w:val="0"/>
          <w:sz w:val="28"/>
          <w:szCs w:val="28"/>
        </w:rPr>
        <w:t>10</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电子显示器使用模型的电源打开, 没有显示器电量不足的问题。</w:t>
      </w:r>
    </w:p>
    <w:p>
      <w:pPr>
        <w:pStyle w:val="26"/>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SimPad报告仪（2套）：</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报告仪支持连接心肺复苏模拟人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报告仪可选择Feedback实时反馈、 Blind (Testing) 考核、 Debrief 评估三种操作模式，和两种用户模式: 学生模式、导师模式；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培训测试的模式下: 一人CPR，双人CPR，只按压或只通气，均可选；</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复苏模拟人报告仪目前内设的QCPR标准是符合 2020 AHA指南提出的关于按压和通气要求的，未来五年每次的AHA指南调整后可通过AHA授权编码同步升级为AHA新指南标准；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复苏模拟人报告仪的实时反馈数据：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5.1按压（Compression）：按压深度，按压间隙和按压频率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5.2通气（Ventilation）：通气潮气量及通气频率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5.3手位错误显示以及手离开时间：在CPR时，按压过程时手离开模型的时间</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复苏模拟人报告仪的评估模式数据：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6.1分数: 整体分数、按压分数、通气分数及通气按压比</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6.2按压：按压数目，平均深度，按压间隙、深度正确（%），按压速度和平均按压速率的正确率（%）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6.3通气：通气次数、平均通气量，</w:t>
      </w:r>
      <w:bookmarkStart w:id="0" w:name="_GoBack"/>
      <w:bookmarkEnd w:id="0"/>
      <w:r>
        <w:rPr>
          <w:rFonts w:hint="eastAsia" w:ascii="仿宋" w:hAnsi="仿宋" w:eastAsia="仿宋" w:cs="仿宋"/>
          <w:sz w:val="28"/>
          <w:szCs w:val="28"/>
        </w:rPr>
        <w:t>通气不足、正确通气以及过度通气的比率（%），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6.4其他: 整体时间， 完成30:2周期的个数，平均给予通气和正确手放置的时间</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可直接在复苏模拟人报告仪上浏览培训记录，也可将培训记录传输到PC，可以浏览、打印和远程存储；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复苏模拟人报告仪可选配功能：无线连接心率除颤功能的复苏模拟人，可以通过复苏模拟人报告仪控制和调节改变心率、并进行除颤操作管理，可自行编辑病例和下载AHA 病例，护理大联盟病例，美国儿科协会病例等国际认证病例。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复苏模拟人报告仪在进行BLS基础生命支持训练或考核时，导师可以通过一个报告仪无线连接1- 6 个复苏模拟人模型、同时管理1-6名学员的操作实况。设备自带无线蓝牙信号可同时连接多台模型。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w:t>
      </w:r>
      <w:r>
        <w:rPr>
          <w:rFonts w:hint="eastAsia" w:ascii="仿宋" w:hAnsi="仿宋" w:eastAsia="仿宋" w:cs="仿宋"/>
          <w:sz w:val="28"/>
          <w:szCs w:val="28"/>
        </w:rPr>
        <w:t>通过复苏模拟人报告仪可以查看该模拟人上的心肺复苏总按压次数，以便于维护及保养模拟人。</w:t>
      </w:r>
    </w:p>
    <w:p>
      <w:pPr>
        <w:pStyle w:val="26"/>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静脉注射操作模型（</w:t>
      </w:r>
      <w:r>
        <w:rPr>
          <w:rFonts w:hint="eastAsia" w:ascii="仿宋" w:hAnsi="仿宋" w:eastAsia="仿宋" w:cs="仿宋"/>
          <w:sz w:val="28"/>
          <w:szCs w:val="28"/>
          <w:lang w:val="en-US" w:eastAsia="zh-CN"/>
        </w:rPr>
        <w:t>3</w:t>
      </w:r>
      <w:r>
        <w:rPr>
          <w:rFonts w:hint="eastAsia" w:ascii="仿宋" w:hAnsi="仿宋" w:eastAsia="仿宋" w:cs="仿宋"/>
          <w:sz w:val="28"/>
          <w:szCs w:val="28"/>
        </w:rPr>
        <w:t>套）</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1.模型为血管内径（1.5mm/3mm）（2mm/4mm）的成人右手臂，设有手臂肘前区和手背部的静脉血管网。</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2.采用高分子材料制成，环保无污染，肤质仿真度高，皮肤纹理清晰。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3.静脉注射：可选择不同类型的穿刺针进行训练，穿刺时有落空感，穿刺正确后可有回血，并可进行输液等练习。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4.可反复进行练习。</w:t>
      </w:r>
    </w:p>
    <w:p>
      <w:pPr>
        <w:pStyle w:val="26"/>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高级血液循环模拟器（3套）</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1.该装置为电动模拟血液循环系统，可与静脉注射手臂相连接，模拟动、静脉血液循环。</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2.血流速度、循环类型、脉搏频率以及脉搏强度均可调节。</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四、采用单一来源采购方式的原因及相关说明：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1.根据2023年江苏省技能大赛要求，此项设备必须采购人供练习时使用，且该供应商为比赛唯一指定供应商。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.根据政府采购法，该项目只能从唯一供应商处采购。经专家论证，本项目拟采用单一来源采购方式，推荐上海康提医疗科技有限公司为本项目单一来源供应商。</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五、拟定的唯一供应商名称</w:t>
      </w:r>
    </w:p>
    <w:p>
      <w:pPr>
        <w:spacing w:line="460" w:lineRule="exact"/>
        <w:ind w:firstLine="560" w:firstLineChars="200"/>
        <w:rPr>
          <w:rFonts w:hint="eastAsia" w:ascii="仿宋" w:hAnsi="仿宋" w:eastAsia="仿宋" w:cs="仿宋"/>
          <w:color w:val="000000"/>
          <w:sz w:val="28"/>
          <w:szCs w:val="28"/>
          <w:highlight w:val="none"/>
          <w:shd w:val="clear" w:color="auto" w:fill="FFFFFF"/>
          <w:lang w:eastAsia="zh-CN"/>
        </w:rPr>
      </w:pPr>
      <w:r>
        <w:rPr>
          <w:rFonts w:hint="eastAsia" w:ascii="仿宋" w:hAnsi="仿宋" w:eastAsia="仿宋" w:cs="仿宋"/>
          <w:color w:val="000000"/>
          <w:sz w:val="28"/>
          <w:szCs w:val="28"/>
          <w:highlight w:val="none"/>
          <w:shd w:val="clear" w:color="auto" w:fill="FFFFFF"/>
        </w:rPr>
        <w:t>名称：</w:t>
      </w:r>
      <w:r>
        <w:rPr>
          <w:rStyle w:val="25"/>
          <w:rFonts w:hint="default" w:ascii="Times New Roman" w:hAnsi="Times New Roman" w:eastAsia="方正仿宋_GBK" w:cs="Times New Roman"/>
          <w:b w:val="0"/>
          <w:bCs w:val="0"/>
          <w:i w:val="0"/>
          <w:caps w:val="0"/>
          <w:spacing w:val="0"/>
          <w:kern w:val="2"/>
          <w:sz w:val="28"/>
          <w:szCs w:val="28"/>
          <w:lang w:val="en-US" w:eastAsia="zh-CN" w:bidi="ar"/>
        </w:rPr>
        <w:t>上海康提医疗科技有限公司</w:t>
      </w:r>
    </w:p>
    <w:p>
      <w:pPr>
        <w:spacing w:line="460" w:lineRule="exact"/>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地址：</w:t>
      </w:r>
      <w:r>
        <w:rPr>
          <w:rStyle w:val="25"/>
          <w:rFonts w:hint="default" w:ascii="Times New Roman" w:hAnsi="Times New Roman" w:eastAsia="方正仿宋_GBK" w:cs="Times New Roman"/>
          <w:b w:val="0"/>
          <w:bCs w:val="0"/>
          <w:i w:val="0"/>
          <w:caps w:val="0"/>
          <w:spacing w:val="0"/>
          <w:kern w:val="2"/>
          <w:sz w:val="28"/>
          <w:szCs w:val="28"/>
          <w:lang w:val="en-US" w:eastAsia="zh-CN" w:bidi="ar"/>
        </w:rPr>
        <w:t>上海市奉贤区望园路1698弄30号21幢502室</w:t>
      </w:r>
    </w:p>
    <w:p>
      <w:pPr>
        <w:spacing w:line="460" w:lineRule="exact"/>
        <w:ind w:firstLine="560" w:firstLineChars="200"/>
        <w:rPr>
          <w:rFonts w:ascii="仿宋" w:hAnsi="仿宋" w:eastAsia="仿宋" w:cs="仿宋"/>
          <w:kern w:val="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统一社会信用代码：91310120069392962F</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六、时间、地点和联系人信息</w:t>
      </w:r>
    </w:p>
    <w:p>
      <w:pPr>
        <w:spacing w:line="460" w:lineRule="exact"/>
        <w:ind w:firstLine="560" w:firstLineChars="200"/>
        <w:rPr>
          <w:rFonts w:ascii="仿宋" w:hAnsi="仿宋" w:eastAsia="仿宋" w:cs="仿宋"/>
          <w:b/>
          <w:bCs/>
          <w:color w:val="auto"/>
          <w:kern w:val="0"/>
          <w:sz w:val="28"/>
          <w:szCs w:val="28"/>
          <w:highlight w:val="none"/>
          <w:u w:val="singl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b/>
          <w:bCs/>
          <w:color w:val="auto"/>
          <w:kern w:val="0"/>
          <w:sz w:val="28"/>
          <w:szCs w:val="28"/>
          <w:highlight w:val="none"/>
          <w:u w:val="single"/>
          <w:shd w:val="clear" w:color="auto" w:fill="FFFFFF"/>
        </w:rPr>
        <w:t>2022年</w:t>
      </w:r>
      <w:r>
        <w:rPr>
          <w:rFonts w:hint="eastAsia" w:ascii="仿宋" w:hAnsi="仿宋" w:eastAsia="仿宋" w:cs="仿宋"/>
          <w:b/>
          <w:bCs/>
          <w:color w:val="auto"/>
          <w:kern w:val="0"/>
          <w:sz w:val="28"/>
          <w:szCs w:val="28"/>
          <w:highlight w:val="none"/>
          <w:u w:val="single"/>
          <w:shd w:val="clear" w:color="auto" w:fill="FFFFFF"/>
          <w:lang w:val="en-US" w:eastAsia="zh-CN"/>
        </w:rPr>
        <w:t>12</w:t>
      </w:r>
      <w:r>
        <w:rPr>
          <w:rFonts w:hint="eastAsia" w:ascii="仿宋" w:hAnsi="仿宋" w:eastAsia="仿宋" w:cs="仿宋"/>
          <w:b/>
          <w:bCs/>
          <w:color w:val="auto"/>
          <w:kern w:val="0"/>
          <w:sz w:val="28"/>
          <w:szCs w:val="28"/>
          <w:highlight w:val="none"/>
          <w:u w:val="single"/>
          <w:shd w:val="clear" w:color="auto" w:fill="FFFFFF"/>
        </w:rPr>
        <w:t>月</w:t>
      </w:r>
      <w:r>
        <w:rPr>
          <w:rFonts w:hint="eastAsia" w:ascii="仿宋" w:hAnsi="仿宋" w:eastAsia="仿宋" w:cs="仿宋"/>
          <w:b/>
          <w:bCs/>
          <w:color w:val="auto"/>
          <w:kern w:val="0"/>
          <w:sz w:val="28"/>
          <w:szCs w:val="28"/>
          <w:highlight w:val="none"/>
          <w:u w:val="single"/>
          <w:shd w:val="clear" w:color="auto" w:fill="FFFFFF"/>
          <w:lang w:val="en-US" w:eastAsia="zh-CN"/>
        </w:rPr>
        <w:t>23</w:t>
      </w:r>
      <w:r>
        <w:rPr>
          <w:rFonts w:hint="eastAsia" w:ascii="仿宋" w:hAnsi="仿宋" w:eastAsia="仿宋" w:cs="仿宋"/>
          <w:b/>
          <w:bCs/>
          <w:color w:val="auto"/>
          <w:kern w:val="0"/>
          <w:sz w:val="28"/>
          <w:szCs w:val="28"/>
          <w:highlight w:val="none"/>
          <w:u w:val="single"/>
          <w:shd w:val="clear" w:color="auto" w:fill="FFFFFF"/>
        </w:rPr>
        <w:t>日</w:t>
      </w:r>
      <w:r>
        <w:rPr>
          <w:rFonts w:hint="eastAsia" w:ascii="仿宋" w:hAnsi="仿宋" w:eastAsia="仿宋" w:cs="仿宋"/>
          <w:b/>
          <w:bCs/>
          <w:color w:val="auto"/>
          <w:kern w:val="0"/>
          <w:sz w:val="28"/>
          <w:szCs w:val="28"/>
          <w:highlight w:val="none"/>
          <w:u w:val="single"/>
          <w:shd w:val="clear" w:color="auto" w:fill="FFFFFF"/>
          <w:lang w:val="en-US" w:eastAsia="zh-CN"/>
        </w:rPr>
        <w:t>13</w:t>
      </w:r>
      <w:r>
        <w:rPr>
          <w:rFonts w:hint="eastAsia" w:ascii="仿宋" w:hAnsi="仿宋" w:eastAsia="仿宋" w:cs="仿宋"/>
          <w:b/>
          <w:bCs/>
          <w:color w:val="auto"/>
          <w:kern w:val="0"/>
          <w:sz w:val="28"/>
          <w:szCs w:val="28"/>
          <w:highlight w:val="none"/>
          <w:u w:val="single"/>
          <w:shd w:val="clear" w:color="auto" w:fill="FFFFFF"/>
        </w:rPr>
        <w:t>时</w:t>
      </w:r>
      <w:r>
        <w:rPr>
          <w:rFonts w:hint="eastAsia" w:ascii="仿宋" w:hAnsi="仿宋" w:eastAsia="仿宋" w:cs="仿宋"/>
          <w:b/>
          <w:bCs/>
          <w:color w:val="auto"/>
          <w:kern w:val="0"/>
          <w:sz w:val="28"/>
          <w:szCs w:val="28"/>
          <w:highlight w:val="none"/>
          <w:u w:val="single"/>
          <w:shd w:val="clear" w:color="auto" w:fill="FFFFFF"/>
          <w:lang w:val="en-US" w:eastAsia="zh-CN"/>
        </w:rPr>
        <w:t xml:space="preserve">  30</w:t>
      </w:r>
      <w:r>
        <w:rPr>
          <w:rFonts w:hint="eastAsia" w:ascii="仿宋" w:hAnsi="仿宋" w:eastAsia="仿宋" w:cs="仿宋"/>
          <w:b/>
          <w:bCs/>
          <w:color w:val="auto"/>
          <w:kern w:val="0"/>
          <w:sz w:val="28"/>
          <w:szCs w:val="28"/>
          <w:highlight w:val="none"/>
          <w:u w:val="single"/>
          <w:shd w:val="clear" w:color="auto" w:fill="FFFFFF"/>
        </w:rPr>
        <w:t>分。</w:t>
      </w:r>
    </w:p>
    <w:p>
      <w:pPr>
        <w:widowControl/>
        <w:shd w:val="clear" w:color="auto" w:fill="FFFFFF"/>
        <w:spacing w:line="500" w:lineRule="exact"/>
        <w:ind w:firstLine="560" w:firstLineChars="200"/>
        <w:rPr>
          <w:rFonts w:hint="eastAsia" w:ascii="仿宋" w:hAnsi="仿宋" w:eastAsia="仿宋" w:cs="仿宋"/>
          <w:color w:val="333333"/>
          <w:spacing w:val="7"/>
          <w:kern w:val="0"/>
          <w:sz w:val="28"/>
          <w:szCs w:val="22"/>
          <w:highlight w:val="none"/>
          <w:lang w:val="en-US" w:eastAsia="zh-CN"/>
        </w:rPr>
      </w:pPr>
      <w:r>
        <w:rPr>
          <w:rFonts w:hint="eastAsia" w:ascii="仿宋" w:hAnsi="仿宋" w:eastAsia="仿宋" w:cs="仿宋"/>
          <w:kern w:val="0"/>
          <w:sz w:val="28"/>
          <w:szCs w:val="28"/>
          <w:highlight w:val="none"/>
          <w:shd w:val="clear" w:color="auto" w:fill="FFFFFF"/>
        </w:rPr>
        <w:t>2.谈判文件递交</w:t>
      </w:r>
      <w:r>
        <w:rPr>
          <w:rFonts w:hint="eastAsia" w:ascii="仿宋" w:hAnsi="仿宋" w:eastAsia="仿宋" w:cs="仿宋"/>
          <w:color w:val="333333"/>
          <w:spacing w:val="7"/>
          <w:kern w:val="0"/>
          <w:sz w:val="28"/>
          <w:szCs w:val="22"/>
          <w:highlight w:val="none"/>
          <w:lang w:val="en-US" w:eastAsia="zh-CN"/>
        </w:rPr>
        <w:t>地点</w:t>
      </w:r>
      <w:r>
        <w:rPr>
          <w:rFonts w:hint="eastAsia" w:ascii="仿宋" w:hAnsi="仿宋" w:eastAsia="仿宋" w:cs="仿宋"/>
          <w:color w:val="333333"/>
          <w:spacing w:val="7"/>
          <w:kern w:val="0"/>
          <w:sz w:val="28"/>
          <w:szCs w:val="22"/>
          <w:highlight w:val="none"/>
          <w:lang w:eastAsia="zh-CN"/>
        </w:rPr>
        <w:t>：</w:t>
      </w:r>
      <w:r>
        <w:rPr>
          <w:rFonts w:hint="eastAsia" w:ascii="仿宋" w:hAnsi="仿宋" w:eastAsia="仿宋" w:cs="仿宋"/>
          <w:b/>
          <w:bCs/>
          <w:color w:val="333333"/>
          <w:spacing w:val="7"/>
          <w:kern w:val="0"/>
          <w:sz w:val="28"/>
          <w:szCs w:val="22"/>
          <w:highlight w:val="none"/>
          <w:u w:val="single"/>
          <w:lang w:eastAsia="zh-CN"/>
        </w:rPr>
        <w:t>投标人在投标单位所在地参加远程开标会，无需亲临开标现场</w:t>
      </w:r>
    </w:p>
    <w:p>
      <w:pPr>
        <w:widowControl/>
        <w:shd w:val="clear" w:color="auto" w:fill="FFFFFF"/>
        <w:spacing w:line="500" w:lineRule="exact"/>
        <w:ind w:firstLine="560" w:firstLineChars="200"/>
        <w:rPr>
          <w:rFonts w:hint="default" w:ascii="仿宋" w:hAnsi="仿宋" w:eastAsia="仿宋" w:cs="仿宋"/>
          <w:color w:val="333333"/>
          <w:spacing w:val="7"/>
          <w:kern w:val="0"/>
          <w:sz w:val="28"/>
          <w:szCs w:val="22"/>
          <w:highlight w:val="none"/>
          <w:lang w:val="en-US" w:eastAsia="zh-CN"/>
        </w:rPr>
      </w:pPr>
      <w:r>
        <w:rPr>
          <w:rFonts w:hint="eastAsia" w:ascii="仿宋" w:hAnsi="仿宋" w:eastAsia="仿宋" w:cs="仿宋"/>
          <w:kern w:val="0"/>
          <w:sz w:val="28"/>
          <w:szCs w:val="28"/>
          <w:highlight w:val="none"/>
          <w:shd w:val="clear" w:color="auto" w:fill="FFFFFF"/>
          <w:lang w:val="en-US" w:eastAsia="zh-CN"/>
        </w:rPr>
        <w:t>3</w:t>
      </w:r>
      <w:r>
        <w:rPr>
          <w:rFonts w:hint="eastAsia" w:ascii="仿宋" w:hAnsi="仿宋" w:eastAsia="仿宋" w:cs="仿宋"/>
          <w:kern w:val="0"/>
          <w:sz w:val="28"/>
          <w:szCs w:val="28"/>
          <w:highlight w:val="none"/>
          <w:shd w:val="clear" w:color="auto" w:fill="FFFFFF"/>
        </w:rPr>
        <w:t>.谈判文件递交</w:t>
      </w:r>
      <w:r>
        <w:rPr>
          <w:rFonts w:hint="eastAsia" w:ascii="仿宋" w:hAnsi="仿宋" w:eastAsia="仿宋" w:cs="仿宋"/>
          <w:color w:val="333333"/>
          <w:spacing w:val="7"/>
          <w:kern w:val="0"/>
          <w:sz w:val="28"/>
          <w:szCs w:val="22"/>
          <w:highlight w:val="none"/>
          <w:lang w:val="en-US" w:eastAsia="zh-CN"/>
        </w:rPr>
        <w:t>方式：邮寄或现场递交。</w:t>
      </w:r>
    </w:p>
    <w:p>
      <w:pPr>
        <w:spacing w:line="460" w:lineRule="exact"/>
        <w:ind w:firstLine="560" w:firstLineChars="200"/>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lang w:val="en-US" w:eastAsia="zh-CN"/>
        </w:rPr>
        <w:t>4</w:t>
      </w:r>
      <w:r>
        <w:rPr>
          <w:rFonts w:hint="eastAsia" w:ascii="仿宋" w:hAnsi="仿宋" w:eastAsia="仿宋" w:cs="仿宋"/>
          <w:kern w:val="0"/>
          <w:sz w:val="28"/>
          <w:szCs w:val="28"/>
          <w:highlight w:val="none"/>
          <w:shd w:val="clear" w:color="auto" w:fill="FFFFFF"/>
        </w:rPr>
        <w:t>.谈判方式：</w:t>
      </w:r>
      <w:r>
        <w:rPr>
          <w:rFonts w:hint="eastAsia" w:ascii="仿宋" w:hAnsi="仿宋" w:eastAsia="仿宋" w:cs="仿宋"/>
          <w:kern w:val="0"/>
          <w:sz w:val="28"/>
          <w:szCs w:val="28"/>
          <w:highlight w:val="none"/>
          <w:shd w:val="clear" w:color="auto" w:fill="FFFFFF"/>
          <w:lang w:val="en-US" w:eastAsia="zh-CN"/>
        </w:rPr>
        <w:t>不见面</w:t>
      </w:r>
      <w:r>
        <w:rPr>
          <w:rFonts w:hint="eastAsia" w:ascii="仿宋" w:hAnsi="仿宋" w:eastAsia="仿宋" w:cs="仿宋"/>
          <w:kern w:val="0"/>
          <w:sz w:val="28"/>
          <w:szCs w:val="28"/>
          <w:highlight w:val="none"/>
          <w:shd w:val="clear" w:color="auto" w:fill="FFFFFF"/>
          <w:lang w:eastAsia="zh-CN"/>
        </w:rPr>
        <w:t>谈判。</w:t>
      </w:r>
    </w:p>
    <w:p>
      <w:pPr>
        <w:spacing w:line="460" w:lineRule="exact"/>
        <w:ind w:firstLine="560" w:firstLineChars="200"/>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说明：</w:t>
      </w:r>
      <w:r>
        <w:rPr>
          <w:rFonts w:hint="eastAsia" w:ascii="仿宋" w:hAnsi="仿宋" w:eastAsia="仿宋" w:cs="仿宋"/>
          <w:sz w:val="28"/>
          <w:szCs w:val="28"/>
          <w:lang w:val="en-US" w:eastAsia="zh-CN"/>
        </w:rPr>
        <w:t>本项目为不见面开标，供应商代表无需到达开标现场，但应确保投标文件在开标截止时间前送达或邮寄到达采购代理机构（可以由本项目代理机构联系人签收。</w:t>
      </w:r>
      <w:r>
        <w:rPr>
          <w:rFonts w:hint="eastAsia" w:ascii="仿宋" w:hAnsi="仿宋" w:eastAsia="仿宋" w:cs="仿宋"/>
          <w:b/>
          <w:bCs/>
          <w:sz w:val="28"/>
          <w:szCs w:val="28"/>
          <w:u w:val="single"/>
          <w:lang w:val="en-US" w:eastAsia="zh-CN"/>
        </w:rPr>
        <w:t>快递封面上须写上联系姓名及联系方式。</w:t>
      </w:r>
      <w:r>
        <w:rPr>
          <w:rFonts w:hint="eastAsia" w:ascii="仿宋" w:hAnsi="仿宋" w:eastAsia="仿宋" w:cs="仿宋"/>
          <w:sz w:val="28"/>
          <w:szCs w:val="28"/>
          <w:lang w:val="en-US" w:eastAsia="zh-CN"/>
        </w:rPr>
        <w:t>邮寄地址：崇川区崇川路58号，南通产业技术研究院有限公司九号楼十楼1004，江苏中润工程建设咨询有限公司，联系人：朱工18344703186）。开标现场由代理机构主持，采购人组织的评标委员会负责投标文件的评审。为确保本项目开标能够顺利进行，各供应商的授权委托人在开标前以</w:t>
      </w:r>
      <w:r>
        <w:rPr>
          <w:rFonts w:hint="eastAsia" w:ascii="仿宋" w:hAnsi="仿宋" w:eastAsia="仿宋" w:cs="仿宋"/>
          <w:b/>
          <w:bCs/>
          <w:sz w:val="28"/>
          <w:szCs w:val="28"/>
          <w:u w:val="single"/>
          <w:lang w:val="en-US" w:eastAsia="zh-CN"/>
        </w:rPr>
        <w:t>“项目名称（简写）+单位名称（简写）+授权委托人姓名（实名）”</w:t>
      </w:r>
      <w:r>
        <w:rPr>
          <w:rFonts w:hint="eastAsia" w:ascii="仿宋" w:hAnsi="仿宋" w:eastAsia="仿宋" w:cs="仿宋"/>
          <w:sz w:val="28"/>
          <w:szCs w:val="28"/>
          <w:lang w:val="en-US" w:eastAsia="zh-CN"/>
        </w:rPr>
        <w:t>的格式申请加入QQ群“南通中润远程开标室1，群号：629706481”，招标代理机构在QQ群内公布腾讯会议号。</w:t>
      </w:r>
      <w:r>
        <w:rPr>
          <w:rFonts w:hint="eastAsia" w:ascii="仿宋" w:hAnsi="仿宋" w:eastAsia="仿宋" w:cs="仿宋"/>
          <w:b/>
          <w:bCs/>
          <w:sz w:val="28"/>
          <w:szCs w:val="28"/>
          <w:lang w:eastAsia="zh-CN"/>
        </w:rPr>
        <w:t>本项目开标过程交互采用“腾讯会议”，投标供应商需自行下载安装“腾讯会议”</w:t>
      </w:r>
      <w:r>
        <w:rPr>
          <w:rFonts w:hint="eastAsia" w:ascii="仿宋" w:hAnsi="仿宋" w:eastAsia="仿宋" w:cs="仿宋"/>
          <w:b/>
          <w:bCs/>
          <w:sz w:val="28"/>
          <w:szCs w:val="28"/>
          <w:lang w:val="en-US" w:eastAsia="zh-CN"/>
        </w:rPr>
        <w:t>软件</w:t>
      </w:r>
      <w:r>
        <w:rPr>
          <w:rFonts w:hint="eastAsia" w:ascii="仿宋" w:hAnsi="仿宋" w:eastAsia="仿宋" w:cs="仿宋"/>
          <w:b/>
          <w:bCs/>
          <w:sz w:val="28"/>
          <w:szCs w:val="28"/>
          <w:lang w:eastAsia="zh-CN"/>
        </w:rPr>
        <w:t>，并学习操作，开标截止前半小时</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申请加入采购代理机构指定的腾讯会议室（会议号在</w:t>
      </w:r>
      <w:r>
        <w:rPr>
          <w:rFonts w:hint="eastAsia" w:ascii="仿宋" w:hAnsi="仿宋" w:eastAsia="仿宋" w:cs="仿宋"/>
          <w:b/>
          <w:bCs/>
          <w:sz w:val="28"/>
          <w:szCs w:val="28"/>
          <w:lang w:val="en-US" w:eastAsia="zh-CN"/>
        </w:rPr>
        <w:t>QQ群中公布</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eastAsia="zh-CN"/>
        </w:rPr>
        <w:t>加入会议时名称修改为“</w:t>
      </w:r>
      <w:r>
        <w:rPr>
          <w:rFonts w:hint="eastAsia" w:ascii="仿宋" w:hAnsi="仿宋" w:eastAsia="仿宋" w:cs="仿宋"/>
          <w:b/>
          <w:bCs/>
          <w:sz w:val="28"/>
          <w:szCs w:val="28"/>
          <w:u w:val="single"/>
        </w:rPr>
        <w:t>投标单位名称（简写）+授权委托人姓名（实名）</w:t>
      </w:r>
      <w:r>
        <w:rPr>
          <w:rFonts w:hint="eastAsia" w:ascii="仿宋" w:hAnsi="仿宋" w:eastAsia="仿宋" w:cs="仿宋"/>
          <w:b/>
          <w:bCs/>
          <w:sz w:val="28"/>
          <w:szCs w:val="28"/>
          <w:lang w:eastAsia="zh-CN"/>
        </w:rPr>
        <w:t>”</w:t>
      </w:r>
      <w:r>
        <w:rPr>
          <w:rFonts w:hint="eastAsia" w:ascii="仿宋" w:hAnsi="仿宋" w:eastAsia="仿宋" w:cs="仿宋"/>
          <w:b/>
          <w:bCs/>
          <w:sz w:val="28"/>
          <w:szCs w:val="28"/>
        </w:rPr>
        <w:t>，在开评标全过程中，此</w:t>
      </w:r>
      <w:r>
        <w:rPr>
          <w:rFonts w:hint="eastAsia" w:ascii="仿宋" w:hAnsi="仿宋" w:eastAsia="仿宋" w:cs="仿宋"/>
          <w:b/>
          <w:bCs/>
          <w:sz w:val="28"/>
          <w:szCs w:val="28"/>
          <w:lang w:eastAsia="zh-CN"/>
        </w:rPr>
        <w:t>腾讯会议</w:t>
      </w:r>
      <w:r>
        <w:rPr>
          <w:rFonts w:hint="eastAsia" w:ascii="仿宋" w:hAnsi="仿宋" w:eastAsia="仿宋" w:cs="仿宋"/>
          <w:b/>
          <w:bCs/>
          <w:sz w:val="28"/>
          <w:szCs w:val="28"/>
        </w:rPr>
        <w:t>作为交互工具进行实</w:t>
      </w:r>
      <w:r>
        <w:rPr>
          <w:rFonts w:hint="eastAsia" w:ascii="仿宋" w:hAnsi="仿宋" w:eastAsia="仿宋" w:cs="仿宋"/>
          <w:b/>
          <w:bCs/>
          <w:sz w:val="28"/>
          <w:szCs w:val="28"/>
          <w:lang w:eastAsia="zh-CN"/>
        </w:rPr>
        <w:t>时交互。开评标全过程中，各</w:t>
      </w:r>
      <w:r>
        <w:rPr>
          <w:rFonts w:hint="eastAsia" w:ascii="仿宋" w:hAnsi="仿宋" w:eastAsia="仿宋" w:cs="仿宋"/>
          <w:b/>
          <w:bCs/>
          <w:sz w:val="28"/>
          <w:szCs w:val="28"/>
          <w:lang w:val="en-US" w:eastAsia="zh-CN"/>
        </w:rPr>
        <w:t>参选单位</w:t>
      </w:r>
      <w:r>
        <w:rPr>
          <w:rFonts w:hint="eastAsia" w:ascii="仿宋" w:hAnsi="仿宋" w:eastAsia="仿宋" w:cs="仿宋"/>
          <w:b/>
          <w:bCs/>
          <w:sz w:val="28"/>
          <w:szCs w:val="28"/>
          <w:lang w:eastAsia="zh-CN"/>
        </w:rPr>
        <w:t>参与远程交互的授权委托人或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应始终为同一个人</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打开摄像头、语音</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lang w:eastAsia="zh-CN"/>
        </w:rPr>
        <w:t>，中途不得更换，在废标、澄清、提疑、传送文件等特殊情况下需要交互时，投标人一端参与交互的人员将均被视为是投标人的授权委托人或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，投标人不得以不承认交互人员的资格或身份等为借口抵赖推脱，投标人自行承担随意更换人员所导致的一切后果。若</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lang w:eastAsia="zh-CN"/>
        </w:rPr>
        <w:t>供应商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pPr>
        <w:spacing w:line="460" w:lineRule="exact"/>
        <w:ind w:firstLine="560" w:firstLineChars="20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.谈判联系人：</w:t>
      </w:r>
    </w:p>
    <w:p>
      <w:pPr>
        <w:spacing w:line="460" w:lineRule="exact"/>
        <w:ind w:firstLine="560" w:firstLineChars="200"/>
        <w:rPr>
          <w:rFonts w:hint="eastAsia" w:ascii="仿宋" w:hAnsi="仿宋" w:eastAsia="仿宋" w:cs="仿宋"/>
          <w:color w:val="auto"/>
          <w:sz w:val="28"/>
          <w:szCs w:val="28"/>
          <w:highlight w:val="none"/>
          <w:shd w:val="clear" w:color="auto" w:fill="FFFFFF"/>
        </w:rPr>
      </w:pPr>
      <w:r>
        <w:rPr>
          <w:rFonts w:hint="eastAsia" w:ascii="Times New Roman" w:hAnsi="Times New Roman" w:eastAsia="仿宋" w:cs="Times New Roman"/>
          <w:color w:val="auto"/>
          <w:kern w:val="2"/>
          <w:sz w:val="28"/>
          <w:szCs w:val="28"/>
          <w:lang w:val="en-US" w:eastAsia="zh-CN" w:bidi="ar"/>
        </w:rPr>
        <w:t>采 购 人：单明13511591058</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代理机构：</w:t>
      </w:r>
      <w:r>
        <w:rPr>
          <w:rFonts w:hint="eastAsia" w:ascii="仿宋" w:hAnsi="仿宋" w:eastAsia="仿宋" w:cs="仿宋"/>
          <w:color w:val="auto"/>
          <w:kern w:val="0"/>
          <w:sz w:val="28"/>
          <w:szCs w:val="28"/>
          <w:highlight w:val="none"/>
          <w:shd w:val="clear" w:color="auto" w:fill="FFFFFF"/>
          <w:lang w:val="en-US" w:eastAsia="zh-CN"/>
        </w:rPr>
        <w:t>王先生</w:t>
      </w:r>
      <w:r>
        <w:rPr>
          <w:rFonts w:hint="eastAsia" w:ascii="仿宋" w:hAnsi="仿宋" w:eastAsia="仿宋" w:cs="仿宋"/>
          <w:color w:val="auto"/>
          <w:kern w:val="0"/>
          <w:sz w:val="28"/>
          <w:szCs w:val="28"/>
          <w:highlight w:val="none"/>
          <w:shd w:val="clear" w:color="auto" w:fill="FFFFFF"/>
        </w:rPr>
        <w:t xml:space="preserve">  13906272111</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七、供应商谈判时需提供的谈判材料</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1.单一来源谈判响应函；</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2.法定代表人身份证明</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法人委托书，授权人身份证复印件；</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4.近3年来与本项目相似的成功案例1份(复印件加盖公章，并带原件备查) ；</w:t>
      </w:r>
    </w:p>
    <w:p>
      <w:pPr>
        <w:widowControl/>
        <w:shd w:val="clear" w:color="auto" w:fill="FFFFFF"/>
        <w:spacing w:line="460" w:lineRule="exact"/>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　　5.服务方案、服务承诺等(加盖公章) ；</w:t>
      </w:r>
    </w:p>
    <w:p>
      <w:pPr>
        <w:widowControl/>
        <w:shd w:val="clear" w:color="auto" w:fill="FFFFFF"/>
        <w:spacing w:line="460" w:lineRule="exact"/>
        <w:jc w:val="left"/>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shd w:val="clear" w:color="auto" w:fill="FFFFFF"/>
        </w:rPr>
        <w:t>　　6.</w:t>
      </w:r>
      <w:r>
        <w:rPr>
          <w:rFonts w:hint="eastAsia" w:ascii="仿宋" w:hAnsi="仿宋" w:eastAsia="仿宋" w:cs="仿宋"/>
          <w:kern w:val="0"/>
          <w:sz w:val="28"/>
          <w:szCs w:val="28"/>
          <w:highlight w:val="none"/>
          <w:shd w:val="clear" w:color="auto" w:fill="FFFFFF"/>
          <w:lang w:eastAsia="zh-CN"/>
        </w:rPr>
        <w:t>报价单</w:t>
      </w:r>
      <w:r>
        <w:rPr>
          <w:rFonts w:hint="eastAsia" w:ascii="仿宋" w:hAnsi="仿宋" w:eastAsia="仿宋" w:cs="仿宋"/>
          <w:kern w:val="0"/>
          <w:sz w:val="28"/>
          <w:szCs w:val="28"/>
          <w:highlight w:val="none"/>
          <w:shd w:val="clear" w:color="auto" w:fill="FFFFFF"/>
        </w:rPr>
        <w:t>(加盖公章)</w:t>
      </w:r>
      <w:r>
        <w:rPr>
          <w:rFonts w:hint="eastAsia" w:ascii="仿宋" w:hAnsi="仿宋" w:eastAsia="仿宋" w:cs="仿宋"/>
          <w:kern w:val="0"/>
          <w:sz w:val="28"/>
          <w:szCs w:val="28"/>
          <w:highlight w:val="none"/>
          <w:shd w:val="clear" w:color="auto" w:fill="FFFFFF"/>
          <w:lang w:eastAsia="zh-CN"/>
        </w:rPr>
        <w:t>；</w:t>
      </w:r>
    </w:p>
    <w:p>
      <w:pPr>
        <w:widowControl/>
        <w:shd w:val="clear" w:color="auto" w:fill="FFFFFF"/>
        <w:spacing w:line="460" w:lineRule="exact"/>
        <w:ind w:firstLine="560" w:firstLineChars="200"/>
        <w:jc w:val="left"/>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7.分项报价明细表。</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lang w:eastAsia="zh-CN"/>
        </w:rPr>
      </w:pPr>
      <w:r>
        <w:rPr>
          <w:rFonts w:hint="eastAsia" w:ascii="仿宋" w:hAnsi="仿宋" w:eastAsia="仿宋" w:cs="仿宋"/>
          <w:b/>
          <w:bCs/>
          <w:kern w:val="0"/>
          <w:sz w:val="28"/>
          <w:szCs w:val="28"/>
          <w:highlight w:val="none"/>
          <w:shd w:val="clear" w:color="auto" w:fill="FFFFFF"/>
          <w:lang w:eastAsia="zh-CN"/>
        </w:rPr>
        <w:t>以上所有材料按照顺序装订成册，一式三份，一正两副。</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八、谈判原则</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九、发出成交通知书　</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十、合同签订与验收付款</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1.成交供应商和采购单位在接到《成交通知书》后</w:t>
      </w:r>
      <w:r>
        <w:rPr>
          <w:rFonts w:hint="eastAsia" w:ascii="仿宋" w:hAnsi="仿宋" w:eastAsia="仿宋" w:cs="仿宋"/>
          <w:kern w:val="0"/>
          <w:sz w:val="28"/>
          <w:szCs w:val="28"/>
          <w:highlight w:val="none"/>
          <w:shd w:val="clear" w:color="auto" w:fill="FFFFFF"/>
          <w:lang w:val="en-US" w:eastAsia="zh-CN"/>
        </w:rPr>
        <w:t>15</w:t>
      </w:r>
      <w:r>
        <w:rPr>
          <w:rFonts w:hint="eastAsia" w:ascii="仿宋" w:hAnsi="仿宋" w:eastAsia="仿宋" w:cs="仿宋"/>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hint="eastAsia"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5.付款方式：</w:t>
      </w:r>
    </w:p>
    <w:p>
      <w:pPr>
        <w:widowControl/>
        <w:shd w:val="clear" w:color="auto" w:fill="FFFFFF"/>
        <w:spacing w:line="460" w:lineRule="exact"/>
        <w:ind w:firstLine="560"/>
        <w:jc w:val="left"/>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本项目验收合格并交付使用后，一次性付清。</w:t>
      </w:r>
    </w:p>
    <w:p>
      <w:pPr>
        <w:widowControl/>
        <w:shd w:val="clear" w:color="auto" w:fill="FFFFFF"/>
        <w:spacing w:line="460" w:lineRule="exact"/>
        <w:ind w:firstLine="560"/>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6.本项目采购文件资料费</w:t>
      </w:r>
      <w:r>
        <w:rPr>
          <w:rFonts w:hint="eastAsia" w:ascii="仿宋" w:hAnsi="仿宋" w:eastAsia="仿宋" w:cs="仿宋"/>
          <w:kern w:val="0"/>
          <w:sz w:val="28"/>
          <w:szCs w:val="28"/>
          <w:highlight w:val="none"/>
          <w:shd w:val="clear" w:color="auto" w:fill="FFFFFF"/>
          <w:lang w:val="en-US" w:eastAsia="zh-CN"/>
        </w:rPr>
        <w:t>300</w:t>
      </w:r>
      <w:r>
        <w:rPr>
          <w:rFonts w:hint="eastAsia" w:ascii="仿宋" w:hAnsi="仿宋" w:eastAsia="仿宋" w:cs="仿宋"/>
          <w:kern w:val="0"/>
          <w:sz w:val="28"/>
          <w:szCs w:val="28"/>
          <w:highlight w:val="none"/>
          <w:shd w:val="clear" w:color="auto" w:fill="FFFFFF"/>
        </w:rPr>
        <w:t>元，递交投标文件是支付给代理机构。本项目招标代理费</w:t>
      </w:r>
      <w:r>
        <w:rPr>
          <w:rFonts w:hint="eastAsia" w:ascii="仿宋" w:hAnsi="仿宋" w:eastAsia="仿宋" w:cs="仿宋"/>
          <w:kern w:val="0"/>
          <w:sz w:val="28"/>
          <w:szCs w:val="28"/>
          <w:highlight w:val="none"/>
          <w:shd w:val="clear" w:color="auto" w:fill="FFFFFF"/>
          <w:lang w:val="en-US" w:eastAsia="zh-CN"/>
        </w:rPr>
        <w:t>1500元</w:t>
      </w:r>
      <w:r>
        <w:rPr>
          <w:rFonts w:hint="eastAsia"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lang w:eastAsia="zh-CN"/>
        </w:rPr>
        <w:t>专家论证费、</w:t>
      </w:r>
      <w:r>
        <w:rPr>
          <w:rFonts w:hint="eastAsia" w:ascii="仿宋" w:hAnsi="仿宋" w:eastAsia="仿宋" w:cs="仿宋"/>
          <w:kern w:val="0"/>
          <w:sz w:val="28"/>
          <w:szCs w:val="28"/>
          <w:highlight w:val="none"/>
          <w:shd w:val="clear" w:color="auto" w:fill="FFFFFF"/>
          <w:lang w:val="en-US" w:eastAsia="zh-CN"/>
        </w:rPr>
        <w:t>评委费按实收取，</w:t>
      </w:r>
      <w:r>
        <w:rPr>
          <w:rFonts w:hint="eastAsia" w:ascii="仿宋" w:hAnsi="仿宋" w:eastAsia="仿宋" w:cs="仿宋"/>
          <w:kern w:val="0"/>
          <w:sz w:val="28"/>
          <w:szCs w:val="28"/>
          <w:highlight w:val="none"/>
          <w:shd w:val="clear" w:color="auto" w:fill="FFFFFF"/>
          <w:lang w:val="zh-CN"/>
        </w:rPr>
        <w:t>由成交供应商付给代理机构。代理费、专家论证费，</w:t>
      </w:r>
      <w:r>
        <w:rPr>
          <w:rFonts w:hint="eastAsia" w:ascii="仿宋" w:hAnsi="仿宋" w:eastAsia="仿宋" w:cs="仿宋"/>
          <w:kern w:val="0"/>
          <w:sz w:val="28"/>
          <w:szCs w:val="28"/>
          <w:highlight w:val="none"/>
          <w:shd w:val="clear" w:color="auto" w:fill="FFFFFF"/>
          <w:lang w:val="en-US" w:eastAsia="zh-CN"/>
        </w:rPr>
        <w:t>评委费</w:t>
      </w:r>
      <w:r>
        <w:rPr>
          <w:rFonts w:hint="eastAsia" w:ascii="仿宋" w:hAnsi="仿宋" w:eastAsia="仿宋" w:cs="仿宋"/>
          <w:kern w:val="0"/>
          <w:sz w:val="28"/>
          <w:szCs w:val="28"/>
          <w:highlight w:val="none"/>
          <w:shd w:val="clear" w:color="auto" w:fill="FFFFFF"/>
          <w:lang w:val="zh-CN"/>
        </w:rPr>
        <w:t>由成交供应商</w:t>
      </w:r>
      <w:r>
        <w:rPr>
          <w:rFonts w:hint="eastAsia" w:ascii="仿宋" w:hAnsi="仿宋" w:eastAsia="仿宋" w:cs="仿宋"/>
          <w:kern w:val="0"/>
          <w:sz w:val="28"/>
          <w:szCs w:val="28"/>
          <w:highlight w:val="none"/>
          <w:shd w:val="clear" w:color="auto" w:fill="FFFFFF"/>
        </w:rPr>
        <w:t>在开标现场</w:t>
      </w:r>
      <w:r>
        <w:rPr>
          <w:rFonts w:hint="eastAsia" w:ascii="仿宋" w:hAnsi="仿宋" w:eastAsia="仿宋" w:cs="仿宋"/>
          <w:kern w:val="0"/>
          <w:sz w:val="28"/>
          <w:szCs w:val="28"/>
          <w:highlight w:val="none"/>
          <w:shd w:val="clear" w:color="auto" w:fill="FFFFFF"/>
          <w:lang w:val="zh-CN"/>
        </w:rPr>
        <w:t>付给代理机构。投标人须综合考虑在投标响应报价内，不单列。</w:t>
      </w:r>
    </w:p>
    <w:p>
      <w:pPr>
        <w:widowControl/>
        <w:shd w:val="clear" w:color="auto" w:fill="FFFFFF"/>
        <w:spacing w:line="460" w:lineRule="exact"/>
        <w:ind w:firstLine="560"/>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十一、供应商承担所有与准备和参加单一来源谈判可能发生的全部费用，采购人在任何情况下均无义务和责任承担这些费用。</w:t>
      </w:r>
    </w:p>
    <w:p>
      <w:pPr>
        <w:pStyle w:val="10"/>
        <w:widowControl/>
        <w:shd w:val="clear" w:color="auto" w:fill="FFFFFF"/>
        <w:spacing w:beforeAutospacing="0" w:afterAutospacing="0" w:line="460" w:lineRule="exact"/>
        <w:jc w:val="both"/>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lang w:eastAsia="zh-CN"/>
        </w:rPr>
        <w:t>江苏省南通卫生高等职业技术学校</w:t>
      </w:r>
      <w:r>
        <w:rPr>
          <w:rFonts w:hint="eastAsia" w:ascii="仿宋" w:hAnsi="仿宋" w:eastAsia="仿宋" w:cs="仿宋"/>
          <w:color w:val="000000"/>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依据贵单位</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二○    年    月    日</w:t>
      </w:r>
    </w:p>
    <w:p>
      <w:pPr>
        <w:widowControl/>
        <w:numPr>
          <w:ilvl w:val="0"/>
          <w:numId w:val="0"/>
        </w:numPr>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rPr>
        <w:t>附件</w:t>
      </w:r>
      <w:r>
        <w:rPr>
          <w:rFonts w:hint="eastAsia" w:ascii="仿宋" w:hAnsi="仿宋" w:eastAsia="仿宋" w:cs="仿宋"/>
          <w:b/>
          <w:color w:val="000000"/>
          <w:kern w:val="0"/>
          <w:sz w:val="28"/>
          <w:szCs w:val="28"/>
          <w:highlight w:val="none"/>
          <w:shd w:val="clear" w:color="auto" w:fill="FFFFFF"/>
          <w:lang w:val="en-US" w:eastAsia="zh-CN"/>
        </w:rPr>
        <w:t>2</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lang w:eastAsia="zh-CN"/>
        </w:rPr>
        <w:t>江苏省南通卫生高等职业技术学校</w:t>
      </w: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u w:val="single"/>
          <w:shd w:val="clear" w:color="auto" w:fill="FFFFFF"/>
        </w:rPr>
        <w:t xml:space="preserve">    先生／女士：</w:t>
      </w:r>
      <w:r>
        <w:rPr>
          <w:rFonts w:hint="eastAsia" w:ascii="仿宋" w:hAnsi="仿宋" w:eastAsia="仿宋" w:cs="仿宋"/>
          <w:color w:val="000000"/>
          <w:kern w:val="0"/>
          <w:sz w:val="28"/>
          <w:szCs w:val="28"/>
          <w:highlight w:val="none"/>
          <w:shd w:val="clear" w:color="auto" w:fill="FFFFFF"/>
        </w:rPr>
        <w:t>现任我单位</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职务，为法定代表人，特此证明。</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身份证号码：</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center"/>
        <w:rPr>
          <w:rFonts w:hint="eastAsia"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rPr>
        <w:t>附件</w:t>
      </w:r>
      <w:r>
        <w:rPr>
          <w:rFonts w:hint="eastAsia" w:ascii="仿宋" w:hAnsi="仿宋" w:eastAsia="仿宋" w:cs="仿宋"/>
          <w:b/>
          <w:color w:val="000000"/>
          <w:kern w:val="0"/>
          <w:sz w:val="28"/>
          <w:szCs w:val="28"/>
          <w:highlight w:val="none"/>
          <w:shd w:val="clear" w:color="auto" w:fill="FFFFFF"/>
          <w:lang w:val="en-US" w:eastAsia="zh-CN"/>
        </w:rPr>
        <w:t>3</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lang w:eastAsia="zh-CN"/>
        </w:rPr>
        <w:t>江苏省南通卫生高等职业技术学校</w:t>
      </w:r>
      <w:r>
        <w:rPr>
          <w:rFonts w:hint="eastAsia" w:ascii="仿宋" w:hAnsi="仿宋" w:eastAsia="仿宋" w:cs="仿宋"/>
          <w:color w:val="000000"/>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本授权委托书声明：我</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（姓名）系</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（投标人名称）的法定代表人，现授权委托</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（姓名）为我公司代理人，以本公司的名义参加本项目的谈判活动。代理人在开标、评标、合同谈判过程中所签署的一切文件和处理与之有关的一切事务，我均予以承认。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被委托授权人身份证号：</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rPr>
        <w:t>附件</w:t>
      </w:r>
      <w:r>
        <w:rPr>
          <w:rFonts w:hint="eastAsia" w:ascii="仿宋" w:hAnsi="仿宋" w:eastAsia="仿宋" w:cs="仿宋"/>
          <w:b/>
          <w:color w:val="000000"/>
          <w:kern w:val="0"/>
          <w:sz w:val="28"/>
          <w:szCs w:val="28"/>
          <w:highlight w:val="none"/>
          <w:shd w:val="clear" w:color="auto" w:fill="FFFFFF"/>
          <w:lang w:val="en-US" w:eastAsia="zh-CN"/>
        </w:rPr>
        <w:t>4</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项目名称：</w:t>
      </w:r>
    </w:p>
    <w:tbl>
      <w:tblPr>
        <w:tblStyle w:val="13"/>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highlight w:val="none"/>
              </w:rPr>
            </w:pPr>
            <w:r>
              <w:rPr>
                <w:rFonts w:hint="eastAsia" w:ascii="仿宋" w:hAnsi="仿宋" w:eastAsia="仿宋" w:cs="仿宋"/>
                <w:color w:val="000000"/>
                <w:kern w:val="0"/>
                <w:sz w:val="28"/>
                <w:szCs w:val="28"/>
                <w:highlight w:val="none"/>
                <w:lang w:eastAsia="zh-CN"/>
              </w:rPr>
              <w:t>江苏省南通卫生高等职业技术学校中职技能大赛心肺复苏及静脉注射模型采购项目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highlight w:val="none"/>
              </w:rPr>
            </w:pPr>
            <w:r>
              <w:rPr>
                <w:rFonts w:hint="eastAsia" w:ascii="仿宋" w:hAnsi="仿宋" w:eastAsia="仿宋" w:cs="仿宋"/>
                <w:color w:val="000000"/>
                <w:kern w:val="0"/>
                <w:sz w:val="28"/>
                <w:szCs w:val="28"/>
                <w:highlight w:val="none"/>
              </w:rPr>
              <w:t>大写：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333333"/>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highlight w:val="none"/>
              </w:rPr>
            </w:pPr>
            <w:r>
              <w:rPr>
                <w:rFonts w:hint="eastAsia" w:ascii="仿宋" w:hAnsi="仿宋" w:eastAsia="仿宋" w:cs="仿宋"/>
                <w:color w:val="000000"/>
                <w:kern w:val="0"/>
                <w:sz w:val="28"/>
                <w:szCs w:val="28"/>
                <w:highlight w:val="none"/>
              </w:rPr>
              <w:t>小写：          元</w:t>
            </w:r>
          </w:p>
        </w:tc>
      </w:tr>
    </w:tbl>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2、谈判报价中应包括从项目实施到结束的所有费用，包括为完成本项目所必须的其他辅助工作的相关费用及响应招标文件要求等的一切应有费用。</w:t>
      </w:r>
    </w:p>
    <w:p>
      <w:pPr>
        <w:widowControl/>
        <w:spacing w:before="372" w:after="360" w:line="336" w:lineRule="atLeast"/>
        <w:jc w:val="left"/>
        <w:rPr>
          <w:rFonts w:ascii="仿宋" w:hAnsi="仿宋" w:eastAsia="仿宋" w:cs="仿宋"/>
          <w:sz w:val="16"/>
          <w:szCs w:val="16"/>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lang w:val="en-US" w:eastAsia="zh-CN"/>
        </w:rPr>
      </w:pP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lang w:val="en-US" w:eastAsia="zh-CN"/>
        </w:rPr>
        <w:t>附件5</w:t>
      </w:r>
    </w:p>
    <w:p>
      <w:pPr>
        <w:spacing w:line="400" w:lineRule="exact"/>
        <w:jc w:val="center"/>
        <w:rPr>
          <w:rFonts w:ascii="Calibri" w:hAnsi="Calibri"/>
          <w:sz w:val="32"/>
          <w:szCs w:val="32"/>
        </w:rPr>
      </w:pPr>
      <w:r>
        <w:rPr>
          <w:rFonts w:hint="eastAsia" w:ascii="Calibri" w:hAnsi="Calibri"/>
          <w:b/>
          <w:bCs/>
          <w:sz w:val="32"/>
          <w:szCs w:val="32"/>
        </w:rPr>
        <w:t>分项报价明细表</w:t>
      </w:r>
    </w:p>
    <w:p>
      <w:pPr>
        <w:snapToGrid w:val="0"/>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1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序号</w:t>
            </w:r>
          </w:p>
        </w:tc>
        <w:tc>
          <w:tcPr>
            <w:tcW w:w="1340"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名称</w:t>
            </w:r>
          </w:p>
        </w:tc>
        <w:tc>
          <w:tcPr>
            <w:tcW w:w="1211"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规格型号</w:t>
            </w:r>
          </w:p>
        </w:tc>
        <w:tc>
          <w:tcPr>
            <w:tcW w:w="1276"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品牌</w:t>
            </w:r>
          </w:p>
        </w:tc>
        <w:tc>
          <w:tcPr>
            <w:tcW w:w="992"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单位</w:t>
            </w:r>
          </w:p>
        </w:tc>
        <w:tc>
          <w:tcPr>
            <w:tcW w:w="851"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数量</w:t>
            </w:r>
          </w:p>
        </w:tc>
        <w:tc>
          <w:tcPr>
            <w:tcW w:w="850"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单价</w:t>
            </w:r>
          </w:p>
        </w:tc>
        <w:tc>
          <w:tcPr>
            <w:tcW w:w="851"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金额</w:t>
            </w:r>
          </w:p>
        </w:tc>
        <w:tc>
          <w:tcPr>
            <w:tcW w:w="1403" w:type="dxa"/>
            <w:noWrap w:val="0"/>
            <w:vAlign w:val="center"/>
          </w:tcPr>
          <w:p>
            <w:pPr>
              <w:snapToGrid w:val="0"/>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8774" w:type="dxa"/>
            <w:gridSpan w:val="8"/>
            <w:noWrap w:val="0"/>
            <w:vAlign w:val="center"/>
          </w:tcPr>
          <w:p>
            <w:pPr>
              <w:snapToGrid w:val="0"/>
              <w:spacing w:line="360" w:lineRule="auto"/>
              <w:jc w:val="center"/>
              <w:rPr>
                <w:rFonts w:ascii="仿宋_GB2312" w:hAnsi="宋体" w:eastAsia="仿宋_GB2312"/>
                <w:color w:val="000000"/>
                <w:sz w:val="24"/>
              </w:rPr>
            </w:pPr>
          </w:p>
        </w:tc>
      </w:tr>
    </w:tbl>
    <w:p>
      <w:pPr>
        <w:rPr>
          <w:rFonts w:ascii="仿宋" w:hAnsi="仿宋" w:eastAsia="仿宋" w:cs="仿宋"/>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86794B"/>
    <w:rsid w:val="070E5914"/>
    <w:rsid w:val="083729A5"/>
    <w:rsid w:val="090B202B"/>
    <w:rsid w:val="0D64403B"/>
    <w:rsid w:val="0E120200"/>
    <w:rsid w:val="0F17453C"/>
    <w:rsid w:val="10CB516B"/>
    <w:rsid w:val="13A10F7E"/>
    <w:rsid w:val="15D83A51"/>
    <w:rsid w:val="16211FC3"/>
    <w:rsid w:val="1B0968D9"/>
    <w:rsid w:val="1B45730D"/>
    <w:rsid w:val="1BD666FA"/>
    <w:rsid w:val="1CE549CF"/>
    <w:rsid w:val="1E99454D"/>
    <w:rsid w:val="2256659A"/>
    <w:rsid w:val="2669529A"/>
    <w:rsid w:val="26E80131"/>
    <w:rsid w:val="2D541D86"/>
    <w:rsid w:val="2E26037B"/>
    <w:rsid w:val="2EA15051"/>
    <w:rsid w:val="2ED019C3"/>
    <w:rsid w:val="2EF87EB0"/>
    <w:rsid w:val="30967A3D"/>
    <w:rsid w:val="339B08E7"/>
    <w:rsid w:val="342E50E4"/>
    <w:rsid w:val="35EB6FAF"/>
    <w:rsid w:val="37E5060B"/>
    <w:rsid w:val="38697BDC"/>
    <w:rsid w:val="3AF8696C"/>
    <w:rsid w:val="3CB57B8C"/>
    <w:rsid w:val="416F1070"/>
    <w:rsid w:val="42284AC7"/>
    <w:rsid w:val="425325B7"/>
    <w:rsid w:val="44CB55AC"/>
    <w:rsid w:val="46702A15"/>
    <w:rsid w:val="468649D1"/>
    <w:rsid w:val="46D97145"/>
    <w:rsid w:val="47FF58AC"/>
    <w:rsid w:val="499A7AF6"/>
    <w:rsid w:val="4B26463D"/>
    <w:rsid w:val="4C58557B"/>
    <w:rsid w:val="4F452A67"/>
    <w:rsid w:val="4F6E1817"/>
    <w:rsid w:val="505028B0"/>
    <w:rsid w:val="55510CAC"/>
    <w:rsid w:val="56305650"/>
    <w:rsid w:val="565D2FF6"/>
    <w:rsid w:val="578C4DE8"/>
    <w:rsid w:val="5C751848"/>
    <w:rsid w:val="5D3D5317"/>
    <w:rsid w:val="5E0F3567"/>
    <w:rsid w:val="5F6A6CDD"/>
    <w:rsid w:val="615E4BE3"/>
    <w:rsid w:val="639C74B1"/>
    <w:rsid w:val="652B3002"/>
    <w:rsid w:val="68353B15"/>
    <w:rsid w:val="697E370C"/>
    <w:rsid w:val="699C5E96"/>
    <w:rsid w:val="69BD69EA"/>
    <w:rsid w:val="6CB83BAF"/>
    <w:rsid w:val="6CCB2045"/>
    <w:rsid w:val="6D6C5D15"/>
    <w:rsid w:val="6D6D5ABD"/>
    <w:rsid w:val="70DC3BB8"/>
    <w:rsid w:val="71CA022D"/>
    <w:rsid w:val="75734AE6"/>
    <w:rsid w:val="77313924"/>
    <w:rsid w:val="7A5770D0"/>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0"/>
      <w:sz w:val="24"/>
      <w:szCs w:val="20"/>
    </w:rPr>
  </w:style>
  <w:style w:type="paragraph" w:styleId="3">
    <w:name w:val="Body Text 2"/>
    <w:basedOn w:val="1"/>
    <w:qFormat/>
    <w:uiPriority w:val="99"/>
    <w:pPr>
      <w:spacing w:after="120" w:line="480" w:lineRule="auto"/>
    </w:pPr>
  </w:style>
  <w:style w:type="paragraph" w:styleId="6">
    <w:name w:val="Body Text Indent"/>
    <w:basedOn w:val="1"/>
    <w:next w:val="7"/>
    <w:qFormat/>
    <w:uiPriority w:val="0"/>
    <w:pPr>
      <w:ind w:firstLine="645"/>
    </w:pPr>
    <w:rPr>
      <w:rFonts w:ascii="楷体_GB2312" w:eastAsia="楷体_GB2312"/>
      <w:sz w:val="32"/>
      <w:szCs w:val="32"/>
    </w:rPr>
  </w:style>
  <w:style w:type="paragraph" w:styleId="7">
    <w:name w:val="envelope return"/>
    <w:basedOn w:val="1"/>
    <w:unhideWhenUsed/>
    <w:qFormat/>
    <w:uiPriority w:val="99"/>
    <w:pPr>
      <w:snapToGrid w:val="0"/>
    </w:pPr>
    <w:rPr>
      <w:rFonts w:ascii="Arial" w:hAnsi="Arial"/>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qFormat/>
    <w:uiPriority w:val="0"/>
    <w:pPr>
      <w:spacing w:after="120"/>
      <w:ind w:firstLine="420" w:firstLineChars="100"/>
    </w:pPr>
    <w:rPr>
      <w:rFonts w:ascii="Times New Roman" w:eastAsia="宋体"/>
      <w:szCs w:val="24"/>
    </w:rPr>
  </w:style>
  <w:style w:type="paragraph" w:styleId="12">
    <w:name w:val="Body Text First Indent 2"/>
    <w:basedOn w:val="1"/>
    <w:next w:val="1"/>
    <w:qFormat/>
    <w:uiPriority w:val="0"/>
    <w:pPr>
      <w:spacing w:line="400" w:lineRule="exact"/>
      <w:ind w:firstLine="480" w:firstLineChars="200"/>
    </w:pPr>
    <w:rPr>
      <w:rFonts w:ascii="Times New Roman" w:hAnsi="Times New Roman"/>
    </w:rPr>
  </w:style>
  <w:style w:type="character" w:styleId="15">
    <w:name w:val="FollowedHyperlink"/>
    <w:basedOn w:val="14"/>
    <w:qFormat/>
    <w:uiPriority w:val="0"/>
    <w:rPr>
      <w:color w:val="333333"/>
      <w:u w:val="none"/>
    </w:rPr>
  </w:style>
  <w:style w:type="character" w:styleId="16">
    <w:name w:val="Hyperlink"/>
    <w:basedOn w:val="14"/>
    <w:qFormat/>
    <w:uiPriority w:val="0"/>
    <w:rPr>
      <w:color w:val="0000FF"/>
      <w:u w:val="single"/>
    </w:rPr>
  </w:style>
  <w:style w:type="paragraph" w:customStyle="1" w:styleId="17">
    <w:name w:val="style4"/>
    <w:basedOn w:val="1"/>
    <w:next w:val="18"/>
    <w:qFormat/>
    <w:uiPriority w:val="0"/>
    <w:pPr>
      <w:widowControl/>
      <w:spacing w:before="280" w:after="280"/>
    </w:pPr>
    <w:rPr>
      <w:rFonts w:ascii="宋体"/>
      <w:sz w:val="18"/>
    </w:rPr>
  </w:style>
  <w:style w:type="paragraph" w:customStyle="1" w:styleId="1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paragraph" w:customStyle="1" w:styleId="22">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active"/>
    <w:basedOn w:val="14"/>
    <w:qFormat/>
    <w:uiPriority w:val="0"/>
    <w:rPr>
      <w:color w:val="FFFFFF"/>
      <w:bdr w:val="single" w:color="0F5BB9" w:sz="6" w:space="0"/>
      <w:shd w:val="clear" w:color="auto" w:fill="0F5BB9"/>
    </w:rPr>
  </w:style>
  <w:style w:type="character" w:customStyle="1" w:styleId="24">
    <w:name w:val="active13"/>
    <w:basedOn w:val="14"/>
    <w:qFormat/>
    <w:uiPriority w:val="0"/>
    <w:rPr>
      <w:color w:val="FFFFFF"/>
      <w:bdr w:val="single" w:color="0F5BB9" w:sz="6" w:space="0"/>
      <w:shd w:val="clear" w:color="auto" w:fill="0F5BB9"/>
    </w:rPr>
  </w:style>
  <w:style w:type="character" w:customStyle="1" w:styleId="25">
    <w:name w:val="15"/>
    <w:basedOn w:val="14"/>
    <w:qFormat/>
    <w:uiPriority w:val="0"/>
    <w:rPr>
      <w:rFonts w:hint="default" w:ascii="Times New Roman" w:hAnsi="Times New Roman" w:eastAsia="宋体" w:cs="Times New Roman"/>
      <w:kern w:val="2"/>
      <w:sz w:val="21"/>
      <w:szCs w:val="21"/>
    </w:rPr>
  </w:style>
  <w:style w:type="paragraph" w:customStyle="1" w:styleId="26">
    <w:name w:val="sh3"/>
    <w:basedOn w:val="1"/>
    <w:qFormat/>
    <w:uiPriority w:val="0"/>
    <w:pPr>
      <w:spacing w:line="460" w:lineRule="exact"/>
      <w:jc w:val="left"/>
    </w:pPr>
    <w:rPr>
      <w:rFonts w:ascii="宋体" w:hAnsi="宋体"/>
      <w:b/>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5484</Words>
  <Characters>5851</Characters>
  <Lines>35</Lines>
  <Paragraphs>9</Paragraphs>
  <TotalTime>2</TotalTime>
  <ScaleCrop>false</ScaleCrop>
  <LinksUpToDate>false</LinksUpToDate>
  <CharactersWithSpaces>6019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admin</cp:lastModifiedBy>
  <dcterms:modified xsi:type="dcterms:W3CDTF">2022-12-19T05:59:16Z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DB69C8FD722C4561AE463A051BAD9C95</vt:lpwstr>
  </property>
</Properties>
</file>