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55CA3">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宋体" w:hAnsi="宋体" w:eastAsia="宋体" w:cs="宋体"/>
          <w:b/>
          <w:color w:val="auto"/>
          <w:sz w:val="100"/>
          <w:szCs w:val="100"/>
          <w:lang w:val="en-US" w:eastAsia="zh-CN"/>
        </w:rPr>
      </w:pPr>
      <w:r>
        <w:rPr>
          <w:rFonts w:hint="eastAsia" w:ascii="宋体" w:hAnsi="宋体" w:cs="宋体"/>
          <w:b/>
          <w:bCs/>
          <w:color w:val="auto"/>
          <w:sz w:val="44"/>
          <w:szCs w:val="44"/>
        </w:rPr>
        <w:t>江苏省南通卫生高等职业技术学校分子实验室</w:t>
      </w:r>
      <w:r>
        <w:rPr>
          <w:rFonts w:hint="eastAsia" w:ascii="宋体" w:hAnsi="宋体" w:cs="宋体"/>
          <w:b/>
          <w:bCs/>
          <w:color w:val="auto"/>
          <w:sz w:val="44"/>
          <w:szCs w:val="44"/>
          <w:lang w:val="en-US" w:eastAsia="zh-CN"/>
        </w:rPr>
        <w:t>中心建设项目</w:t>
      </w:r>
    </w:p>
    <w:p w14:paraId="32798375">
      <w:pPr>
        <w:spacing w:line="360" w:lineRule="auto"/>
        <w:jc w:val="center"/>
        <w:rPr>
          <w:rFonts w:ascii="宋体" w:hAnsi="宋体" w:cs="宋体"/>
          <w:b/>
          <w:color w:val="auto"/>
          <w:sz w:val="100"/>
          <w:szCs w:val="100"/>
        </w:rPr>
      </w:pPr>
    </w:p>
    <w:p w14:paraId="26B84298">
      <w:pPr>
        <w:spacing w:line="360" w:lineRule="auto"/>
        <w:jc w:val="center"/>
        <w:rPr>
          <w:rFonts w:ascii="宋体" w:hAnsi="宋体" w:cs="宋体"/>
          <w:b/>
          <w:color w:val="auto"/>
          <w:sz w:val="100"/>
          <w:szCs w:val="100"/>
        </w:rPr>
      </w:pPr>
    </w:p>
    <w:p w14:paraId="15F5312F">
      <w:pPr>
        <w:spacing w:line="360" w:lineRule="auto"/>
        <w:jc w:val="center"/>
        <w:rPr>
          <w:rFonts w:ascii="宋体" w:hAnsi="宋体" w:cs="宋体"/>
          <w:b/>
          <w:color w:val="auto"/>
          <w:sz w:val="100"/>
          <w:szCs w:val="100"/>
        </w:rPr>
      </w:pPr>
      <w:r>
        <w:rPr>
          <w:rFonts w:hint="eastAsia" w:ascii="宋体" w:hAnsi="宋体" w:cs="宋体"/>
          <w:b/>
          <w:color w:val="auto"/>
          <w:sz w:val="100"/>
          <w:szCs w:val="100"/>
        </w:rPr>
        <w:t>磋商采购文件</w:t>
      </w:r>
    </w:p>
    <w:p w14:paraId="528D66A0">
      <w:pPr>
        <w:keepNext/>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采购文件编号：WXBS2024107</w:t>
      </w:r>
    </w:p>
    <w:p w14:paraId="5D98918C">
      <w:pPr>
        <w:spacing w:line="360" w:lineRule="auto"/>
        <w:jc w:val="center"/>
        <w:rPr>
          <w:rFonts w:ascii="宋体" w:hAnsi="宋体" w:cs="宋体"/>
          <w:b/>
          <w:color w:val="auto"/>
          <w:sz w:val="36"/>
        </w:rPr>
      </w:pPr>
    </w:p>
    <w:p w14:paraId="6206C215">
      <w:pPr>
        <w:spacing w:line="360" w:lineRule="auto"/>
        <w:jc w:val="center"/>
        <w:rPr>
          <w:rFonts w:ascii="宋体" w:hAnsi="宋体" w:cs="宋体"/>
          <w:b/>
          <w:color w:val="auto"/>
          <w:sz w:val="36"/>
        </w:rPr>
      </w:pPr>
    </w:p>
    <w:p w14:paraId="479D1DBB">
      <w:pPr>
        <w:spacing w:line="360" w:lineRule="auto"/>
        <w:jc w:val="center"/>
        <w:rPr>
          <w:rFonts w:ascii="宋体" w:hAnsi="宋体" w:cs="宋体"/>
          <w:b/>
          <w:color w:val="auto"/>
          <w:sz w:val="36"/>
        </w:rPr>
      </w:pPr>
    </w:p>
    <w:p w14:paraId="3C2A0593">
      <w:pPr>
        <w:spacing w:line="360" w:lineRule="auto"/>
        <w:jc w:val="center"/>
        <w:rPr>
          <w:rFonts w:ascii="宋体" w:hAnsi="宋体" w:cs="宋体"/>
          <w:b/>
          <w:color w:val="auto"/>
          <w:sz w:val="36"/>
        </w:rPr>
      </w:pPr>
    </w:p>
    <w:p w14:paraId="30B120EF">
      <w:pPr>
        <w:spacing w:line="360" w:lineRule="auto"/>
        <w:jc w:val="center"/>
        <w:rPr>
          <w:rFonts w:ascii="宋体" w:hAnsi="宋体" w:cs="宋体"/>
          <w:b/>
          <w:color w:val="auto"/>
          <w:sz w:val="36"/>
        </w:rPr>
      </w:pPr>
    </w:p>
    <w:p w14:paraId="463C1110">
      <w:pPr>
        <w:adjustRightInd w:val="0"/>
        <w:spacing w:before="120" w:after="120" w:line="360" w:lineRule="auto"/>
        <w:ind w:right="120"/>
        <w:textAlignment w:val="baseline"/>
        <w:rPr>
          <w:rFonts w:ascii="宋体" w:hAnsi="宋体" w:cs="宋体"/>
          <w:b/>
          <w:color w:val="auto"/>
          <w:spacing w:val="20"/>
          <w:sz w:val="32"/>
          <w:szCs w:val="32"/>
        </w:rPr>
      </w:pPr>
    </w:p>
    <w:p w14:paraId="6D6C2E08">
      <w:pPr>
        <w:adjustRightInd w:val="0"/>
        <w:spacing w:before="120" w:after="120" w:line="360" w:lineRule="auto"/>
        <w:ind w:left="-2" w:right="120"/>
        <w:jc w:val="center"/>
        <w:textAlignment w:val="baseline"/>
        <w:rPr>
          <w:rFonts w:ascii="宋体" w:hAnsi="宋体" w:cs="宋体"/>
          <w:b/>
          <w:color w:val="auto"/>
          <w:spacing w:val="20"/>
          <w:sz w:val="32"/>
          <w:szCs w:val="32"/>
        </w:rPr>
      </w:pPr>
    </w:p>
    <w:p w14:paraId="494D44C4">
      <w:pPr>
        <w:adjustRightInd w:val="0"/>
        <w:spacing w:before="120" w:after="120" w:line="360" w:lineRule="auto"/>
        <w:ind w:left="-2" w:right="120"/>
        <w:jc w:val="center"/>
        <w:textAlignment w:val="baseline"/>
        <w:rPr>
          <w:rFonts w:ascii="宋体" w:hAnsi="宋体" w:cs="宋体"/>
          <w:b/>
          <w:color w:val="auto"/>
          <w:spacing w:val="20"/>
          <w:sz w:val="32"/>
          <w:szCs w:val="32"/>
        </w:rPr>
      </w:pPr>
    </w:p>
    <w:p w14:paraId="050160EC">
      <w:pPr>
        <w:adjustRightInd w:val="0"/>
        <w:spacing w:before="120" w:after="120" w:line="360" w:lineRule="auto"/>
        <w:ind w:left="-2" w:right="120"/>
        <w:jc w:val="center"/>
        <w:textAlignment w:val="baseline"/>
        <w:rPr>
          <w:rFonts w:ascii="宋体" w:hAnsi="宋体" w:cs="宋体"/>
          <w:b/>
          <w:bCs/>
          <w:color w:val="auto"/>
          <w:kern w:val="0"/>
          <w:sz w:val="32"/>
          <w:szCs w:val="32"/>
        </w:rPr>
      </w:pPr>
      <w:r>
        <w:rPr>
          <w:rFonts w:hint="eastAsia" w:ascii="宋体" w:hAnsi="宋体" w:cs="宋体"/>
          <w:b/>
          <w:bCs/>
          <w:color w:val="auto"/>
          <w:kern w:val="0"/>
          <w:sz w:val="32"/>
          <w:szCs w:val="32"/>
        </w:rPr>
        <w:t>江苏省南通卫生高等职业技术学校</w:t>
      </w:r>
    </w:p>
    <w:p w14:paraId="6C3F3691">
      <w:pPr>
        <w:adjustRightInd w:val="0"/>
        <w:spacing w:before="120" w:after="120" w:line="360" w:lineRule="auto"/>
        <w:ind w:left="-2" w:right="120"/>
        <w:jc w:val="center"/>
        <w:textAlignment w:val="baseline"/>
        <w:rPr>
          <w:rFonts w:ascii="宋体" w:hAnsi="宋体" w:cs="宋体"/>
          <w:b/>
          <w:bCs/>
          <w:color w:val="auto"/>
          <w:kern w:val="0"/>
          <w:sz w:val="32"/>
          <w:szCs w:val="32"/>
        </w:rPr>
      </w:pPr>
      <w:r>
        <w:rPr>
          <w:rFonts w:hint="eastAsia" w:ascii="宋体" w:hAnsi="宋体" w:cs="宋体"/>
          <w:b/>
          <w:bCs/>
          <w:color w:val="auto"/>
          <w:kern w:val="0"/>
          <w:sz w:val="32"/>
          <w:szCs w:val="32"/>
        </w:rPr>
        <w:t>2024年</w:t>
      </w:r>
      <w:r>
        <w:rPr>
          <w:rFonts w:hint="eastAsia" w:ascii="宋体" w:hAnsi="宋体" w:cs="宋体"/>
          <w:b/>
          <w:bCs/>
          <w:color w:val="auto"/>
          <w:kern w:val="0"/>
          <w:sz w:val="32"/>
          <w:szCs w:val="32"/>
          <w:lang w:val="en-US" w:eastAsia="zh-CN"/>
        </w:rPr>
        <w:t>12</w:t>
      </w:r>
      <w:r>
        <w:rPr>
          <w:rFonts w:hint="eastAsia" w:ascii="宋体" w:hAnsi="宋体" w:cs="宋体"/>
          <w:b/>
          <w:bCs/>
          <w:color w:val="auto"/>
          <w:kern w:val="0"/>
          <w:sz w:val="32"/>
          <w:szCs w:val="32"/>
        </w:rPr>
        <w:t>月</w:t>
      </w:r>
    </w:p>
    <w:p w14:paraId="0E021B24">
      <w:pPr>
        <w:adjustRightInd w:val="0"/>
        <w:snapToGrid w:val="0"/>
        <w:spacing w:line="360" w:lineRule="auto"/>
        <w:ind w:left="-158" w:leftChars="-75"/>
        <w:jc w:val="center"/>
        <w:rPr>
          <w:rFonts w:ascii="宋体" w:hAnsi="宋体" w:cs="宋体"/>
          <w:color w:val="auto"/>
          <w:sz w:val="44"/>
          <w:szCs w:val="44"/>
          <w:lang w:val="zh-CN"/>
        </w:rPr>
      </w:pPr>
      <w:r>
        <w:rPr>
          <w:rFonts w:hint="eastAsia" w:ascii="宋体" w:hAnsi="宋体" w:cs="宋体"/>
          <w:color w:val="auto"/>
          <w:sz w:val="44"/>
          <w:szCs w:val="44"/>
          <w:lang w:val="zh-CN"/>
        </w:rPr>
        <w:br w:type="page"/>
      </w:r>
      <w:r>
        <w:rPr>
          <w:rFonts w:hint="eastAsia" w:ascii="宋体" w:hAnsi="宋体" w:cs="宋体"/>
          <w:color w:val="auto"/>
          <w:sz w:val="44"/>
          <w:szCs w:val="44"/>
          <w:lang w:val="zh-CN"/>
        </w:rPr>
        <w:t xml:space="preserve">目 </w:t>
      </w:r>
      <w:r>
        <w:rPr>
          <w:rFonts w:hint="eastAsia" w:ascii="宋体" w:hAnsi="宋体" w:cs="宋体"/>
          <w:color w:val="auto"/>
          <w:sz w:val="44"/>
          <w:szCs w:val="44"/>
        </w:rPr>
        <w:t xml:space="preserve">  </w:t>
      </w:r>
      <w:r>
        <w:rPr>
          <w:rFonts w:hint="eastAsia" w:ascii="宋体" w:hAnsi="宋体" w:cs="宋体"/>
          <w:color w:val="auto"/>
          <w:sz w:val="44"/>
          <w:szCs w:val="44"/>
          <w:lang w:val="zh-CN"/>
        </w:rPr>
        <w:t>录</w:t>
      </w:r>
    </w:p>
    <w:p w14:paraId="0DFA1106">
      <w:pPr>
        <w:autoSpaceDE w:val="0"/>
        <w:autoSpaceDN w:val="0"/>
        <w:adjustRightInd w:val="0"/>
        <w:snapToGrid w:val="0"/>
        <w:spacing w:line="1000" w:lineRule="exact"/>
        <w:ind w:firstLine="556"/>
        <w:rPr>
          <w:rFonts w:ascii="宋体" w:hAnsi="宋体" w:cs="宋体"/>
          <w:color w:val="auto"/>
          <w:sz w:val="32"/>
          <w:szCs w:val="32"/>
        </w:rPr>
      </w:pPr>
      <w:r>
        <w:rPr>
          <w:rFonts w:hint="eastAsia" w:ascii="宋体" w:hAnsi="宋体" w:cs="宋体"/>
          <w:color w:val="auto"/>
          <w:sz w:val="32"/>
          <w:szCs w:val="32"/>
        </w:rPr>
        <w:t>第一部分  磋商通告</w:t>
      </w:r>
    </w:p>
    <w:p w14:paraId="392C5D0B">
      <w:pPr>
        <w:autoSpaceDE w:val="0"/>
        <w:autoSpaceDN w:val="0"/>
        <w:adjustRightInd w:val="0"/>
        <w:snapToGrid w:val="0"/>
        <w:spacing w:line="1000" w:lineRule="exact"/>
        <w:ind w:firstLine="556"/>
        <w:rPr>
          <w:rFonts w:ascii="宋体" w:hAnsi="宋体" w:cs="宋体"/>
          <w:color w:val="auto"/>
          <w:sz w:val="32"/>
          <w:szCs w:val="32"/>
        </w:rPr>
      </w:pPr>
      <w:r>
        <w:rPr>
          <w:rFonts w:hint="eastAsia" w:ascii="宋体" w:hAnsi="宋体" w:cs="宋体"/>
          <w:color w:val="auto"/>
          <w:sz w:val="32"/>
          <w:szCs w:val="32"/>
        </w:rPr>
        <w:t>第二部分  磋商须知</w:t>
      </w:r>
    </w:p>
    <w:p w14:paraId="3C538A3D">
      <w:pPr>
        <w:autoSpaceDE w:val="0"/>
        <w:autoSpaceDN w:val="0"/>
        <w:adjustRightInd w:val="0"/>
        <w:snapToGrid w:val="0"/>
        <w:spacing w:line="1000" w:lineRule="exact"/>
        <w:ind w:firstLine="537"/>
        <w:rPr>
          <w:rFonts w:ascii="宋体" w:hAnsi="宋体" w:cs="宋体"/>
          <w:color w:val="auto"/>
          <w:sz w:val="32"/>
          <w:szCs w:val="32"/>
        </w:rPr>
      </w:pPr>
      <w:r>
        <w:rPr>
          <w:rFonts w:hint="eastAsia" w:ascii="宋体" w:hAnsi="宋体" w:cs="宋体"/>
          <w:color w:val="auto"/>
          <w:sz w:val="32"/>
          <w:szCs w:val="32"/>
        </w:rPr>
        <w:t>第三部分  项目需求</w:t>
      </w:r>
    </w:p>
    <w:p w14:paraId="58D11DB5">
      <w:pPr>
        <w:autoSpaceDE w:val="0"/>
        <w:autoSpaceDN w:val="0"/>
        <w:adjustRightInd w:val="0"/>
        <w:snapToGrid w:val="0"/>
        <w:spacing w:line="1000" w:lineRule="exact"/>
        <w:ind w:firstLine="537"/>
        <w:rPr>
          <w:rFonts w:ascii="宋体" w:hAnsi="宋体" w:cs="宋体"/>
          <w:color w:val="auto"/>
          <w:sz w:val="32"/>
          <w:szCs w:val="32"/>
        </w:rPr>
      </w:pPr>
      <w:r>
        <w:rPr>
          <w:rFonts w:hint="eastAsia" w:ascii="宋体" w:hAnsi="宋体" w:cs="宋体"/>
          <w:color w:val="auto"/>
          <w:sz w:val="32"/>
          <w:szCs w:val="32"/>
        </w:rPr>
        <w:t>第四部分  评审方法和评审标准</w:t>
      </w:r>
    </w:p>
    <w:p w14:paraId="6D9CE29E">
      <w:pPr>
        <w:autoSpaceDE w:val="0"/>
        <w:autoSpaceDN w:val="0"/>
        <w:adjustRightInd w:val="0"/>
        <w:snapToGrid w:val="0"/>
        <w:spacing w:line="1000" w:lineRule="exact"/>
        <w:ind w:firstLine="556"/>
        <w:rPr>
          <w:rFonts w:ascii="宋体" w:hAnsi="宋体" w:cs="宋体"/>
          <w:color w:val="auto"/>
          <w:sz w:val="32"/>
          <w:szCs w:val="32"/>
        </w:rPr>
      </w:pPr>
      <w:r>
        <w:rPr>
          <w:rFonts w:hint="eastAsia" w:ascii="宋体" w:hAnsi="宋体" w:cs="宋体"/>
          <w:color w:val="auto"/>
          <w:sz w:val="32"/>
          <w:szCs w:val="32"/>
        </w:rPr>
        <w:t>第五部分  响应文件组成</w:t>
      </w:r>
    </w:p>
    <w:p w14:paraId="74E4687D">
      <w:pPr>
        <w:tabs>
          <w:tab w:val="left" w:pos="7740"/>
        </w:tabs>
        <w:spacing w:line="360" w:lineRule="auto"/>
        <w:rPr>
          <w:rFonts w:ascii="宋体" w:hAnsi="宋体" w:cs="宋体"/>
          <w:bCs/>
          <w:color w:val="auto"/>
          <w:sz w:val="32"/>
          <w:szCs w:val="32"/>
        </w:rPr>
      </w:pPr>
    </w:p>
    <w:p w14:paraId="6F25C54B">
      <w:pPr>
        <w:tabs>
          <w:tab w:val="left" w:pos="7740"/>
        </w:tabs>
        <w:spacing w:line="360" w:lineRule="auto"/>
        <w:rPr>
          <w:rFonts w:ascii="宋体" w:hAnsi="宋体" w:cs="宋体"/>
          <w:bCs/>
          <w:color w:val="auto"/>
          <w:sz w:val="32"/>
          <w:szCs w:val="32"/>
        </w:rPr>
      </w:pPr>
    </w:p>
    <w:p w14:paraId="5C5E4634">
      <w:pPr>
        <w:autoSpaceDE w:val="0"/>
        <w:autoSpaceDN w:val="0"/>
        <w:adjustRightInd w:val="0"/>
        <w:spacing w:line="360" w:lineRule="auto"/>
        <w:jc w:val="center"/>
        <w:rPr>
          <w:rFonts w:ascii="宋体" w:hAnsi="宋体" w:cs="宋体"/>
          <w:b/>
          <w:bCs/>
          <w:color w:val="auto"/>
          <w:sz w:val="36"/>
          <w:szCs w:val="36"/>
          <w:lang w:val="zh-CN"/>
        </w:rPr>
      </w:pPr>
    </w:p>
    <w:p w14:paraId="3956A03C">
      <w:pPr>
        <w:autoSpaceDE w:val="0"/>
        <w:autoSpaceDN w:val="0"/>
        <w:adjustRightInd w:val="0"/>
        <w:spacing w:line="360" w:lineRule="auto"/>
        <w:rPr>
          <w:rFonts w:ascii="宋体" w:hAnsi="宋体" w:cs="宋体"/>
          <w:b/>
          <w:bCs/>
          <w:color w:val="auto"/>
          <w:sz w:val="36"/>
          <w:szCs w:val="36"/>
          <w:lang w:val="zh-CN"/>
        </w:rPr>
      </w:pPr>
    </w:p>
    <w:p w14:paraId="2348B3DC">
      <w:pPr>
        <w:autoSpaceDE w:val="0"/>
        <w:autoSpaceDN w:val="0"/>
        <w:adjustRightInd w:val="0"/>
        <w:spacing w:line="360" w:lineRule="auto"/>
        <w:jc w:val="center"/>
        <w:rPr>
          <w:rFonts w:ascii="宋体" w:hAnsi="宋体" w:cs="宋体"/>
          <w:b/>
          <w:bCs/>
          <w:color w:val="auto"/>
          <w:sz w:val="36"/>
          <w:szCs w:val="36"/>
          <w:lang w:val="zh-CN"/>
        </w:rPr>
      </w:pPr>
    </w:p>
    <w:p w14:paraId="4FBA3F69">
      <w:pPr>
        <w:autoSpaceDE w:val="0"/>
        <w:autoSpaceDN w:val="0"/>
        <w:adjustRightInd w:val="0"/>
        <w:spacing w:line="360" w:lineRule="auto"/>
        <w:jc w:val="center"/>
        <w:rPr>
          <w:rFonts w:ascii="宋体" w:hAnsi="宋体" w:cs="宋体"/>
          <w:b/>
          <w:bCs/>
          <w:color w:val="auto"/>
          <w:sz w:val="36"/>
          <w:szCs w:val="36"/>
          <w:lang w:val="zh-CN"/>
        </w:rPr>
      </w:pPr>
    </w:p>
    <w:p w14:paraId="14FB7FCE">
      <w:pPr>
        <w:autoSpaceDE w:val="0"/>
        <w:autoSpaceDN w:val="0"/>
        <w:adjustRightInd w:val="0"/>
        <w:spacing w:line="360" w:lineRule="auto"/>
        <w:jc w:val="center"/>
        <w:rPr>
          <w:rFonts w:ascii="宋体" w:hAnsi="宋体" w:cs="宋体"/>
          <w:b/>
          <w:bCs/>
          <w:color w:val="auto"/>
          <w:sz w:val="36"/>
          <w:szCs w:val="36"/>
          <w:lang w:val="zh-CN"/>
        </w:rPr>
      </w:pPr>
    </w:p>
    <w:p w14:paraId="49894D65">
      <w:pPr>
        <w:autoSpaceDE w:val="0"/>
        <w:autoSpaceDN w:val="0"/>
        <w:adjustRightInd w:val="0"/>
        <w:spacing w:line="360" w:lineRule="auto"/>
        <w:jc w:val="center"/>
        <w:rPr>
          <w:rFonts w:ascii="宋体" w:hAnsi="宋体" w:cs="宋体"/>
          <w:b/>
          <w:bCs/>
          <w:color w:val="auto"/>
          <w:sz w:val="36"/>
          <w:szCs w:val="36"/>
          <w:lang w:val="zh-CN"/>
        </w:rPr>
      </w:pPr>
    </w:p>
    <w:p w14:paraId="232B40C4">
      <w:pPr>
        <w:autoSpaceDE w:val="0"/>
        <w:autoSpaceDN w:val="0"/>
        <w:adjustRightInd w:val="0"/>
        <w:spacing w:line="360" w:lineRule="auto"/>
        <w:jc w:val="center"/>
        <w:rPr>
          <w:rFonts w:ascii="宋体" w:hAnsi="宋体" w:cs="宋体"/>
          <w:b/>
          <w:bCs/>
          <w:color w:val="auto"/>
          <w:sz w:val="36"/>
          <w:szCs w:val="36"/>
          <w:lang w:val="zh-CN"/>
        </w:rPr>
      </w:pPr>
    </w:p>
    <w:p w14:paraId="57025B2C">
      <w:pPr>
        <w:autoSpaceDE w:val="0"/>
        <w:autoSpaceDN w:val="0"/>
        <w:adjustRightInd w:val="0"/>
        <w:spacing w:line="360" w:lineRule="auto"/>
        <w:jc w:val="center"/>
        <w:rPr>
          <w:rFonts w:ascii="宋体" w:hAnsi="宋体" w:cs="宋体"/>
          <w:b/>
          <w:bCs/>
          <w:color w:val="auto"/>
          <w:sz w:val="36"/>
          <w:szCs w:val="36"/>
          <w:lang w:val="zh-CN"/>
        </w:rPr>
      </w:pPr>
    </w:p>
    <w:p w14:paraId="7E46160D">
      <w:pPr>
        <w:autoSpaceDE w:val="0"/>
        <w:autoSpaceDN w:val="0"/>
        <w:adjustRightInd w:val="0"/>
        <w:spacing w:line="360" w:lineRule="auto"/>
        <w:jc w:val="center"/>
        <w:rPr>
          <w:rFonts w:ascii="宋体" w:hAnsi="宋体" w:cs="宋体"/>
          <w:b/>
          <w:bCs/>
          <w:color w:val="auto"/>
          <w:sz w:val="36"/>
          <w:szCs w:val="36"/>
          <w:lang w:val="zh-CN"/>
        </w:rPr>
      </w:pPr>
    </w:p>
    <w:p w14:paraId="1F62762C">
      <w:pPr>
        <w:autoSpaceDE w:val="0"/>
        <w:autoSpaceDN w:val="0"/>
        <w:adjustRightInd w:val="0"/>
        <w:snapToGrid w:val="0"/>
        <w:spacing w:line="360" w:lineRule="auto"/>
        <w:jc w:val="center"/>
        <w:rPr>
          <w:rFonts w:ascii="宋体" w:hAnsi="宋体" w:cs="宋体"/>
          <w:color w:val="auto"/>
          <w:sz w:val="36"/>
          <w:szCs w:val="36"/>
          <w:lang w:val="zh-CN"/>
        </w:rPr>
      </w:pPr>
    </w:p>
    <w:p w14:paraId="0D15EB9B">
      <w:pPr>
        <w:autoSpaceDE w:val="0"/>
        <w:autoSpaceDN w:val="0"/>
        <w:adjustRightInd w:val="0"/>
        <w:snapToGrid w:val="0"/>
        <w:spacing w:line="360" w:lineRule="auto"/>
        <w:jc w:val="center"/>
        <w:rPr>
          <w:rFonts w:ascii="宋体" w:hAnsi="宋体" w:cs="宋体"/>
          <w:color w:val="auto"/>
          <w:sz w:val="36"/>
          <w:szCs w:val="36"/>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722E0B72">
      <w:pPr>
        <w:autoSpaceDE w:val="0"/>
        <w:autoSpaceDN w:val="0"/>
        <w:adjustRightInd w:val="0"/>
        <w:snapToGrid w:val="0"/>
        <w:spacing w:line="800" w:lineRule="exact"/>
        <w:jc w:val="center"/>
        <w:outlineLvl w:val="0"/>
        <w:rPr>
          <w:rFonts w:ascii="宋体" w:hAnsi="宋体" w:cs="宋体"/>
          <w:color w:val="auto"/>
          <w:sz w:val="36"/>
          <w:szCs w:val="36"/>
          <w:lang w:val="zh-CN"/>
        </w:rPr>
      </w:pPr>
      <w:r>
        <w:rPr>
          <w:rFonts w:hint="eastAsia" w:ascii="宋体" w:hAnsi="宋体" w:cs="宋体"/>
          <w:color w:val="auto"/>
          <w:sz w:val="36"/>
          <w:szCs w:val="36"/>
          <w:lang w:val="zh-CN"/>
        </w:rPr>
        <w:t>第一部分 磋商通告</w:t>
      </w:r>
    </w:p>
    <w:p w14:paraId="1E8F55C0">
      <w:pPr>
        <w:wordWrap w:val="0"/>
        <w:adjustRightInd w:val="0"/>
        <w:snapToGrid w:val="0"/>
        <w:spacing w:line="460" w:lineRule="exact"/>
        <w:ind w:firstLine="560" w:firstLineChars="200"/>
        <w:rPr>
          <w:rFonts w:ascii="宋体" w:hAnsi="宋体" w:cs="宋体"/>
          <w:color w:val="auto"/>
          <w:sz w:val="28"/>
          <w:szCs w:val="28"/>
          <w:lang w:val="zh-CN"/>
        </w:rPr>
      </w:pPr>
      <w:r>
        <w:rPr>
          <w:rFonts w:hint="eastAsia" w:ascii="宋体" w:hAnsi="宋体" w:cs="宋体"/>
          <w:color w:val="auto"/>
          <w:sz w:val="28"/>
          <w:szCs w:val="28"/>
        </w:rPr>
        <w:t>受[江苏省南通卫生高等职业技术学校]的委托，江苏中润工程建设咨询有限公司就[江苏省南通卫生高等职业技术学校</w:t>
      </w:r>
      <w:r>
        <w:rPr>
          <w:rFonts w:hint="eastAsia" w:ascii="宋体" w:hAnsi="宋体" w:cs="宋体"/>
          <w:color w:val="auto"/>
          <w:sz w:val="28"/>
          <w:szCs w:val="28"/>
          <w:lang w:eastAsia="zh-CN"/>
        </w:rPr>
        <w:t>分子实验室中心建设项目</w:t>
      </w:r>
      <w:r>
        <w:rPr>
          <w:rFonts w:hint="eastAsia" w:ascii="宋体" w:hAnsi="宋体" w:cs="宋体"/>
          <w:color w:val="auto"/>
          <w:sz w:val="28"/>
          <w:szCs w:val="28"/>
        </w:rPr>
        <w:t>](项目编号:</w:t>
      </w:r>
      <w:r>
        <w:rPr>
          <w:rFonts w:hint="eastAsia" w:ascii="宋体" w:hAnsi="宋体" w:cs="宋体"/>
          <w:color w:val="auto"/>
          <w:sz w:val="28"/>
          <w:szCs w:val="28"/>
          <w:lang w:eastAsia="zh-CN"/>
        </w:rPr>
        <w:t>WXBS2024107</w:t>
      </w:r>
      <w:r>
        <w:rPr>
          <w:rFonts w:hint="eastAsia" w:ascii="宋体" w:hAnsi="宋体" w:cs="宋体"/>
          <w:color w:val="auto"/>
          <w:sz w:val="28"/>
          <w:szCs w:val="28"/>
        </w:rPr>
        <w:t>)进行磋商采购，欢迎符合条件的供应商参加磋商。</w:t>
      </w:r>
    </w:p>
    <w:p w14:paraId="0B4A7AF2">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项目概况</w:t>
      </w:r>
    </w:p>
    <w:p w14:paraId="48E9419A">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(江苏省南通卫生高等职业技术学校）的（江苏省南通卫生高等职业技术学校</w:t>
      </w:r>
      <w:r>
        <w:rPr>
          <w:rFonts w:hint="eastAsia" w:ascii="宋体" w:hAnsi="宋体" w:cs="宋体"/>
          <w:color w:val="auto"/>
          <w:sz w:val="28"/>
          <w:szCs w:val="28"/>
          <w:lang w:eastAsia="zh-CN"/>
        </w:rPr>
        <w:t>分子实验室中心建设项目</w:t>
      </w:r>
      <w:r>
        <w:rPr>
          <w:rFonts w:hint="eastAsia" w:ascii="宋体" w:hAnsi="宋体" w:cs="宋体"/>
          <w:color w:val="auto"/>
          <w:sz w:val="28"/>
          <w:szCs w:val="28"/>
        </w:rPr>
        <w:t>)的潜在供应商应在</w:t>
      </w:r>
      <w:r>
        <w:rPr>
          <w:rFonts w:hint="eastAsia" w:ascii="宋体" w:hAnsi="宋体" w:cs="宋体"/>
          <w:b/>
          <w:bCs/>
          <w:color w:val="auto"/>
          <w:sz w:val="28"/>
          <w:szCs w:val="28"/>
          <w:u w:val="single"/>
        </w:rPr>
        <w:t>江苏省南通卫生高等职业技术学校网站或南通市卫生健康委员会网站</w:t>
      </w:r>
      <w:r>
        <w:rPr>
          <w:rFonts w:hint="eastAsia" w:ascii="宋体" w:hAnsi="宋体" w:cs="宋体"/>
          <w:color w:val="auto"/>
          <w:sz w:val="28"/>
          <w:szCs w:val="28"/>
        </w:rPr>
        <w:t xml:space="preserve">获取采购文件，并于2024年 </w:t>
      </w:r>
      <w:r>
        <w:rPr>
          <w:rFonts w:hint="eastAsia" w:ascii="宋体" w:hAnsi="宋体" w:cs="宋体"/>
          <w:color w:val="auto"/>
          <w:sz w:val="28"/>
          <w:szCs w:val="28"/>
          <w:lang w:val="en-US" w:eastAsia="zh-CN"/>
        </w:rPr>
        <w:t>12</w:t>
      </w:r>
      <w:r>
        <w:rPr>
          <w:rFonts w:hint="eastAsia" w:ascii="宋体" w:hAnsi="宋体" w:cs="宋体"/>
          <w:color w:val="auto"/>
          <w:sz w:val="28"/>
          <w:szCs w:val="28"/>
        </w:rPr>
        <w:t>月</w:t>
      </w:r>
      <w:r>
        <w:rPr>
          <w:rFonts w:hint="eastAsia" w:ascii="宋体" w:hAnsi="宋体" w:cs="宋体"/>
          <w:color w:val="auto"/>
          <w:sz w:val="28"/>
          <w:szCs w:val="28"/>
          <w:lang w:val="en-US" w:eastAsia="zh-CN"/>
        </w:rPr>
        <w:t>16</w:t>
      </w:r>
      <w:r>
        <w:rPr>
          <w:rFonts w:hint="eastAsia" w:ascii="宋体" w:hAnsi="宋体" w:cs="宋体"/>
          <w:color w:val="auto"/>
          <w:sz w:val="28"/>
          <w:szCs w:val="28"/>
        </w:rPr>
        <w:t>日09点30分（北京时间）前提交响应文件。</w:t>
      </w:r>
    </w:p>
    <w:p w14:paraId="5D780C0C">
      <w:pPr>
        <w:widowControl/>
        <w:shd w:val="clear" w:color="auto" w:fill="FFFFFF"/>
        <w:adjustRightInd w:val="0"/>
        <w:snapToGrid w:val="0"/>
        <w:spacing w:line="460" w:lineRule="exact"/>
        <w:ind w:firstLine="590" w:firstLineChars="200"/>
        <w:outlineLvl w:val="1"/>
        <w:rPr>
          <w:rFonts w:ascii="宋体" w:hAnsi="宋体" w:cs="宋体"/>
          <w:b/>
          <w:color w:val="auto"/>
          <w:spacing w:val="7"/>
          <w:kern w:val="0"/>
          <w:sz w:val="28"/>
          <w:szCs w:val="28"/>
        </w:rPr>
      </w:pPr>
      <w:r>
        <w:rPr>
          <w:rFonts w:hint="eastAsia" w:ascii="宋体" w:hAnsi="宋体" w:cs="宋体"/>
          <w:b/>
          <w:color w:val="auto"/>
          <w:spacing w:val="7"/>
          <w:kern w:val="0"/>
          <w:sz w:val="28"/>
          <w:szCs w:val="28"/>
        </w:rPr>
        <w:t>一、项目基本情况</w:t>
      </w:r>
    </w:p>
    <w:p w14:paraId="69E18846">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项目编号：</w:t>
      </w:r>
      <w:r>
        <w:rPr>
          <w:rFonts w:hint="eastAsia" w:ascii="宋体" w:hAnsi="宋体" w:cs="宋体"/>
          <w:color w:val="auto"/>
          <w:sz w:val="28"/>
          <w:szCs w:val="28"/>
          <w:lang w:eastAsia="zh-CN"/>
        </w:rPr>
        <w:t>WXBS2024107</w:t>
      </w:r>
    </w:p>
    <w:p w14:paraId="5E9718D9">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项目名称：江苏省南通卫生高等职业技术学校</w:t>
      </w:r>
      <w:r>
        <w:rPr>
          <w:rFonts w:hint="eastAsia" w:ascii="宋体" w:hAnsi="宋体" w:cs="宋体"/>
          <w:color w:val="auto"/>
          <w:sz w:val="28"/>
          <w:szCs w:val="28"/>
          <w:lang w:eastAsia="zh-CN"/>
        </w:rPr>
        <w:t>分子实验室中心建设项目</w:t>
      </w:r>
    </w:p>
    <w:p w14:paraId="0770B24F">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项目类型：货物</w:t>
      </w:r>
    </w:p>
    <w:p w14:paraId="769712A5">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所属行业：工业</w:t>
      </w:r>
    </w:p>
    <w:p w14:paraId="0E32DE90">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预算金额</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29.97</w:t>
      </w:r>
      <w:r>
        <w:rPr>
          <w:rFonts w:hint="eastAsia" w:ascii="宋体" w:hAnsi="宋体" w:cs="宋体"/>
          <w:color w:val="auto"/>
          <w:sz w:val="28"/>
          <w:szCs w:val="28"/>
        </w:rPr>
        <w:t>万元</w:t>
      </w:r>
    </w:p>
    <w:p w14:paraId="52E6FE63">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最高限价：</w:t>
      </w:r>
      <w:r>
        <w:rPr>
          <w:rFonts w:hint="eastAsia" w:ascii="宋体" w:hAnsi="宋体" w:cs="宋体"/>
          <w:color w:val="auto"/>
          <w:sz w:val="28"/>
          <w:szCs w:val="28"/>
          <w:lang w:val="en-US" w:eastAsia="zh-CN"/>
        </w:rPr>
        <w:t>29.97</w:t>
      </w:r>
      <w:r>
        <w:rPr>
          <w:rFonts w:hint="eastAsia" w:ascii="宋体" w:hAnsi="宋体" w:cs="宋体"/>
          <w:color w:val="auto"/>
          <w:sz w:val="28"/>
          <w:szCs w:val="28"/>
        </w:rPr>
        <w:t>万元，投标报价超过最高限价的做无效标处理。</w:t>
      </w:r>
    </w:p>
    <w:p w14:paraId="2C70A0BF">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采购需求：具体详见磋商文件，请仔细研究。</w:t>
      </w:r>
    </w:p>
    <w:p w14:paraId="70B97542">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供货期：合同签订后</w:t>
      </w:r>
      <w:r>
        <w:rPr>
          <w:rFonts w:hint="eastAsia" w:ascii="宋体" w:hAnsi="宋体" w:cs="宋体"/>
          <w:color w:val="auto"/>
          <w:sz w:val="28"/>
          <w:szCs w:val="28"/>
          <w:lang w:val="en-US" w:eastAsia="zh-CN"/>
        </w:rPr>
        <w:t>90</w:t>
      </w:r>
      <w:r>
        <w:rPr>
          <w:rFonts w:hint="eastAsia" w:ascii="宋体" w:hAnsi="宋体" w:cs="宋体"/>
          <w:color w:val="auto"/>
          <w:sz w:val="28"/>
          <w:szCs w:val="28"/>
        </w:rPr>
        <w:t>个日历天内完成供货及调试完毕。</w:t>
      </w:r>
    </w:p>
    <w:p w14:paraId="394DE067">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本项目是否接受联合体投标：否。</w:t>
      </w:r>
    </w:p>
    <w:p w14:paraId="584A038F">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本项目是否接受分包：不接受。</w:t>
      </w:r>
    </w:p>
    <w:p w14:paraId="4F19BB29">
      <w:pPr>
        <w:adjustRightInd w:val="0"/>
        <w:snapToGrid w:val="0"/>
        <w:spacing w:line="460" w:lineRule="exact"/>
        <w:ind w:firstLine="562" w:firstLineChars="200"/>
        <w:outlineLvl w:val="1"/>
        <w:rPr>
          <w:rFonts w:ascii="宋体" w:hAnsi="宋体" w:cs="宋体"/>
          <w:b/>
          <w:color w:val="auto"/>
          <w:sz w:val="28"/>
          <w:szCs w:val="28"/>
        </w:rPr>
      </w:pPr>
      <w:r>
        <w:rPr>
          <w:rFonts w:hint="eastAsia" w:ascii="宋体" w:hAnsi="宋体" w:cs="宋体"/>
          <w:b/>
          <w:color w:val="auto"/>
          <w:sz w:val="28"/>
          <w:szCs w:val="28"/>
        </w:rPr>
        <w:t>二、供应商的资格要求：</w:t>
      </w:r>
    </w:p>
    <w:p w14:paraId="2AC9AF70">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16875E20">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2.提供有效的营业执照复印件加盖公章；</w:t>
      </w:r>
    </w:p>
    <w:p w14:paraId="1B15A375">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3.未被“信用中国”网站列入失信被执行人、重大税收违法案件当事人名单、采购严重失信行为记录名单。</w:t>
      </w:r>
    </w:p>
    <w:p w14:paraId="02B2B4AA">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4.供应商单位负责人为同一人或者存在直接控股、管理关系的不同供应商，不得同时参加同一合同项下的采购活动。</w:t>
      </w:r>
    </w:p>
    <w:p w14:paraId="4C04212E">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5.本项目特定资格要求：无。</w:t>
      </w:r>
    </w:p>
    <w:p w14:paraId="6F55F8CC">
      <w:pPr>
        <w:adjustRightInd w:val="0"/>
        <w:snapToGrid w:val="0"/>
        <w:spacing w:line="460" w:lineRule="exact"/>
        <w:ind w:firstLine="562" w:firstLineChars="200"/>
        <w:outlineLvl w:val="1"/>
        <w:rPr>
          <w:rFonts w:ascii="宋体" w:hAnsi="宋体" w:cs="宋体"/>
          <w:b/>
          <w:color w:val="auto"/>
          <w:sz w:val="28"/>
          <w:szCs w:val="28"/>
        </w:rPr>
      </w:pPr>
      <w:r>
        <w:rPr>
          <w:rFonts w:hint="eastAsia" w:ascii="宋体" w:hAnsi="宋体" w:cs="宋体"/>
          <w:b/>
          <w:color w:val="auto"/>
          <w:sz w:val="28"/>
          <w:szCs w:val="28"/>
        </w:rPr>
        <w:t>三、获取采购文件</w:t>
      </w:r>
    </w:p>
    <w:p w14:paraId="1D5C880D">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时间：2024年</w:t>
      </w:r>
      <w:r>
        <w:rPr>
          <w:rFonts w:hint="eastAsia" w:ascii="宋体" w:hAnsi="宋体" w:cs="宋体"/>
          <w:color w:val="auto"/>
          <w:sz w:val="28"/>
          <w:szCs w:val="28"/>
          <w:lang w:val="en-US" w:eastAsia="zh-CN"/>
        </w:rPr>
        <w:t>12</w:t>
      </w:r>
      <w:r>
        <w:rPr>
          <w:rFonts w:hint="eastAsia" w:ascii="宋体" w:hAnsi="宋体" w:cs="宋体"/>
          <w:color w:val="auto"/>
          <w:sz w:val="28"/>
          <w:szCs w:val="28"/>
        </w:rPr>
        <w:t>月</w:t>
      </w:r>
      <w:r>
        <w:rPr>
          <w:rFonts w:hint="eastAsia" w:ascii="宋体" w:hAnsi="宋体" w:cs="宋体"/>
          <w:color w:val="auto"/>
          <w:sz w:val="28"/>
          <w:szCs w:val="28"/>
          <w:lang w:val="en-US" w:eastAsia="zh-CN"/>
        </w:rPr>
        <w:t>5</w:t>
      </w:r>
      <w:bookmarkStart w:id="85" w:name="_GoBack"/>
      <w:bookmarkEnd w:id="85"/>
      <w:r>
        <w:rPr>
          <w:rFonts w:hint="eastAsia" w:ascii="宋体" w:hAnsi="宋体" w:cs="宋体"/>
          <w:color w:val="auto"/>
          <w:sz w:val="28"/>
          <w:szCs w:val="28"/>
        </w:rPr>
        <w:t>日至2024年</w:t>
      </w:r>
      <w:r>
        <w:rPr>
          <w:rFonts w:hint="eastAsia" w:ascii="宋体" w:hAnsi="宋体" w:cs="宋体"/>
          <w:color w:val="auto"/>
          <w:sz w:val="28"/>
          <w:szCs w:val="28"/>
          <w:lang w:val="en-US" w:eastAsia="zh-CN"/>
        </w:rPr>
        <w:t>12</w:t>
      </w:r>
      <w:r>
        <w:rPr>
          <w:rFonts w:hint="eastAsia" w:ascii="宋体" w:hAnsi="宋体" w:cs="宋体"/>
          <w:color w:val="auto"/>
          <w:sz w:val="28"/>
          <w:szCs w:val="28"/>
        </w:rPr>
        <w:t>月</w:t>
      </w:r>
      <w:r>
        <w:rPr>
          <w:rFonts w:hint="eastAsia" w:ascii="宋体" w:hAnsi="宋体" w:cs="宋体"/>
          <w:color w:val="auto"/>
          <w:sz w:val="28"/>
          <w:szCs w:val="28"/>
          <w:lang w:val="en-US" w:eastAsia="zh-CN"/>
        </w:rPr>
        <w:t>15</w:t>
      </w:r>
      <w:r>
        <w:rPr>
          <w:rFonts w:hint="eastAsia" w:ascii="宋体" w:hAnsi="宋体" w:cs="宋体"/>
          <w:color w:val="auto"/>
          <w:sz w:val="28"/>
          <w:szCs w:val="28"/>
        </w:rPr>
        <w:t>日；</w:t>
      </w:r>
    </w:p>
    <w:p w14:paraId="1EA42104">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地点：江苏省南通卫生高等职业技术学校网站或南通市卫生健康委员会网站；</w:t>
      </w:r>
    </w:p>
    <w:p w14:paraId="335AE3AF">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方式：自行下载磋商文件。</w:t>
      </w:r>
    </w:p>
    <w:p w14:paraId="1AE5837F">
      <w:pPr>
        <w:adjustRightInd w:val="0"/>
        <w:snapToGrid w:val="0"/>
        <w:spacing w:line="460" w:lineRule="exact"/>
        <w:ind w:firstLine="562" w:firstLineChars="200"/>
        <w:outlineLvl w:val="1"/>
        <w:rPr>
          <w:rFonts w:ascii="宋体" w:hAnsi="宋体" w:cs="宋体"/>
          <w:b/>
          <w:color w:val="auto"/>
          <w:sz w:val="28"/>
          <w:szCs w:val="28"/>
        </w:rPr>
      </w:pPr>
      <w:r>
        <w:rPr>
          <w:rFonts w:hint="eastAsia" w:ascii="宋体" w:hAnsi="宋体" w:cs="宋体"/>
          <w:b/>
          <w:color w:val="auto"/>
          <w:sz w:val="28"/>
          <w:szCs w:val="28"/>
        </w:rPr>
        <w:t>四、提交响应文件截止时间、磋商时间和地点</w:t>
      </w:r>
    </w:p>
    <w:p w14:paraId="266A8034">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2024年</w:t>
      </w:r>
      <w:r>
        <w:rPr>
          <w:rFonts w:hint="eastAsia" w:ascii="宋体" w:hAnsi="宋体" w:cs="宋体"/>
          <w:color w:val="auto"/>
          <w:sz w:val="28"/>
          <w:szCs w:val="28"/>
          <w:lang w:val="en-US" w:eastAsia="zh-CN"/>
        </w:rPr>
        <w:t>12</w:t>
      </w:r>
      <w:r>
        <w:rPr>
          <w:rFonts w:hint="eastAsia" w:ascii="宋体" w:hAnsi="宋体" w:cs="宋体"/>
          <w:color w:val="auto"/>
          <w:sz w:val="28"/>
          <w:szCs w:val="28"/>
        </w:rPr>
        <w:t>月</w:t>
      </w:r>
      <w:r>
        <w:rPr>
          <w:rFonts w:hint="eastAsia" w:ascii="宋体" w:hAnsi="宋体" w:cs="宋体"/>
          <w:color w:val="auto"/>
          <w:sz w:val="28"/>
          <w:szCs w:val="28"/>
          <w:lang w:val="en-US" w:eastAsia="zh-CN"/>
        </w:rPr>
        <w:t>16</w:t>
      </w:r>
      <w:r>
        <w:rPr>
          <w:rFonts w:hint="eastAsia" w:ascii="宋体" w:hAnsi="宋体" w:cs="宋体"/>
          <w:color w:val="auto"/>
          <w:sz w:val="28"/>
          <w:szCs w:val="28"/>
        </w:rPr>
        <w:t>日09点30分（北京时间），逾时，采购人将拒绝接受磋商响应文件。</w:t>
      </w:r>
    </w:p>
    <w:p w14:paraId="45796BE0">
      <w:pPr>
        <w:adjustRightInd w:val="0"/>
        <w:snapToGrid w:val="0"/>
        <w:spacing w:line="460" w:lineRule="exact"/>
        <w:ind w:firstLine="560" w:firstLineChars="200"/>
        <w:rPr>
          <w:rFonts w:ascii="宋体" w:hAnsi="宋体" w:cs="宋体"/>
          <w:i/>
          <w:color w:val="auto"/>
          <w:sz w:val="28"/>
          <w:szCs w:val="28"/>
          <w:u w:val="single"/>
        </w:rPr>
      </w:pPr>
      <w:r>
        <w:rPr>
          <w:rFonts w:hint="eastAsia" w:ascii="宋体" w:hAnsi="宋体" w:cs="宋体"/>
          <w:color w:val="auto"/>
          <w:sz w:val="28"/>
          <w:szCs w:val="28"/>
        </w:rPr>
        <w:t>地点：南通市经济技术开发区振兴东路288号南通卫生高职校行政楼1408室，如有变动另行通知。</w:t>
      </w:r>
    </w:p>
    <w:p w14:paraId="36177577">
      <w:pPr>
        <w:adjustRightInd w:val="0"/>
        <w:snapToGrid w:val="0"/>
        <w:spacing w:line="460" w:lineRule="exact"/>
        <w:ind w:firstLine="562" w:firstLineChars="200"/>
        <w:outlineLvl w:val="1"/>
        <w:rPr>
          <w:rFonts w:ascii="宋体" w:hAnsi="宋体" w:cs="宋体"/>
          <w:b/>
          <w:color w:val="auto"/>
          <w:sz w:val="28"/>
          <w:szCs w:val="28"/>
        </w:rPr>
      </w:pPr>
      <w:r>
        <w:rPr>
          <w:rFonts w:hint="eastAsia" w:ascii="宋体" w:hAnsi="宋体" w:cs="宋体"/>
          <w:b/>
          <w:color w:val="auto"/>
          <w:sz w:val="28"/>
          <w:szCs w:val="28"/>
        </w:rPr>
        <w:t>五、通告期限</w:t>
      </w:r>
    </w:p>
    <w:p w14:paraId="187B019B">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自本通告发布之日起5个工作日。</w:t>
      </w:r>
    </w:p>
    <w:p w14:paraId="35B3DA24">
      <w:pPr>
        <w:adjustRightInd w:val="0"/>
        <w:snapToGrid w:val="0"/>
        <w:spacing w:line="460" w:lineRule="exact"/>
        <w:ind w:firstLine="562" w:firstLineChars="200"/>
        <w:outlineLvl w:val="1"/>
        <w:rPr>
          <w:rFonts w:ascii="宋体" w:hAnsi="宋体" w:cs="宋体"/>
          <w:b/>
          <w:color w:val="auto"/>
          <w:sz w:val="28"/>
          <w:szCs w:val="28"/>
        </w:rPr>
      </w:pPr>
      <w:r>
        <w:rPr>
          <w:rFonts w:hint="eastAsia" w:ascii="宋体" w:hAnsi="宋体" w:cs="宋体"/>
          <w:b/>
          <w:color w:val="auto"/>
          <w:sz w:val="28"/>
          <w:szCs w:val="28"/>
        </w:rPr>
        <w:t>六、其他补充事宜</w:t>
      </w:r>
    </w:p>
    <w:p w14:paraId="0D0B42CF">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1.投标保证金：免收</w:t>
      </w:r>
    </w:p>
    <w:p w14:paraId="28C76539">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2.项目磋商活动模式：见面磋商模式，供应商在</w:t>
      </w:r>
      <w:r>
        <w:rPr>
          <w:rFonts w:hint="eastAsia" w:ascii="宋体" w:hAnsi="宋体" w:cs="宋体"/>
          <w:color w:val="auto"/>
          <w:sz w:val="28"/>
          <w:szCs w:val="28"/>
          <w:u w:val="single"/>
        </w:rPr>
        <w:t>南通市经济技术开发区振兴东路288号南通卫生高职校行政楼1408室</w:t>
      </w:r>
      <w:r>
        <w:rPr>
          <w:rFonts w:hint="eastAsia" w:ascii="宋体" w:hAnsi="宋体" w:cs="宋体"/>
          <w:color w:val="auto"/>
          <w:sz w:val="28"/>
          <w:szCs w:val="28"/>
        </w:rPr>
        <w:t>参加磋商活动。</w:t>
      </w:r>
    </w:p>
    <w:p w14:paraId="591B985B">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3.项目演示：详见磋商文件。</w:t>
      </w:r>
    </w:p>
    <w:p w14:paraId="679EA6D7">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14:paraId="786D7E24">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74576B6F">
      <w:pPr>
        <w:widowControl/>
        <w:shd w:val="clear" w:color="auto" w:fill="FFFFFF"/>
        <w:adjustRightInd w:val="0"/>
        <w:snapToGrid w:val="0"/>
        <w:spacing w:line="460" w:lineRule="exact"/>
        <w:ind w:firstLine="590" w:firstLineChars="200"/>
        <w:outlineLvl w:val="1"/>
        <w:rPr>
          <w:rFonts w:ascii="宋体" w:hAnsi="宋体" w:cs="宋体"/>
          <w:b/>
          <w:color w:val="auto"/>
          <w:spacing w:val="7"/>
          <w:kern w:val="0"/>
          <w:sz w:val="28"/>
          <w:szCs w:val="28"/>
        </w:rPr>
      </w:pPr>
      <w:r>
        <w:rPr>
          <w:rFonts w:hint="eastAsia" w:ascii="宋体" w:hAnsi="宋体" w:cs="宋体"/>
          <w:b/>
          <w:color w:val="auto"/>
          <w:spacing w:val="7"/>
          <w:kern w:val="0"/>
          <w:sz w:val="28"/>
          <w:szCs w:val="28"/>
        </w:rPr>
        <w:t>七、凡对本次采购提出询问，请按以下方式联系。</w:t>
      </w:r>
    </w:p>
    <w:p w14:paraId="756159A7">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1.采购人信息</w:t>
      </w:r>
    </w:p>
    <w:p w14:paraId="7968B742">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名称：江苏省南通卫生高等职业技术学校</w:t>
      </w:r>
    </w:p>
    <w:p w14:paraId="2089A9C4">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地址：南通市崇川区南通经济开发区振兴路288号</w:t>
      </w:r>
    </w:p>
    <w:p w14:paraId="6F8B6F3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采购需求联系人：</w:t>
      </w:r>
      <w:r>
        <w:rPr>
          <w:rFonts w:hint="eastAsia" w:ascii="宋体" w:hAnsi="宋体" w:cs="宋体"/>
          <w:color w:val="auto"/>
          <w:sz w:val="28"/>
          <w:szCs w:val="28"/>
          <w:lang w:val="en-US" w:eastAsia="zh-CN"/>
        </w:rPr>
        <w:t>薛老师</w:t>
      </w:r>
      <w:r>
        <w:rPr>
          <w:rFonts w:hint="eastAsia" w:ascii="宋体" w:hAnsi="宋体" w:cs="宋体"/>
          <w:color w:val="auto"/>
          <w:sz w:val="28"/>
          <w:szCs w:val="28"/>
        </w:rPr>
        <w:t xml:space="preserve">  </w:t>
      </w:r>
    </w:p>
    <w:p w14:paraId="77570716">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联系电话：18362139988</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w:t>
      </w:r>
    </w:p>
    <w:p w14:paraId="5A7E3FD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采购部门联系人：杨老师  </w:t>
      </w:r>
    </w:p>
    <w:p w14:paraId="28602CE4">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联系电话：17798880869 </w:t>
      </w:r>
    </w:p>
    <w:p w14:paraId="683EBD87">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2.采购代理机构信息</w:t>
      </w:r>
    </w:p>
    <w:p w14:paraId="0D8A0386">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名称：江苏中润工程建设咨询有限公司</w:t>
      </w:r>
    </w:p>
    <w:p w14:paraId="7471DBE0">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地址：南通市崇川路58号南通产业技术研究院9号楼1004室</w:t>
      </w:r>
    </w:p>
    <w:p w14:paraId="4767AF25">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联系方式：王  工  0513-55887688  13906272111</w:t>
      </w:r>
    </w:p>
    <w:p w14:paraId="29170F1E">
      <w:pPr>
        <w:widowControl/>
        <w:shd w:val="clear" w:color="auto" w:fill="FFFFFF"/>
        <w:spacing w:line="460" w:lineRule="exact"/>
        <w:ind w:firstLine="560"/>
        <w:jc w:val="center"/>
        <w:rPr>
          <w:rFonts w:ascii="宋体" w:hAnsi="宋体" w:cs="宋体"/>
          <w:bCs/>
          <w:color w:val="auto"/>
          <w:sz w:val="36"/>
          <w:szCs w:val="36"/>
        </w:rPr>
      </w:pPr>
      <w:r>
        <w:rPr>
          <w:rFonts w:hint="eastAsia" w:ascii="宋体" w:hAnsi="宋体" w:cs="宋体"/>
          <w:bCs/>
          <w:color w:val="auto"/>
          <w:sz w:val="36"/>
          <w:szCs w:val="36"/>
        </w:rPr>
        <w:br w:type="page"/>
      </w:r>
      <w:r>
        <w:rPr>
          <w:rFonts w:hint="eastAsia" w:ascii="宋体" w:hAnsi="宋体" w:cs="宋体"/>
          <w:bCs/>
          <w:color w:val="auto"/>
          <w:sz w:val="36"/>
          <w:szCs w:val="36"/>
        </w:rPr>
        <w:t>第二部分 磋商须知</w:t>
      </w:r>
    </w:p>
    <w:p w14:paraId="49AA0ABB">
      <w:pPr>
        <w:keepNext/>
        <w:keepLines/>
        <w:adjustRightInd w:val="0"/>
        <w:snapToGrid w:val="0"/>
        <w:spacing w:line="460" w:lineRule="exact"/>
        <w:ind w:firstLine="562" w:firstLineChars="200"/>
        <w:outlineLvl w:val="1"/>
        <w:rPr>
          <w:rFonts w:ascii="宋体" w:hAnsi="宋体" w:cs="宋体"/>
          <w:b/>
          <w:bCs/>
          <w:color w:val="auto"/>
          <w:kern w:val="0"/>
          <w:sz w:val="28"/>
          <w:szCs w:val="28"/>
        </w:rPr>
      </w:pPr>
      <w:bookmarkStart w:id="0" w:name="_Toc120614214"/>
      <w:bookmarkStart w:id="1" w:name="_Toc20823275"/>
      <w:bookmarkStart w:id="2" w:name="_Toc16938519"/>
      <w:bookmarkStart w:id="3" w:name="_Toc513029203"/>
      <w:r>
        <w:rPr>
          <w:rFonts w:hint="eastAsia" w:ascii="宋体" w:hAnsi="宋体" w:cs="宋体"/>
          <w:b/>
          <w:bCs/>
          <w:color w:val="auto"/>
          <w:kern w:val="0"/>
          <w:sz w:val="28"/>
          <w:szCs w:val="28"/>
        </w:rPr>
        <w:t>一、总则</w:t>
      </w:r>
      <w:bookmarkEnd w:id="0"/>
      <w:bookmarkEnd w:id="1"/>
      <w:bookmarkEnd w:id="2"/>
      <w:bookmarkEnd w:id="3"/>
    </w:p>
    <w:p w14:paraId="371ECB28">
      <w:pPr>
        <w:keepNext/>
        <w:adjustRightInd w:val="0"/>
        <w:snapToGrid w:val="0"/>
        <w:spacing w:line="460" w:lineRule="exact"/>
        <w:ind w:firstLine="560" w:firstLineChars="200"/>
        <w:rPr>
          <w:rFonts w:ascii="宋体" w:hAnsi="宋体" w:cs="宋体"/>
          <w:b/>
          <w:bCs/>
          <w:color w:val="auto"/>
          <w:kern w:val="0"/>
          <w:sz w:val="28"/>
          <w:szCs w:val="28"/>
        </w:rPr>
      </w:pPr>
      <w:bookmarkStart w:id="4" w:name="_Hlt16619475"/>
      <w:bookmarkEnd w:id="4"/>
      <w:bookmarkStart w:id="5" w:name="_Toc458694821"/>
      <w:bookmarkStart w:id="6" w:name="_Toc513029204"/>
      <w:bookmarkStart w:id="7" w:name="_Toc20823276"/>
      <w:bookmarkStart w:id="8" w:name="_Toc16938520"/>
      <w:r>
        <w:rPr>
          <w:rFonts w:hint="eastAsia" w:ascii="宋体" w:hAnsi="宋体" w:cs="宋体"/>
          <w:color w:val="auto"/>
          <w:kern w:val="0"/>
          <w:sz w:val="28"/>
          <w:szCs w:val="28"/>
        </w:rPr>
        <w:t>1</w:t>
      </w:r>
      <w:bookmarkEnd w:id="5"/>
      <w:r>
        <w:rPr>
          <w:rFonts w:hint="eastAsia" w:ascii="宋体" w:hAnsi="宋体" w:cs="宋体"/>
          <w:color w:val="auto"/>
          <w:kern w:val="0"/>
          <w:sz w:val="28"/>
          <w:szCs w:val="28"/>
        </w:rPr>
        <w:t>.采购方式</w:t>
      </w:r>
      <w:bookmarkEnd w:id="6"/>
      <w:bookmarkEnd w:id="7"/>
      <w:bookmarkEnd w:id="8"/>
    </w:p>
    <w:p w14:paraId="7918E5D4">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1.1 本次采取磋商方式，本磋商文件仅适用于磋商通告中所述项目。</w:t>
      </w:r>
    </w:p>
    <w:p w14:paraId="5748E3C9">
      <w:pPr>
        <w:keepNext/>
        <w:adjustRightInd w:val="0"/>
        <w:snapToGrid w:val="0"/>
        <w:spacing w:line="460" w:lineRule="exact"/>
        <w:ind w:firstLine="560" w:firstLineChars="200"/>
        <w:rPr>
          <w:rFonts w:ascii="宋体" w:hAnsi="宋体" w:cs="宋体"/>
          <w:b/>
          <w:bCs/>
          <w:color w:val="auto"/>
          <w:kern w:val="0"/>
          <w:sz w:val="28"/>
          <w:szCs w:val="28"/>
        </w:rPr>
      </w:pPr>
      <w:bookmarkStart w:id="9" w:name="_Toc20823277"/>
      <w:bookmarkStart w:id="10" w:name="_Toc16938521"/>
      <w:bookmarkStart w:id="11" w:name="_Toc513029205"/>
      <w:r>
        <w:rPr>
          <w:rFonts w:hint="eastAsia" w:ascii="宋体" w:hAnsi="宋体" w:cs="宋体"/>
          <w:color w:val="auto"/>
          <w:kern w:val="0"/>
          <w:sz w:val="28"/>
          <w:szCs w:val="28"/>
        </w:rPr>
        <w:t>2.合格的</w:t>
      </w:r>
      <w:bookmarkEnd w:id="9"/>
      <w:bookmarkEnd w:id="10"/>
      <w:bookmarkEnd w:id="11"/>
      <w:r>
        <w:rPr>
          <w:rFonts w:hint="eastAsia" w:ascii="宋体" w:hAnsi="宋体" w:cs="宋体"/>
          <w:color w:val="auto"/>
          <w:kern w:val="0"/>
          <w:sz w:val="28"/>
          <w:szCs w:val="28"/>
        </w:rPr>
        <w:t>供应商</w:t>
      </w:r>
    </w:p>
    <w:p w14:paraId="4C6C4C92">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2.1满足磋商通告中供应商的资格要求的规定。</w:t>
      </w:r>
    </w:p>
    <w:p w14:paraId="553107FA">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2.2 满足本文件实质性条款的规定。</w:t>
      </w:r>
    </w:p>
    <w:p w14:paraId="744F5B23">
      <w:pPr>
        <w:keepNext/>
        <w:adjustRightInd w:val="0"/>
        <w:snapToGrid w:val="0"/>
        <w:spacing w:line="460" w:lineRule="exact"/>
        <w:ind w:firstLine="562" w:firstLineChars="200"/>
        <w:rPr>
          <w:rFonts w:ascii="宋体" w:hAnsi="宋体" w:cs="宋体"/>
          <w:b/>
          <w:bCs/>
          <w:color w:val="auto"/>
          <w:kern w:val="0"/>
          <w:sz w:val="28"/>
          <w:szCs w:val="28"/>
        </w:rPr>
      </w:pPr>
      <w:bookmarkStart w:id="12" w:name="_Toc20823278"/>
      <w:bookmarkStart w:id="13" w:name="_Toc513029206"/>
      <w:bookmarkStart w:id="14" w:name="_Toc16938522"/>
      <w:r>
        <w:rPr>
          <w:rFonts w:hint="eastAsia" w:ascii="宋体" w:hAnsi="宋体" w:cs="宋体"/>
          <w:b/>
          <w:bCs/>
          <w:color w:val="auto"/>
          <w:kern w:val="0"/>
          <w:sz w:val="28"/>
          <w:szCs w:val="28"/>
        </w:rPr>
        <w:t>采购项目磋商开始后，不再接受供应商对采购文件（含更正通告等）内容的异议或质询（质疑）。</w:t>
      </w:r>
    </w:p>
    <w:p w14:paraId="41417D92">
      <w:pPr>
        <w:keepNext/>
        <w:adjustRightInd w:val="0"/>
        <w:snapToGrid w:val="0"/>
        <w:spacing w:line="460" w:lineRule="exact"/>
        <w:ind w:firstLine="560" w:firstLineChars="200"/>
        <w:rPr>
          <w:rFonts w:ascii="宋体" w:hAnsi="宋体" w:cs="宋体"/>
          <w:b/>
          <w:bCs/>
          <w:color w:val="auto"/>
          <w:kern w:val="0"/>
          <w:sz w:val="28"/>
          <w:szCs w:val="28"/>
        </w:rPr>
      </w:pPr>
      <w:r>
        <w:rPr>
          <w:rFonts w:hint="eastAsia" w:ascii="宋体" w:hAnsi="宋体" w:cs="宋体"/>
          <w:color w:val="auto"/>
          <w:kern w:val="0"/>
          <w:sz w:val="28"/>
          <w:szCs w:val="28"/>
        </w:rPr>
        <w:t>3.适用法律</w:t>
      </w:r>
      <w:bookmarkEnd w:id="12"/>
      <w:bookmarkEnd w:id="13"/>
      <w:bookmarkEnd w:id="14"/>
    </w:p>
    <w:p w14:paraId="506F7C79">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3.1 本次采购及由此产生的合同受中华人民共和国有关的法律法规制约和保护。</w:t>
      </w:r>
    </w:p>
    <w:p w14:paraId="44AF0EF1">
      <w:pPr>
        <w:keepNext/>
        <w:adjustRightInd w:val="0"/>
        <w:snapToGrid w:val="0"/>
        <w:spacing w:line="460" w:lineRule="exact"/>
        <w:ind w:firstLine="560" w:firstLineChars="200"/>
        <w:rPr>
          <w:rFonts w:ascii="宋体" w:hAnsi="宋体" w:cs="宋体"/>
          <w:color w:val="auto"/>
          <w:kern w:val="0"/>
          <w:sz w:val="28"/>
          <w:szCs w:val="28"/>
        </w:rPr>
      </w:pPr>
      <w:bookmarkStart w:id="15" w:name="_Toc16938523"/>
      <w:bookmarkStart w:id="16" w:name="_Toc462564067"/>
      <w:bookmarkStart w:id="17" w:name="_Toc20823279"/>
      <w:bookmarkStart w:id="18" w:name="_Toc513029207"/>
      <w:r>
        <w:rPr>
          <w:rFonts w:hint="eastAsia" w:ascii="宋体" w:hAnsi="宋体" w:cs="宋体"/>
          <w:color w:val="auto"/>
          <w:kern w:val="0"/>
          <w:sz w:val="28"/>
          <w:szCs w:val="28"/>
        </w:rPr>
        <w:t>4.磋商费用</w:t>
      </w:r>
      <w:bookmarkEnd w:id="15"/>
      <w:bookmarkEnd w:id="16"/>
      <w:bookmarkEnd w:id="17"/>
      <w:bookmarkEnd w:id="18"/>
    </w:p>
    <w:p w14:paraId="2C642B89">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4.1 供应商应自行承担所有与参加磋商有关的费用，无论磋商过程中的做法和结果如何，江苏中润工程建设咨询有限公司（以下简称采购代理机构）在任何情况下均无义务和责任承担这些费用。</w:t>
      </w:r>
    </w:p>
    <w:p w14:paraId="07430737">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zh-CN"/>
        </w:rPr>
        <w:t>4.</w:t>
      </w:r>
      <w:r>
        <w:rPr>
          <w:rFonts w:hint="eastAsia" w:ascii="宋体" w:hAnsi="宋体" w:cs="宋体"/>
          <w:color w:val="auto"/>
          <w:sz w:val="28"/>
          <w:szCs w:val="28"/>
        </w:rPr>
        <w:t>2本项目资料费300元/份，在开标现场支付给代理机构，无论是否中标该费用不予退还。</w:t>
      </w:r>
    </w:p>
    <w:p w14:paraId="316B8ECF">
      <w:pPr>
        <w:keepNext/>
        <w:adjustRightInd w:val="0"/>
        <w:snapToGrid w:val="0"/>
        <w:spacing w:line="460" w:lineRule="exact"/>
        <w:ind w:firstLine="560" w:firstLineChars="200"/>
        <w:rPr>
          <w:rFonts w:ascii="宋体" w:hAnsi="宋体" w:cs="宋体"/>
          <w:color w:val="auto"/>
          <w:sz w:val="28"/>
          <w:szCs w:val="28"/>
          <w:lang w:val="zh-CN"/>
        </w:rPr>
      </w:pPr>
      <w:r>
        <w:rPr>
          <w:rFonts w:hint="eastAsia" w:ascii="宋体" w:hAnsi="宋体" w:cs="宋体"/>
          <w:color w:val="auto"/>
          <w:sz w:val="28"/>
          <w:szCs w:val="28"/>
        </w:rPr>
        <w:t>4.3</w:t>
      </w:r>
      <w:r>
        <w:rPr>
          <w:rFonts w:hint="eastAsia" w:ascii="宋体" w:hAnsi="宋体" w:cs="宋体"/>
          <w:color w:val="auto"/>
          <w:sz w:val="28"/>
          <w:szCs w:val="28"/>
          <w:lang w:val="zh-CN"/>
        </w:rPr>
        <w:t>本项目代理费</w:t>
      </w:r>
      <w:r>
        <w:rPr>
          <w:rFonts w:hint="eastAsia" w:ascii="宋体" w:hAnsi="宋体" w:cs="宋体"/>
          <w:color w:val="auto"/>
          <w:sz w:val="28"/>
          <w:szCs w:val="28"/>
        </w:rPr>
        <w:t>按照发改价格[2011]534号文标准的60%计收，不足1500元按1500元收取</w:t>
      </w:r>
      <w:r>
        <w:rPr>
          <w:rFonts w:hint="eastAsia" w:ascii="宋体" w:hAnsi="宋体" w:cs="宋体"/>
          <w:color w:val="auto"/>
          <w:sz w:val="28"/>
          <w:szCs w:val="28"/>
          <w:lang w:val="zh-CN"/>
        </w:rPr>
        <w:t>；供应商在报价时应综合考虑（不单列）。</w:t>
      </w:r>
    </w:p>
    <w:p w14:paraId="38891A44">
      <w:pPr>
        <w:keepNext/>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zh-CN"/>
        </w:rPr>
        <w:t>代理费定标后由成交候选人支付给代理机构。因成交人原因导致成交结果变更或取消成交资格等，代理费不予退还。</w:t>
      </w:r>
    </w:p>
    <w:p w14:paraId="55DC5BDA">
      <w:pPr>
        <w:keepNext/>
        <w:adjustRightInd w:val="0"/>
        <w:snapToGrid w:val="0"/>
        <w:spacing w:line="460" w:lineRule="exact"/>
        <w:ind w:firstLine="560" w:firstLineChars="200"/>
        <w:rPr>
          <w:rFonts w:ascii="宋体" w:hAnsi="宋体" w:cs="宋体"/>
          <w:b/>
          <w:bCs/>
          <w:color w:val="auto"/>
          <w:kern w:val="0"/>
          <w:sz w:val="28"/>
          <w:szCs w:val="28"/>
        </w:rPr>
      </w:pPr>
      <w:r>
        <w:rPr>
          <w:rFonts w:hint="eastAsia" w:ascii="宋体" w:hAnsi="宋体" w:cs="宋体"/>
          <w:color w:val="auto"/>
          <w:kern w:val="0"/>
          <w:sz w:val="28"/>
          <w:szCs w:val="28"/>
        </w:rPr>
        <w:t>5.磋商文件的约束力</w:t>
      </w:r>
    </w:p>
    <w:p w14:paraId="5E10B6F8">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5.1</w:t>
      </w:r>
      <w:r>
        <w:rPr>
          <w:rFonts w:hint="eastAsia" w:ascii="宋体" w:hAnsi="宋体" w:cs="宋体"/>
          <w:color w:val="auto"/>
          <w:sz w:val="28"/>
          <w:szCs w:val="28"/>
        </w:rPr>
        <w:t xml:space="preserve"> 供应商一旦参加本项目采购活动，即被认为接受了本磋商文件的规定和约束。</w:t>
      </w:r>
    </w:p>
    <w:p w14:paraId="6C7AF962">
      <w:pPr>
        <w:keepNext/>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6.磋商文件的解释</w:t>
      </w:r>
    </w:p>
    <w:p w14:paraId="2D70F87C">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6.1</w:t>
      </w:r>
      <w:r>
        <w:rPr>
          <w:rFonts w:hint="eastAsia" w:ascii="宋体" w:hAnsi="宋体" w:cs="宋体"/>
          <w:color w:val="auto"/>
          <w:sz w:val="28"/>
          <w:szCs w:val="28"/>
        </w:rPr>
        <w:t>磋商文件需求部分（供应商资格要求、项目需求、商务技术评分标准）由采购人解释，其它部分由采购代理机构解释。</w:t>
      </w:r>
    </w:p>
    <w:p w14:paraId="6A076A17">
      <w:pPr>
        <w:keepNext/>
        <w:keepLines/>
        <w:adjustRightInd w:val="0"/>
        <w:snapToGrid w:val="0"/>
        <w:spacing w:line="460" w:lineRule="exact"/>
        <w:ind w:firstLine="562" w:firstLineChars="200"/>
        <w:outlineLvl w:val="1"/>
        <w:rPr>
          <w:rFonts w:ascii="宋体" w:hAnsi="宋体" w:cs="宋体"/>
          <w:b/>
          <w:bCs/>
          <w:color w:val="auto"/>
          <w:kern w:val="0"/>
          <w:sz w:val="28"/>
          <w:szCs w:val="28"/>
        </w:rPr>
      </w:pPr>
      <w:bookmarkStart w:id="19" w:name="_Toc120614215"/>
      <w:bookmarkStart w:id="20" w:name="_Toc513029209"/>
      <w:bookmarkStart w:id="21" w:name="_Toc16938525"/>
      <w:bookmarkStart w:id="22" w:name="_Toc20823281"/>
      <w:r>
        <w:rPr>
          <w:rFonts w:hint="eastAsia" w:ascii="宋体" w:hAnsi="宋体" w:cs="宋体"/>
          <w:b/>
          <w:bCs/>
          <w:color w:val="auto"/>
          <w:kern w:val="0"/>
          <w:sz w:val="28"/>
          <w:szCs w:val="28"/>
        </w:rPr>
        <w:t>二、磋商文件</w:t>
      </w:r>
      <w:bookmarkEnd w:id="19"/>
      <w:bookmarkEnd w:id="20"/>
      <w:bookmarkEnd w:id="21"/>
      <w:bookmarkEnd w:id="22"/>
    </w:p>
    <w:p w14:paraId="468C7F1C">
      <w:pPr>
        <w:keepNext/>
        <w:adjustRightInd w:val="0"/>
        <w:snapToGrid w:val="0"/>
        <w:spacing w:line="460" w:lineRule="exact"/>
        <w:ind w:firstLine="560" w:firstLineChars="200"/>
        <w:rPr>
          <w:rFonts w:ascii="宋体" w:hAnsi="宋体" w:cs="宋体"/>
          <w:b/>
          <w:bCs/>
          <w:color w:val="auto"/>
          <w:kern w:val="0"/>
          <w:sz w:val="28"/>
          <w:szCs w:val="28"/>
        </w:rPr>
      </w:pPr>
      <w:bookmarkStart w:id="23" w:name="_Toc16938526"/>
      <w:bookmarkStart w:id="24" w:name="_Toc20823282"/>
      <w:bookmarkStart w:id="25" w:name="_Toc513029210"/>
      <w:r>
        <w:rPr>
          <w:rFonts w:hint="eastAsia" w:ascii="宋体" w:hAnsi="宋体" w:cs="宋体"/>
          <w:color w:val="auto"/>
          <w:kern w:val="0"/>
          <w:sz w:val="28"/>
          <w:szCs w:val="28"/>
        </w:rPr>
        <w:t>1.磋商文件构成</w:t>
      </w:r>
      <w:bookmarkEnd w:id="23"/>
      <w:bookmarkEnd w:id="24"/>
      <w:bookmarkEnd w:id="25"/>
    </w:p>
    <w:p w14:paraId="6EE725E0">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1.1</w:t>
      </w:r>
      <w:r>
        <w:rPr>
          <w:rFonts w:hint="eastAsia" w:ascii="宋体" w:hAnsi="宋体" w:cs="宋体"/>
          <w:color w:val="auto"/>
          <w:sz w:val="28"/>
          <w:szCs w:val="28"/>
        </w:rPr>
        <w:t xml:space="preserve"> 磋商文件由以下部分组成：</w:t>
      </w:r>
    </w:p>
    <w:p w14:paraId="6FF99A73">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（1）磋商通告</w:t>
      </w:r>
    </w:p>
    <w:p w14:paraId="0FE8DA8B">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（2）磋商须知</w:t>
      </w:r>
    </w:p>
    <w:p w14:paraId="4B1461A4">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（3）项目需求</w:t>
      </w:r>
    </w:p>
    <w:p w14:paraId="3A7AA8FC">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（4）评审方法和评审标准</w:t>
      </w:r>
    </w:p>
    <w:p w14:paraId="700C16E8">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（5）响应文件组成</w:t>
      </w:r>
    </w:p>
    <w:p w14:paraId="7FC85BC9">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（6）附件</w:t>
      </w:r>
    </w:p>
    <w:p w14:paraId="26E6E598">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请仔细检查磋商文件是否齐全，如有缺漏请立即与采购代理机构联系解决。</w:t>
      </w:r>
    </w:p>
    <w:p w14:paraId="242BE7D1">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1.2</w:t>
      </w:r>
      <w:r>
        <w:rPr>
          <w:rFonts w:hint="eastAsia" w:ascii="宋体" w:hAnsi="宋体" w:cs="宋体"/>
          <w:color w:val="auto"/>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F121973">
      <w:pPr>
        <w:keepNext/>
        <w:adjustRightInd w:val="0"/>
        <w:snapToGrid w:val="0"/>
        <w:spacing w:line="460" w:lineRule="exact"/>
        <w:ind w:firstLine="560" w:firstLineChars="200"/>
        <w:rPr>
          <w:rFonts w:ascii="宋体" w:hAnsi="宋体" w:cs="宋体"/>
          <w:b/>
          <w:bCs/>
          <w:color w:val="auto"/>
          <w:kern w:val="0"/>
          <w:sz w:val="28"/>
          <w:szCs w:val="28"/>
        </w:rPr>
      </w:pPr>
      <w:bookmarkStart w:id="26" w:name="_Toc20823283"/>
      <w:bookmarkStart w:id="27" w:name="_Toc513029211"/>
      <w:bookmarkStart w:id="28" w:name="_Toc462564070"/>
      <w:bookmarkStart w:id="29" w:name="_Toc16938527"/>
      <w:r>
        <w:rPr>
          <w:rFonts w:hint="eastAsia" w:ascii="宋体" w:hAnsi="宋体" w:cs="宋体"/>
          <w:color w:val="auto"/>
          <w:kern w:val="0"/>
          <w:sz w:val="28"/>
          <w:szCs w:val="28"/>
        </w:rPr>
        <w:t>2.磋商文件的澄清</w:t>
      </w:r>
      <w:bookmarkEnd w:id="26"/>
      <w:bookmarkEnd w:id="27"/>
      <w:bookmarkEnd w:id="28"/>
      <w:bookmarkEnd w:id="29"/>
    </w:p>
    <w:p w14:paraId="3F6B0C4F">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2.1</w:t>
      </w:r>
      <w:r>
        <w:rPr>
          <w:rFonts w:hint="eastAsia" w:ascii="宋体" w:hAnsi="宋体" w:cs="宋体"/>
          <w:color w:val="auto"/>
          <w:sz w:val="28"/>
          <w:szCs w:val="28"/>
        </w:rPr>
        <w:t xml:space="preserve"> 任何要求对磋商文件进行澄清的供应商，应在提交首次响应文件截止时间五日前按磋商通告中的通讯地址，以书面形式通知采购人。采购人有权对发出的磋商文件进行必要的澄清或修改。</w:t>
      </w:r>
    </w:p>
    <w:p w14:paraId="65931C0B">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2.2采购人视情组织答疑会</w:t>
      </w:r>
    </w:p>
    <w:p w14:paraId="67858873">
      <w:pPr>
        <w:keepNext/>
        <w:adjustRightInd w:val="0"/>
        <w:snapToGrid w:val="0"/>
        <w:spacing w:line="460" w:lineRule="exact"/>
        <w:ind w:firstLine="560" w:firstLineChars="200"/>
        <w:rPr>
          <w:rFonts w:ascii="宋体" w:hAnsi="宋体" w:cs="宋体"/>
          <w:b/>
          <w:bCs/>
          <w:color w:val="auto"/>
          <w:kern w:val="0"/>
          <w:sz w:val="28"/>
          <w:szCs w:val="28"/>
        </w:rPr>
      </w:pPr>
      <w:bookmarkStart w:id="30" w:name="_Toc20823284"/>
      <w:bookmarkStart w:id="31" w:name="_Toc462564071"/>
      <w:bookmarkStart w:id="32" w:name="_Toc513029212"/>
      <w:bookmarkStart w:id="33" w:name="_Toc16938528"/>
      <w:r>
        <w:rPr>
          <w:rFonts w:hint="eastAsia" w:ascii="宋体" w:hAnsi="宋体" w:cs="宋体"/>
          <w:color w:val="auto"/>
          <w:kern w:val="0"/>
          <w:sz w:val="28"/>
          <w:szCs w:val="28"/>
        </w:rPr>
        <w:t>3.磋商文件的修改</w:t>
      </w:r>
      <w:bookmarkEnd w:id="30"/>
      <w:bookmarkEnd w:id="31"/>
      <w:bookmarkEnd w:id="32"/>
      <w:bookmarkEnd w:id="33"/>
    </w:p>
    <w:p w14:paraId="01DC99BC">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3.1</w:t>
      </w:r>
      <w:r>
        <w:rPr>
          <w:rFonts w:hint="eastAsia" w:ascii="宋体" w:hAnsi="宋体" w:cs="宋体"/>
          <w:color w:val="auto"/>
          <w:sz w:val="28"/>
          <w:szCs w:val="28"/>
        </w:rPr>
        <w:t xml:space="preserve"> 在响应文件提交截止时间前，采购代理机构可以对磋商文件进行修改。</w:t>
      </w:r>
    </w:p>
    <w:p w14:paraId="3C466791">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 xml:space="preserve">3.2 </w:t>
      </w:r>
      <w:r>
        <w:rPr>
          <w:rFonts w:hint="eastAsia" w:ascii="宋体" w:hAnsi="宋体" w:cs="宋体"/>
          <w:color w:val="auto"/>
          <w:sz w:val="28"/>
          <w:szCs w:val="28"/>
        </w:rPr>
        <w:t>采购代理机构有权按照法定的要求推迟响应文件提交截止日期和磋商日期。</w:t>
      </w:r>
    </w:p>
    <w:p w14:paraId="5612B61C">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 xml:space="preserve">3.3 </w:t>
      </w:r>
      <w:r>
        <w:rPr>
          <w:rFonts w:hint="eastAsia" w:ascii="宋体" w:hAnsi="宋体" w:cs="宋体"/>
          <w:color w:val="auto"/>
          <w:sz w:val="28"/>
          <w:szCs w:val="28"/>
        </w:rPr>
        <w:t>磋商文件的修改将在江苏省南通卫生高等职业技术学校网站或南通市卫生健康委员会网站公布，补充文件将作为磋商文件的组成部分，并对供应商具有约束力。</w:t>
      </w:r>
    </w:p>
    <w:p w14:paraId="6D862285">
      <w:pPr>
        <w:keepNext/>
        <w:keepLines/>
        <w:adjustRightInd w:val="0"/>
        <w:snapToGrid w:val="0"/>
        <w:spacing w:line="460" w:lineRule="exact"/>
        <w:ind w:firstLine="562" w:firstLineChars="200"/>
        <w:outlineLvl w:val="1"/>
        <w:rPr>
          <w:rFonts w:ascii="宋体" w:hAnsi="宋体" w:cs="宋体"/>
          <w:b/>
          <w:bCs/>
          <w:color w:val="auto"/>
          <w:kern w:val="0"/>
          <w:sz w:val="28"/>
          <w:szCs w:val="28"/>
        </w:rPr>
      </w:pPr>
      <w:bookmarkStart w:id="34" w:name="_Toc16938529"/>
      <w:bookmarkStart w:id="35" w:name="_Toc513029213"/>
      <w:bookmarkStart w:id="36" w:name="_Toc120614216"/>
      <w:bookmarkStart w:id="37" w:name="_Toc462564072"/>
      <w:bookmarkStart w:id="38" w:name="_Toc20823285"/>
      <w:r>
        <w:rPr>
          <w:rFonts w:hint="eastAsia" w:ascii="宋体" w:hAnsi="宋体" w:cs="宋体"/>
          <w:b/>
          <w:bCs/>
          <w:color w:val="auto"/>
          <w:kern w:val="0"/>
          <w:sz w:val="28"/>
          <w:szCs w:val="28"/>
        </w:rPr>
        <w:t>三、响应文件的编制</w:t>
      </w:r>
      <w:bookmarkEnd w:id="34"/>
      <w:bookmarkEnd w:id="35"/>
      <w:bookmarkEnd w:id="36"/>
      <w:bookmarkEnd w:id="37"/>
      <w:bookmarkEnd w:id="38"/>
    </w:p>
    <w:p w14:paraId="57FAF0FB">
      <w:pPr>
        <w:keepNext/>
        <w:adjustRightInd w:val="0"/>
        <w:snapToGrid w:val="0"/>
        <w:spacing w:line="460" w:lineRule="exact"/>
        <w:ind w:firstLine="560" w:firstLineChars="200"/>
        <w:rPr>
          <w:rFonts w:ascii="宋体" w:hAnsi="宋体" w:cs="宋体"/>
          <w:bCs/>
          <w:color w:val="auto"/>
          <w:kern w:val="0"/>
          <w:sz w:val="28"/>
          <w:szCs w:val="28"/>
        </w:rPr>
      </w:pPr>
      <w:bookmarkStart w:id="39" w:name="_Toc20823286"/>
      <w:bookmarkStart w:id="40" w:name="_Toc462564073"/>
      <w:bookmarkStart w:id="41" w:name="_Toc513029214"/>
      <w:bookmarkStart w:id="42" w:name="_Toc16938530"/>
      <w:r>
        <w:rPr>
          <w:rFonts w:hint="eastAsia" w:ascii="宋体" w:hAnsi="宋体" w:cs="宋体"/>
          <w:color w:val="auto"/>
          <w:kern w:val="0"/>
          <w:sz w:val="28"/>
          <w:szCs w:val="28"/>
        </w:rPr>
        <w:t>1.响应文件的语言及度量衡单位</w:t>
      </w:r>
      <w:bookmarkEnd w:id="39"/>
      <w:bookmarkEnd w:id="40"/>
      <w:bookmarkEnd w:id="41"/>
      <w:bookmarkEnd w:id="42"/>
    </w:p>
    <w:p w14:paraId="03FF70E7">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1.1</w:t>
      </w:r>
      <w:r>
        <w:rPr>
          <w:rFonts w:hint="eastAsia" w:ascii="宋体" w:hAnsi="宋体" w:cs="宋体"/>
          <w:color w:val="auto"/>
          <w:sz w:val="28"/>
          <w:szCs w:val="28"/>
        </w:rPr>
        <w:t>供应商提交的响应文件以及供应商与采购代理机构及采购人就有关磋商的所有来往通知、函件和文件均应使用</w:t>
      </w:r>
      <w:r>
        <w:rPr>
          <w:rFonts w:hint="eastAsia" w:ascii="宋体" w:hAnsi="宋体" w:cs="宋体"/>
          <w:bCs/>
          <w:color w:val="auto"/>
          <w:sz w:val="28"/>
          <w:szCs w:val="28"/>
        </w:rPr>
        <w:t>简体中文</w:t>
      </w:r>
      <w:r>
        <w:rPr>
          <w:rFonts w:hint="eastAsia" w:ascii="宋体" w:hAnsi="宋体" w:cs="宋体"/>
          <w:color w:val="auto"/>
          <w:sz w:val="28"/>
          <w:szCs w:val="28"/>
        </w:rPr>
        <w:t>。</w:t>
      </w:r>
    </w:p>
    <w:p w14:paraId="53C33684">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1.2</w:t>
      </w:r>
      <w:r>
        <w:rPr>
          <w:rFonts w:hint="eastAsia" w:ascii="宋体" w:hAnsi="宋体" w:cs="宋体"/>
          <w:color w:val="auto"/>
          <w:sz w:val="28"/>
          <w:szCs w:val="28"/>
        </w:rPr>
        <w:t xml:space="preserve"> 除技术性能另有规定外，响应文件所使用的度量衡单位，均须采用国家法定计量单位。</w:t>
      </w:r>
    </w:p>
    <w:p w14:paraId="79B3329B">
      <w:pPr>
        <w:keepNext/>
        <w:adjustRightInd w:val="0"/>
        <w:snapToGrid w:val="0"/>
        <w:spacing w:line="460" w:lineRule="exact"/>
        <w:ind w:firstLine="560" w:firstLineChars="200"/>
        <w:rPr>
          <w:rFonts w:ascii="宋体" w:hAnsi="宋体" w:cs="宋体"/>
          <w:b/>
          <w:bCs/>
          <w:color w:val="auto"/>
          <w:kern w:val="0"/>
          <w:sz w:val="28"/>
          <w:szCs w:val="28"/>
        </w:rPr>
      </w:pPr>
      <w:bookmarkStart w:id="43" w:name="_Toc462564074"/>
      <w:bookmarkStart w:id="44" w:name="_Toc20823287"/>
      <w:bookmarkStart w:id="45" w:name="_Toc16938531"/>
      <w:bookmarkStart w:id="46" w:name="_Toc513029215"/>
      <w:r>
        <w:rPr>
          <w:rFonts w:hint="eastAsia" w:ascii="宋体" w:hAnsi="宋体" w:cs="宋体"/>
          <w:color w:val="auto"/>
          <w:kern w:val="0"/>
          <w:sz w:val="28"/>
          <w:szCs w:val="28"/>
        </w:rPr>
        <w:t>2.响应文件构成</w:t>
      </w:r>
      <w:bookmarkEnd w:id="43"/>
      <w:bookmarkEnd w:id="44"/>
      <w:bookmarkEnd w:id="45"/>
      <w:bookmarkEnd w:id="46"/>
    </w:p>
    <w:p w14:paraId="12628BAC">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2.1</w:t>
      </w:r>
      <w:r>
        <w:rPr>
          <w:rFonts w:hint="eastAsia" w:ascii="宋体" w:hAnsi="宋体" w:cs="宋体"/>
          <w:color w:val="auto"/>
          <w:sz w:val="28"/>
          <w:szCs w:val="28"/>
        </w:rPr>
        <w:t xml:space="preserve"> 供应商编写的响应文件应包括资格审查文件、商务技术文件、价格文件。供应商按“第五部分 响应文件组成”要求编写响应文件。</w:t>
      </w:r>
    </w:p>
    <w:p w14:paraId="1201A543">
      <w:pPr>
        <w:keepNext/>
        <w:adjustRightInd w:val="0"/>
        <w:snapToGrid w:val="0"/>
        <w:spacing w:line="460" w:lineRule="exact"/>
        <w:ind w:firstLine="560" w:firstLineChars="200"/>
        <w:rPr>
          <w:rFonts w:ascii="宋体" w:hAnsi="宋体" w:cs="宋体"/>
          <w:b/>
          <w:bCs/>
          <w:color w:val="auto"/>
          <w:kern w:val="0"/>
          <w:sz w:val="28"/>
          <w:szCs w:val="28"/>
        </w:rPr>
      </w:pPr>
      <w:bookmarkStart w:id="47" w:name="_Hlt26668975"/>
      <w:bookmarkEnd w:id="47"/>
      <w:bookmarkStart w:id="48" w:name="_Hlt26670360"/>
      <w:bookmarkEnd w:id="48"/>
      <w:bookmarkStart w:id="49" w:name="_Hlt26954838"/>
      <w:bookmarkEnd w:id="49"/>
      <w:bookmarkStart w:id="50" w:name="_Toc49090511"/>
      <w:bookmarkStart w:id="51" w:name="_Toc14577360"/>
      <w:r>
        <w:rPr>
          <w:rFonts w:hint="eastAsia" w:ascii="宋体" w:hAnsi="宋体" w:cs="宋体"/>
          <w:color w:val="auto"/>
          <w:kern w:val="0"/>
          <w:sz w:val="28"/>
          <w:szCs w:val="28"/>
        </w:rPr>
        <w:t>3.</w:t>
      </w:r>
      <w:bookmarkEnd w:id="50"/>
      <w:bookmarkEnd w:id="51"/>
      <w:r>
        <w:rPr>
          <w:rFonts w:hint="eastAsia" w:ascii="宋体" w:hAnsi="宋体" w:cs="宋体"/>
          <w:color w:val="auto"/>
          <w:kern w:val="0"/>
          <w:sz w:val="28"/>
          <w:szCs w:val="28"/>
        </w:rPr>
        <w:t>磋商响应有效期</w:t>
      </w:r>
    </w:p>
    <w:p w14:paraId="2121508B">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3.1磋商响应有效期为采购代理机构规定的响应文件</w:t>
      </w:r>
      <w:r>
        <w:rPr>
          <w:rFonts w:hint="eastAsia" w:ascii="宋体" w:hAnsi="宋体" w:cs="宋体"/>
          <w:color w:val="auto"/>
          <w:sz w:val="28"/>
          <w:szCs w:val="28"/>
        </w:rPr>
        <w:t>提交</w:t>
      </w:r>
      <w:r>
        <w:rPr>
          <w:rFonts w:hint="eastAsia" w:ascii="宋体" w:hAnsi="宋体" w:cs="宋体"/>
          <w:bCs/>
          <w:color w:val="auto"/>
          <w:sz w:val="28"/>
          <w:szCs w:val="28"/>
        </w:rPr>
        <w:t>截止时间后</w:t>
      </w:r>
      <w:r>
        <w:rPr>
          <w:rFonts w:hint="eastAsia" w:ascii="宋体" w:hAnsi="宋体" w:cs="宋体"/>
          <w:b/>
          <w:color w:val="auto"/>
          <w:sz w:val="28"/>
          <w:szCs w:val="28"/>
          <w:u w:val="single"/>
        </w:rPr>
        <w:t>六十（60）天</w:t>
      </w:r>
      <w:r>
        <w:rPr>
          <w:rFonts w:hint="eastAsia" w:ascii="宋体" w:hAnsi="宋体" w:cs="宋体"/>
          <w:bCs/>
          <w:color w:val="auto"/>
          <w:sz w:val="28"/>
          <w:szCs w:val="28"/>
        </w:rPr>
        <w:t>。磋商响应有效期比规定短的将被视为非实质性响应而予以拒绝。</w:t>
      </w:r>
    </w:p>
    <w:p w14:paraId="5B361C18">
      <w:pPr>
        <w:keepNext/>
        <w:adjustRightInd w:val="0"/>
        <w:snapToGrid w:val="0"/>
        <w:spacing w:line="460" w:lineRule="exact"/>
        <w:ind w:firstLine="560" w:firstLineChars="200"/>
        <w:rPr>
          <w:rFonts w:ascii="宋体" w:hAnsi="宋体" w:cs="宋体"/>
          <w:b/>
          <w:bCs/>
          <w:color w:val="auto"/>
          <w:kern w:val="0"/>
          <w:sz w:val="28"/>
          <w:szCs w:val="28"/>
        </w:rPr>
      </w:pPr>
      <w:r>
        <w:rPr>
          <w:rFonts w:hint="eastAsia" w:ascii="宋体" w:hAnsi="宋体" w:cs="宋体"/>
          <w:color w:val="auto"/>
          <w:kern w:val="0"/>
          <w:sz w:val="28"/>
          <w:szCs w:val="28"/>
        </w:rPr>
        <w:t>4. 磋商响应有效期的延长</w:t>
      </w:r>
    </w:p>
    <w:p w14:paraId="136555A0">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宋体" w:hAnsi="宋体" w:cs="宋体"/>
          <w:color w:val="auto"/>
          <w:sz w:val="28"/>
          <w:szCs w:val="28"/>
        </w:rPr>
        <w:t>受磋商响应有效期约束的所有权利与义务均延长至新的有效期</w:t>
      </w:r>
      <w:r>
        <w:rPr>
          <w:rFonts w:hint="eastAsia" w:ascii="宋体" w:hAnsi="宋体" w:cs="宋体"/>
          <w:bCs/>
          <w:color w:val="auto"/>
          <w:sz w:val="28"/>
          <w:szCs w:val="28"/>
        </w:rPr>
        <w:t>。</w:t>
      </w:r>
    </w:p>
    <w:p w14:paraId="64FBBAE1">
      <w:pPr>
        <w:keepNext/>
        <w:keepLines/>
        <w:adjustRightInd w:val="0"/>
        <w:snapToGrid w:val="0"/>
        <w:spacing w:line="460" w:lineRule="exact"/>
        <w:ind w:firstLine="562" w:firstLineChars="200"/>
        <w:outlineLvl w:val="1"/>
        <w:rPr>
          <w:rFonts w:ascii="宋体" w:hAnsi="宋体" w:cs="宋体"/>
          <w:b/>
          <w:bCs/>
          <w:color w:val="auto"/>
          <w:kern w:val="0"/>
          <w:sz w:val="28"/>
          <w:szCs w:val="28"/>
        </w:rPr>
      </w:pPr>
      <w:bookmarkStart w:id="52" w:name="_Hlt26954739"/>
      <w:bookmarkEnd w:id="52"/>
      <w:bookmarkStart w:id="53" w:name="_Hlt26954852"/>
      <w:bookmarkEnd w:id="53"/>
      <w:bookmarkStart w:id="54" w:name="_Toc20823296"/>
      <w:bookmarkStart w:id="55" w:name="_Toc120614217"/>
      <w:bookmarkStart w:id="56" w:name="_Toc16938540"/>
      <w:bookmarkStart w:id="57" w:name="_Toc513029224"/>
      <w:r>
        <w:rPr>
          <w:rFonts w:hint="eastAsia" w:ascii="宋体" w:hAnsi="宋体" w:cs="宋体"/>
          <w:b/>
          <w:bCs/>
          <w:color w:val="auto"/>
          <w:kern w:val="0"/>
          <w:sz w:val="28"/>
          <w:szCs w:val="28"/>
        </w:rPr>
        <w:t>四、响应文件的提交</w:t>
      </w:r>
      <w:bookmarkEnd w:id="54"/>
      <w:bookmarkEnd w:id="55"/>
      <w:bookmarkEnd w:id="56"/>
      <w:bookmarkEnd w:id="57"/>
    </w:p>
    <w:p w14:paraId="164E3447">
      <w:pPr>
        <w:adjustRightInd w:val="0"/>
        <w:snapToGrid w:val="0"/>
        <w:spacing w:line="460" w:lineRule="exact"/>
        <w:ind w:firstLine="560" w:firstLineChars="200"/>
        <w:rPr>
          <w:rFonts w:ascii="宋体" w:hAnsi="宋体" w:cs="宋体"/>
          <w:color w:val="auto"/>
          <w:kern w:val="0"/>
          <w:sz w:val="28"/>
          <w:szCs w:val="28"/>
        </w:rPr>
      </w:pPr>
      <w:bookmarkStart w:id="58" w:name="_Toc16938542"/>
      <w:bookmarkStart w:id="59" w:name="_Toc20823298"/>
      <w:bookmarkStart w:id="60" w:name="_Toc513029226"/>
      <w:r>
        <w:rPr>
          <w:rFonts w:hint="eastAsia" w:ascii="宋体" w:hAnsi="宋体" w:cs="宋体"/>
          <w:color w:val="auto"/>
          <w:kern w:val="0"/>
          <w:sz w:val="28"/>
          <w:szCs w:val="28"/>
        </w:rPr>
        <w:t>1.响应文件的提交</w:t>
      </w:r>
    </w:p>
    <w:p w14:paraId="6E06D78B">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1.1纸质响应文件三部分内容【资格审查文件、商务技术文件、价格文件】须分别单独密封，并牢固装订成册，不得相互混淆，文件自编目录并连续标注页码，不得将内容拆开。价格文件不得出现于其他磋商文件中。</w:t>
      </w:r>
    </w:p>
    <w:p w14:paraId="7A23D6BC">
      <w:pPr>
        <w:adjustRightInd w:val="0"/>
        <w:snapToGrid w:val="0"/>
        <w:spacing w:line="4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1.2纸质响应文件每一部分内容均须提供“正本一份、副本一份”纸质响应文件，并将每一部分内容的正本、副本及图纸类等（如需提供图纸等其它资料的话）合并密封，分别装在三个密封袋或密封箱内（如有A3大小的图纸类，可单独密封），密封完好以不泄露投标文件内容为主要判断依据。</w:t>
      </w:r>
      <w:r>
        <w:rPr>
          <w:rFonts w:hint="eastAsia" w:ascii="宋体" w:hAnsi="宋体" w:cs="宋体"/>
          <w:color w:val="auto"/>
          <w:kern w:val="0"/>
          <w:sz w:val="28"/>
          <w:szCs w:val="28"/>
          <w:lang w:eastAsia="zh-CN"/>
        </w:rPr>
        <w:t>（是否严格按采购文件要求装袋提交不作为无效标判定依据）</w:t>
      </w:r>
    </w:p>
    <w:p w14:paraId="51245AAD">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1.3纸质响应文件须采用A4纸（图纸等除外），正、副本须打印并由法定代表人或授权人签字并加盖单位印章。文件内容中不得行间插字、涂改、增删，如修补错漏处，须由响应文件签署人签字并加盖公章。</w:t>
      </w:r>
    </w:p>
    <w:p w14:paraId="2E584833">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1.4电子响应文件一份，电子响应文件的内容为“资格审查文件、商务技术文件、价格文件”的打印盖章或电子签章后的响应文件的扫描件（资格审查文件、商务技术文件、价格文件需分别逐页连续扫描为三个独立的PDF文件），可以采取U盘或电子光盘方式单独密封提交。</w:t>
      </w:r>
    </w:p>
    <w:p w14:paraId="0385664A">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1.5递交时间：供应商须在规定的响应文件接收截止时间前送达指定地点。供应商提交磋商文件，即视为已响应参加磋商活动。</w:t>
      </w:r>
    </w:p>
    <w:p w14:paraId="1D477F78">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color w:val="auto"/>
          <w:kern w:val="0"/>
          <w:sz w:val="28"/>
          <w:szCs w:val="28"/>
        </w:rPr>
        <w:t>友情提醒：代理机构将拒绝接收未按照磋商文件要求密封的响应文件，拒绝接收在响应文件接收截止时间后递交的响应文件。</w:t>
      </w:r>
    </w:p>
    <w:p w14:paraId="09E97864">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2.响应文件截止日期</w:t>
      </w:r>
      <w:bookmarkEnd w:id="58"/>
      <w:bookmarkEnd w:id="59"/>
      <w:bookmarkEnd w:id="60"/>
    </w:p>
    <w:p w14:paraId="59647205">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2.1 供应商提交响应文件的时间不得迟于磋商通告中规定的响应文件提交截止时间。</w:t>
      </w:r>
    </w:p>
    <w:p w14:paraId="53FAE944">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供应商应充分考虑到交通路况、停车等风险因素，如因供应商自身原因造成的磋商响应文件提交不成功由供应商自行承担全部责任。</w:t>
      </w:r>
    </w:p>
    <w:p w14:paraId="55E29FB3">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color w:val="auto"/>
          <w:sz w:val="28"/>
          <w:szCs w:val="28"/>
        </w:rPr>
        <w:t>2.2</w:t>
      </w:r>
      <w:r>
        <w:rPr>
          <w:rFonts w:hint="eastAsia" w:ascii="宋体" w:hAnsi="宋体" w:cs="宋体"/>
          <w:bCs/>
          <w:color w:val="auto"/>
          <w:sz w:val="28"/>
          <w:szCs w:val="28"/>
        </w:rPr>
        <w:t xml:space="preserve"> 采购代理机构可以按照规定，通过修改响应文件酌情延长响应文件提交截止日期，在此情况下，供应商的所有权利和义务以及供应商受制的截止日期均应以延长后新的截止日期为准。</w:t>
      </w:r>
    </w:p>
    <w:p w14:paraId="1A75DE0A">
      <w:pPr>
        <w:keepNext/>
        <w:adjustRightInd w:val="0"/>
        <w:snapToGrid w:val="0"/>
        <w:spacing w:line="460" w:lineRule="exact"/>
        <w:ind w:firstLine="560" w:firstLineChars="200"/>
        <w:rPr>
          <w:rFonts w:ascii="宋体" w:hAnsi="宋体" w:cs="宋体"/>
          <w:b/>
          <w:bCs/>
          <w:color w:val="auto"/>
          <w:kern w:val="0"/>
          <w:sz w:val="28"/>
          <w:szCs w:val="28"/>
        </w:rPr>
      </w:pPr>
      <w:bookmarkStart w:id="61" w:name="_Toc513029227"/>
      <w:bookmarkStart w:id="62" w:name="_Toc20823299"/>
      <w:bookmarkStart w:id="63" w:name="_Toc16938543"/>
      <w:r>
        <w:rPr>
          <w:rFonts w:hint="eastAsia" w:ascii="宋体" w:hAnsi="宋体" w:cs="宋体"/>
          <w:color w:val="auto"/>
          <w:kern w:val="0"/>
          <w:sz w:val="28"/>
          <w:szCs w:val="28"/>
        </w:rPr>
        <w:t>3.响应文件</w:t>
      </w:r>
      <w:bookmarkEnd w:id="61"/>
      <w:bookmarkEnd w:id="62"/>
      <w:bookmarkEnd w:id="63"/>
      <w:r>
        <w:rPr>
          <w:rFonts w:hint="eastAsia" w:ascii="宋体" w:hAnsi="宋体" w:cs="宋体"/>
          <w:color w:val="auto"/>
          <w:kern w:val="0"/>
          <w:sz w:val="28"/>
          <w:szCs w:val="28"/>
        </w:rPr>
        <w:t>的拒收</w:t>
      </w:r>
    </w:p>
    <w:p w14:paraId="0623AF79">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3.1 采购代理机构拒绝接收在其规定的响应文件提交截止时间后提交的任何响应文件。</w:t>
      </w:r>
    </w:p>
    <w:p w14:paraId="299C975E">
      <w:pPr>
        <w:keepNext/>
        <w:adjustRightInd w:val="0"/>
        <w:snapToGrid w:val="0"/>
        <w:spacing w:line="460" w:lineRule="exact"/>
        <w:ind w:firstLine="560" w:firstLineChars="200"/>
        <w:rPr>
          <w:rFonts w:ascii="宋体" w:hAnsi="宋体" w:cs="宋体"/>
          <w:b/>
          <w:bCs/>
          <w:color w:val="auto"/>
          <w:kern w:val="0"/>
          <w:sz w:val="28"/>
          <w:szCs w:val="28"/>
        </w:rPr>
      </w:pPr>
      <w:bookmarkStart w:id="64" w:name="_Toc16938544"/>
      <w:bookmarkStart w:id="65" w:name="_Toc513029228"/>
      <w:bookmarkStart w:id="66" w:name="_Toc20823300"/>
      <w:r>
        <w:rPr>
          <w:rFonts w:hint="eastAsia" w:ascii="宋体" w:hAnsi="宋体" w:cs="宋体"/>
          <w:color w:val="auto"/>
          <w:kern w:val="0"/>
          <w:sz w:val="28"/>
          <w:szCs w:val="28"/>
        </w:rPr>
        <w:t>4. 响应文件的撤回和修改</w:t>
      </w:r>
      <w:bookmarkEnd w:id="64"/>
      <w:bookmarkEnd w:id="65"/>
      <w:bookmarkEnd w:id="66"/>
    </w:p>
    <w:p w14:paraId="09EAEEB4">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4.1 响应文件的撤回</w:t>
      </w:r>
    </w:p>
    <w:p w14:paraId="3E67CC17">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4.1.1 响应文件的撤回</w:t>
      </w:r>
    </w:p>
    <w:p w14:paraId="1745B027">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供应商可在响应文件提交截止时间前，书面撤回其磋商响应文件。</w:t>
      </w:r>
    </w:p>
    <w:p w14:paraId="73C068BF">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4.1.2 供应商撤回磋商响应文件，则认为其不再参与本项目磋商活动。</w:t>
      </w:r>
    </w:p>
    <w:p w14:paraId="61106792">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4.2 响应文件的修改</w:t>
      </w:r>
    </w:p>
    <w:p w14:paraId="61C91787">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在响应文件提交截止时间之后，供应商不得再对其提交的响应文件进行修改。</w:t>
      </w:r>
    </w:p>
    <w:p w14:paraId="2690DE2D">
      <w:pPr>
        <w:keepNext/>
        <w:keepLines/>
        <w:adjustRightInd w:val="0"/>
        <w:snapToGrid w:val="0"/>
        <w:spacing w:line="460" w:lineRule="exact"/>
        <w:ind w:firstLine="562" w:firstLineChars="200"/>
        <w:outlineLvl w:val="1"/>
        <w:rPr>
          <w:rFonts w:ascii="宋体" w:hAnsi="宋体" w:cs="宋体"/>
          <w:b/>
          <w:bCs/>
          <w:color w:val="auto"/>
          <w:kern w:val="0"/>
          <w:sz w:val="28"/>
          <w:szCs w:val="28"/>
        </w:rPr>
      </w:pPr>
      <w:bookmarkStart w:id="67" w:name="_Toc16938545"/>
      <w:bookmarkStart w:id="68" w:name="_Toc120614218"/>
      <w:bookmarkStart w:id="69" w:name="_Toc513029229"/>
      <w:bookmarkStart w:id="70" w:name="_Toc20823301"/>
      <w:r>
        <w:rPr>
          <w:rFonts w:hint="eastAsia" w:ascii="宋体" w:hAnsi="宋体" w:cs="宋体"/>
          <w:b/>
          <w:bCs/>
          <w:color w:val="auto"/>
          <w:kern w:val="0"/>
          <w:sz w:val="28"/>
          <w:szCs w:val="28"/>
        </w:rPr>
        <w:t>五</w:t>
      </w:r>
      <w:bookmarkEnd w:id="67"/>
      <w:bookmarkEnd w:id="68"/>
      <w:bookmarkEnd w:id="69"/>
      <w:bookmarkEnd w:id="70"/>
      <w:bookmarkStart w:id="71" w:name="_Toc20823302"/>
      <w:bookmarkStart w:id="72" w:name="_Toc16938546"/>
      <w:bookmarkStart w:id="73" w:name="_Toc513029230"/>
      <w:r>
        <w:rPr>
          <w:rFonts w:hint="eastAsia" w:ascii="宋体" w:hAnsi="宋体" w:cs="宋体"/>
          <w:b/>
          <w:bCs/>
          <w:color w:val="auto"/>
          <w:kern w:val="0"/>
          <w:sz w:val="28"/>
          <w:szCs w:val="28"/>
        </w:rPr>
        <w:t>、磋商与评审</w:t>
      </w:r>
    </w:p>
    <w:p w14:paraId="076BF942">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1.磋商仪式</w:t>
      </w:r>
    </w:p>
    <w:p w14:paraId="38D21175">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1.1采购代理机构将在磋商通告中规定的时间和地点组织磋商开始仪式。供应商应当在磋商通告中规定的时间和地点参加磋商活动。</w:t>
      </w:r>
    </w:p>
    <w:p w14:paraId="3F41A9E0">
      <w:pPr>
        <w:adjustRightInd w:val="0"/>
        <w:snapToGrid w:val="0"/>
        <w:spacing w:line="460" w:lineRule="exact"/>
        <w:ind w:firstLine="560" w:firstLineChars="200"/>
        <w:rPr>
          <w:rFonts w:ascii="宋体" w:hAnsi="宋体" w:cs="宋体"/>
          <w:b/>
          <w:color w:val="auto"/>
          <w:sz w:val="28"/>
          <w:szCs w:val="28"/>
        </w:rPr>
      </w:pPr>
      <w:r>
        <w:rPr>
          <w:rFonts w:hint="eastAsia" w:ascii="宋体" w:hAnsi="宋体" w:cs="宋体"/>
          <w:bCs/>
          <w:color w:val="auto"/>
          <w:sz w:val="28"/>
          <w:szCs w:val="28"/>
        </w:rPr>
        <w:t>1.2 磋商活动的文件密封性检查工作</w:t>
      </w:r>
      <w:r>
        <w:rPr>
          <w:rFonts w:hint="eastAsia" w:ascii="宋体" w:hAnsi="宋体" w:cs="宋体"/>
          <w:color w:val="auto"/>
          <w:sz w:val="28"/>
          <w:szCs w:val="28"/>
        </w:rPr>
        <w:t>由采购代理机构组织。</w:t>
      </w:r>
    </w:p>
    <w:p w14:paraId="5263D1FB">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1.3供应商在磋商过程中涉及到的磋商文件密封性检查、磋商结果确认等工作，按照采购代理机构指引进行。</w:t>
      </w:r>
    </w:p>
    <w:p w14:paraId="4D0DF6CF">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2.磋商小组</w:t>
      </w:r>
    </w:p>
    <w:p w14:paraId="1E25C777">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2.1磋商开始仪式结束后，采购代理机构将立即组织磋商小组进行评审。</w:t>
      </w:r>
    </w:p>
    <w:p w14:paraId="74504E65">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14:paraId="4CB62C69">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2.3超过公开招标限额标准的项目，磋商小组应当由5人以上单数组成。</w:t>
      </w:r>
    </w:p>
    <w:p w14:paraId="627E6E25">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2.4采用磋商的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磋商采购项目，评审专家中应当包含1名法律专家。</w:t>
      </w:r>
    </w:p>
    <w:p w14:paraId="1320FEE4">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2.5磋商小组独立工作，负责评审所有响应文件并确定成交侯选人。</w:t>
      </w:r>
    </w:p>
    <w:p w14:paraId="48595234">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3.磋商评审过程的保密与公正</w:t>
      </w:r>
    </w:p>
    <w:p w14:paraId="70CBBF0F">
      <w:pPr>
        <w:tabs>
          <w:tab w:val="left" w:pos="900"/>
        </w:tabs>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3.1磋商小组、采购人和采购代理机构工作人员、相关监督人员等与评审工作有关的人员，对评审情况以及在评审过程中获悉的国家秘密、商业秘密负有保密责任。</w:t>
      </w:r>
    </w:p>
    <w:p w14:paraId="754FFC84">
      <w:pPr>
        <w:tabs>
          <w:tab w:val="left" w:pos="900"/>
        </w:tabs>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3.2在磋商评审过程中，磋商供应商不得以任何行为影响磋商评审过程，否则其响应文件将被作为无效响应文件。</w:t>
      </w:r>
    </w:p>
    <w:p w14:paraId="4A07EC35">
      <w:pPr>
        <w:tabs>
          <w:tab w:val="left" w:pos="900"/>
        </w:tabs>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ED1EF7C">
      <w:pPr>
        <w:tabs>
          <w:tab w:val="left" w:pos="900"/>
        </w:tabs>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color w:val="auto"/>
          <w:sz w:val="28"/>
          <w:szCs w:val="28"/>
        </w:rPr>
        <w:t>3.4</w:t>
      </w:r>
      <w:r>
        <w:rPr>
          <w:rFonts w:hint="eastAsia" w:ascii="宋体" w:hAnsi="宋体" w:cs="宋体"/>
          <w:bCs/>
          <w:color w:val="auto"/>
          <w:sz w:val="28"/>
          <w:szCs w:val="28"/>
        </w:rPr>
        <w:t>评审开始后，直至向成交供应商授予合同时止，凡是与审查、澄清、评价和比较响应的有关资料以及授标建议等，采购人、磋商小组、采购代理机构均不得向供应商或与评标无关的其他人员透露。</w:t>
      </w:r>
    </w:p>
    <w:p w14:paraId="292286C1">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3.5在评审期间，采购代理机构将设专门人员与供应商联系。</w:t>
      </w:r>
    </w:p>
    <w:p w14:paraId="13ED5796">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3.6采购代理机构和评审小组不向未成交的供应商解释未成交原因，也不公布评审过程中的相关细节。</w:t>
      </w:r>
    </w:p>
    <w:p w14:paraId="6D300984">
      <w:pPr>
        <w:tabs>
          <w:tab w:val="left" w:pos="900"/>
        </w:tabs>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4.评审过程的澄清</w:t>
      </w:r>
    </w:p>
    <w:p w14:paraId="410A2D32">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4.1评审期间，为有助于对响应文件的审查、评价和比较，磋商小组有权要求响应人对其响应文件进行澄清，但并非对每个供应商都作澄清要求。</w:t>
      </w:r>
    </w:p>
    <w:p w14:paraId="7351E562">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4.2接到磋商小组澄清要求的供应商应按磋商小组规定的时间和格式做出澄清，澄清的内容作为响应文件的补充部分，但实质性的内容不得做任何更改。</w:t>
      </w:r>
    </w:p>
    <w:p w14:paraId="63A9C097">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color w:val="auto"/>
          <w:sz w:val="28"/>
          <w:szCs w:val="28"/>
        </w:rPr>
        <w:t>4.3 接到磋商小组澄清要求的供应商如未按规定做出澄清，其风</w:t>
      </w:r>
      <w:r>
        <w:rPr>
          <w:rFonts w:hint="eastAsia" w:ascii="宋体" w:hAnsi="宋体" w:cs="宋体"/>
          <w:bCs/>
          <w:color w:val="auto"/>
          <w:sz w:val="28"/>
          <w:szCs w:val="28"/>
        </w:rPr>
        <w:t>险由供应商自行承担。</w:t>
      </w:r>
    </w:p>
    <w:p w14:paraId="107F0167">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5.对响应文件的初审</w:t>
      </w:r>
    </w:p>
    <w:p w14:paraId="7C7CC1C4">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5.1响应文件初审分为资格性审查和符合性审查。</w:t>
      </w:r>
    </w:p>
    <w:p w14:paraId="53AC3CF4">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5.1.1资格性检查：依据法律法规和磋商文件的规定，由采购人对响应文件中的资格审查文件进行审查。</w:t>
      </w:r>
    </w:p>
    <w:p w14:paraId="52F21BAA">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5.1.2符合性审查：依据磋商文件的规定，由磋商小组从响应文件的有效性、完整性和对磋商文件的响应程度进行审查，以确定是否对磋商文件的实质性要求作出响应。</w:t>
      </w:r>
    </w:p>
    <w:p w14:paraId="36B44210">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5.1.3未通过资格审查或符合性审查的供应商人，采购代理机构将告知未通过资格审查或符合性审查的原因，并记录存档。</w:t>
      </w:r>
    </w:p>
    <w:p w14:paraId="13E9A775">
      <w:pPr>
        <w:tabs>
          <w:tab w:val="left" w:pos="900"/>
        </w:tabs>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14:paraId="352351E8">
      <w:pPr>
        <w:tabs>
          <w:tab w:val="left" w:pos="900"/>
        </w:tabs>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4E8A0945">
      <w:pPr>
        <w:tabs>
          <w:tab w:val="left" w:pos="900"/>
        </w:tabs>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5.3如果响应文件实质上没有响应磋商文件的要求，磋商小组将予以拒绝，供应商不得通过修改或撤销不合要求的偏离或保留而使其响应文件成为实质性响应的文件。</w:t>
      </w:r>
    </w:p>
    <w:p w14:paraId="5AC151AD">
      <w:pPr>
        <w:tabs>
          <w:tab w:val="left" w:pos="900"/>
        </w:tabs>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5.4磋商小组将对确定为实质性响应的文件进行进一步审核，看其是否有计算上或累加上的算术错误，修正错误的原则如下：</w:t>
      </w:r>
    </w:p>
    <w:p w14:paraId="7FC4523F">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（1）响应文件中</w:t>
      </w:r>
      <w:r>
        <w:rPr>
          <w:rFonts w:hint="eastAsia" w:ascii="宋体" w:hAnsi="宋体" w:cs="宋体"/>
          <w:color w:val="auto"/>
          <w:kern w:val="0"/>
          <w:sz w:val="28"/>
          <w:szCs w:val="28"/>
        </w:rPr>
        <w:t>报价总表</w:t>
      </w:r>
      <w:r>
        <w:rPr>
          <w:rFonts w:hint="eastAsia" w:ascii="宋体" w:hAnsi="宋体" w:cs="宋体"/>
          <w:bCs/>
          <w:color w:val="auto"/>
          <w:sz w:val="28"/>
          <w:szCs w:val="28"/>
        </w:rPr>
        <w:t>内容与响应文件中相应内容不一致的，以</w:t>
      </w:r>
      <w:r>
        <w:rPr>
          <w:rFonts w:hint="eastAsia" w:ascii="宋体" w:hAnsi="宋体" w:cs="宋体"/>
          <w:color w:val="auto"/>
          <w:kern w:val="0"/>
          <w:sz w:val="28"/>
          <w:szCs w:val="28"/>
        </w:rPr>
        <w:t>报价总表</w:t>
      </w:r>
      <w:r>
        <w:rPr>
          <w:rFonts w:hint="eastAsia" w:ascii="宋体" w:hAnsi="宋体" w:cs="宋体"/>
          <w:bCs/>
          <w:color w:val="auto"/>
          <w:sz w:val="28"/>
          <w:szCs w:val="28"/>
        </w:rPr>
        <w:t>为准。</w:t>
      </w:r>
    </w:p>
    <w:p w14:paraId="7DAEB063">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（2）大写金额和小写金额不一致的，以大写金额为准。</w:t>
      </w:r>
    </w:p>
    <w:p w14:paraId="42A19CC6">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（3）单价金额小数点或者百分比有明显错位的，以</w:t>
      </w:r>
      <w:r>
        <w:rPr>
          <w:rFonts w:hint="eastAsia" w:ascii="宋体" w:hAnsi="宋体" w:cs="宋体"/>
          <w:color w:val="auto"/>
          <w:kern w:val="0"/>
          <w:sz w:val="28"/>
          <w:szCs w:val="28"/>
        </w:rPr>
        <w:t>报价总表</w:t>
      </w:r>
      <w:r>
        <w:rPr>
          <w:rFonts w:hint="eastAsia" w:ascii="宋体" w:hAnsi="宋体" w:cs="宋体"/>
          <w:bCs/>
          <w:color w:val="auto"/>
          <w:sz w:val="28"/>
          <w:szCs w:val="28"/>
        </w:rPr>
        <w:t>的总价为准，并修改单价。</w:t>
      </w:r>
    </w:p>
    <w:p w14:paraId="449C0ADB">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（4）总价金额与按单价汇总金额不一致的，以单价金额计算结果为准。</w:t>
      </w:r>
    </w:p>
    <w:p w14:paraId="78D9AD59">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同时出现两种以上错误的，按照前款规定的顺序修正。</w:t>
      </w:r>
    </w:p>
    <w:p w14:paraId="61F30675">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color w:val="auto"/>
          <w:sz w:val="28"/>
          <w:szCs w:val="28"/>
        </w:rPr>
        <w:t>5</w:t>
      </w:r>
      <w:r>
        <w:rPr>
          <w:rFonts w:hint="eastAsia" w:ascii="宋体" w:hAnsi="宋体" w:cs="宋体"/>
          <w:bCs/>
          <w:color w:val="auto"/>
          <w:sz w:val="28"/>
          <w:szCs w:val="28"/>
        </w:rPr>
        <w:t>.5磋商小组将按上述修正错误的方法调整响应文件中的报价，并告知供应商，调整后的价格应对供应商具有约束力。如果供应商不接受修正后的价格，则其磋商活动将被拒绝。</w:t>
      </w:r>
    </w:p>
    <w:p w14:paraId="522188BA">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5.6磋商小组将允许修正响应文件中不构成重大偏离的、微小的、非正规的、不一致的或不规则的地方，但这些修改不能影响任何供应商相应的名次排列。</w:t>
      </w:r>
    </w:p>
    <w:p w14:paraId="792D16A1">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5.7</w:t>
      </w:r>
      <w:r>
        <w:rPr>
          <w:rFonts w:hint="eastAsia" w:ascii="宋体" w:hAnsi="宋体" w:cs="宋体"/>
          <w:color w:val="auto"/>
          <w:sz w:val="28"/>
          <w:szCs w:val="28"/>
        </w:rPr>
        <w:t>供应商在评审全过程中应保持通讯畅通，并安排专人与采购代理机构及磋商小组联系（适用于不见面磋商模式）。</w:t>
      </w:r>
    </w:p>
    <w:p w14:paraId="20713966">
      <w:pPr>
        <w:tabs>
          <w:tab w:val="left" w:pos="6555"/>
          <w:tab w:val="right" w:pos="8306"/>
        </w:tabs>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 被认定为未实质性响应磋商文件的响应文件的情形。</w:t>
      </w:r>
    </w:p>
    <w:p w14:paraId="101E8B9F">
      <w:pPr>
        <w:tabs>
          <w:tab w:val="left" w:pos="6555"/>
          <w:tab w:val="right" w:pos="8306"/>
        </w:tabs>
        <w:adjustRightInd w:val="0"/>
        <w:snapToGrid w:val="0"/>
        <w:spacing w:line="460" w:lineRule="exact"/>
        <w:ind w:firstLine="560" w:firstLineChars="200"/>
        <w:rPr>
          <w:rFonts w:ascii="宋体" w:hAnsi="宋体" w:cs="宋体"/>
          <w:b/>
          <w:color w:val="auto"/>
          <w:sz w:val="28"/>
          <w:szCs w:val="28"/>
        </w:rPr>
      </w:pPr>
      <w:r>
        <w:rPr>
          <w:rFonts w:hint="eastAsia" w:ascii="宋体" w:hAnsi="宋体" w:cs="宋体"/>
          <w:bCs/>
          <w:color w:val="auto"/>
          <w:sz w:val="28"/>
          <w:szCs w:val="28"/>
        </w:rPr>
        <w:t>6.1出现下列情形之一的，作无效响应处理。</w:t>
      </w:r>
      <w:r>
        <w:rPr>
          <w:rFonts w:hint="eastAsia" w:ascii="宋体" w:hAnsi="宋体" w:cs="宋体"/>
          <w:bCs/>
          <w:color w:val="auto"/>
          <w:sz w:val="28"/>
          <w:szCs w:val="28"/>
        </w:rPr>
        <w:tab/>
      </w:r>
      <w:r>
        <w:rPr>
          <w:rFonts w:hint="eastAsia" w:ascii="宋体" w:hAnsi="宋体" w:cs="宋体"/>
          <w:b/>
          <w:color w:val="auto"/>
          <w:sz w:val="28"/>
          <w:szCs w:val="28"/>
        </w:rPr>
        <w:tab/>
      </w:r>
    </w:p>
    <w:p w14:paraId="4FAB103F">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6.1.1供应商在规定的时间内未成功提交磋商响应文件的。</w:t>
      </w:r>
    </w:p>
    <w:p w14:paraId="21FF0085">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6.1.2未完整提交响应文件的。</w:t>
      </w:r>
    </w:p>
    <w:p w14:paraId="73EECC0D">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6.1.3同一供应商提交两个（含两个）以上不同的响应报价的。</w:t>
      </w:r>
    </w:p>
    <w:p w14:paraId="04950AD4">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 xml:space="preserve">6.1.4不具备磋商文件中规定的资格要求的。 </w:t>
      </w:r>
    </w:p>
    <w:p w14:paraId="3A6C74CE">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 xml:space="preserve">6.1.5响应报价超过了采购预算或最高限价的。 </w:t>
      </w:r>
    </w:p>
    <w:p w14:paraId="2567CDEC">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6.1.6未通过符合性检查的。</w:t>
      </w:r>
    </w:p>
    <w:p w14:paraId="42866F83">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6.1.7不符合法律、法规和磋商文件中规定的其他实质性要求的。</w:t>
      </w:r>
    </w:p>
    <w:p w14:paraId="65985C40">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3063A9BA">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6.1.9 响应文件含有采购人不能接受的附加条件的。</w:t>
      </w:r>
    </w:p>
    <w:p w14:paraId="2FC930AC">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02742162">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18F58B06">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6.1.12响应文件未按照采购文件要求盖章、密封的。</w:t>
      </w:r>
    </w:p>
    <w:p w14:paraId="7EE93910">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6.1.13供应商的商务技术部分得分相差悬殊，评标委员会认为得分畸低者没有实质性响应的。</w:t>
      </w:r>
    </w:p>
    <w:p w14:paraId="74FF1B0A">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6.1.14其他法律、法规及本磋商文件规定的属无效响应的情形。</w:t>
      </w:r>
    </w:p>
    <w:p w14:paraId="538B98DF">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6.2出现下列情形之一的，磋商失败。</w:t>
      </w:r>
    </w:p>
    <w:p w14:paraId="7F396586">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6.2.1符合条件的供应商或者对磋商文件作实质响应的供应商不足3家的（市场竞争不充分的科研项目，以及需要扶持的科技成果转化项目可以是2家）；</w:t>
      </w:r>
    </w:p>
    <w:p w14:paraId="138D2969">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6.2.2出现影响采购公正的违法违规行为的；</w:t>
      </w:r>
    </w:p>
    <w:p w14:paraId="6886EE2C">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6.2.3因重大变故，采购任务取消的。</w:t>
      </w:r>
    </w:p>
    <w:p w14:paraId="76575083">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6.2.4磋商小组认定磋商文件存在歧义、重大缺陷导致评审工作无法进行。</w:t>
      </w:r>
    </w:p>
    <w:p w14:paraId="50C19BFF">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6.2.5 因系统故障原因造成磋商无法继续进行的</w:t>
      </w:r>
      <w:r>
        <w:rPr>
          <w:rFonts w:hint="eastAsia" w:ascii="宋体" w:hAnsi="宋体" w:cs="宋体"/>
          <w:color w:val="auto"/>
          <w:sz w:val="28"/>
          <w:szCs w:val="28"/>
        </w:rPr>
        <w:t>（适用于不见面磋商模式）</w:t>
      </w:r>
      <w:r>
        <w:rPr>
          <w:rFonts w:hint="eastAsia" w:ascii="宋体" w:hAnsi="宋体" w:cs="宋体"/>
          <w:bCs/>
          <w:color w:val="auto"/>
          <w:sz w:val="28"/>
          <w:szCs w:val="28"/>
        </w:rPr>
        <w:t>。</w:t>
      </w:r>
    </w:p>
    <w:p w14:paraId="3E48C438">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6.3 响应</w:t>
      </w:r>
      <w:r>
        <w:rPr>
          <w:rFonts w:hint="eastAsia" w:ascii="宋体" w:hAnsi="宋体" w:cs="宋体"/>
          <w:color w:val="auto"/>
          <w:sz w:val="28"/>
          <w:szCs w:val="28"/>
        </w:rPr>
        <w:t>文件提交</w:t>
      </w:r>
      <w:r>
        <w:rPr>
          <w:rFonts w:hint="eastAsia" w:ascii="宋体" w:hAnsi="宋体" w:cs="宋体"/>
          <w:bCs/>
          <w:color w:val="auto"/>
          <w:sz w:val="28"/>
          <w:szCs w:val="28"/>
        </w:rPr>
        <w:t>截止时间结束后参加磋商的供应商不足三家的处理：</w:t>
      </w:r>
    </w:p>
    <w:p w14:paraId="57399ACA">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6.3.1如出现响应</w:t>
      </w:r>
      <w:r>
        <w:rPr>
          <w:rFonts w:hint="eastAsia" w:ascii="宋体" w:hAnsi="宋体" w:cs="宋体"/>
          <w:color w:val="auto"/>
          <w:sz w:val="28"/>
          <w:szCs w:val="28"/>
        </w:rPr>
        <w:t>文件提交</w:t>
      </w:r>
      <w:r>
        <w:rPr>
          <w:rFonts w:hint="eastAsia" w:ascii="宋体" w:hAnsi="宋体" w:cs="宋体"/>
          <w:bCs/>
          <w:color w:val="auto"/>
          <w:sz w:val="28"/>
          <w:szCs w:val="28"/>
        </w:rPr>
        <w:t>截止时间结束后参加磋商的供应商或者在评审期间对磋商文件做出实质响应的供应商不足三家情况，除采购任务取消情形外，按照以下方式处理：</w:t>
      </w:r>
    </w:p>
    <w:p w14:paraId="19A275C0">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1.采购文件存在不合理条款或者招标程序不符合规定的，采购人、采购代理机构改正后依法重新招标采购；</w:t>
      </w:r>
    </w:p>
    <w:p w14:paraId="6918AE20">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2采购文件没有不合理条款、采购程序符合规定，需要采用其他采购人式采购的，采购人应当依法报采购监管部门批准。</w:t>
      </w:r>
    </w:p>
    <w:bookmarkEnd w:id="71"/>
    <w:bookmarkEnd w:id="72"/>
    <w:bookmarkEnd w:id="73"/>
    <w:p w14:paraId="4BD1832C">
      <w:pPr>
        <w:keepNext/>
        <w:keepLines/>
        <w:adjustRightInd w:val="0"/>
        <w:snapToGrid w:val="0"/>
        <w:spacing w:line="460" w:lineRule="exact"/>
        <w:ind w:firstLine="562" w:firstLineChars="200"/>
        <w:outlineLvl w:val="1"/>
        <w:rPr>
          <w:rFonts w:ascii="宋体" w:hAnsi="宋体" w:cs="宋体"/>
          <w:b/>
          <w:bCs/>
          <w:color w:val="auto"/>
          <w:kern w:val="0"/>
          <w:sz w:val="28"/>
          <w:szCs w:val="28"/>
        </w:rPr>
      </w:pPr>
      <w:bookmarkStart w:id="74" w:name="_Toc120614219"/>
      <w:r>
        <w:rPr>
          <w:rFonts w:hint="eastAsia" w:ascii="宋体" w:hAnsi="宋体" w:cs="宋体"/>
          <w:b/>
          <w:bCs/>
          <w:color w:val="auto"/>
          <w:kern w:val="0"/>
          <w:sz w:val="28"/>
          <w:szCs w:val="28"/>
        </w:rPr>
        <w:t>六</w:t>
      </w:r>
      <w:bookmarkEnd w:id="74"/>
      <w:r>
        <w:rPr>
          <w:rFonts w:hint="eastAsia" w:ascii="宋体" w:hAnsi="宋体" w:cs="宋体"/>
          <w:b/>
          <w:bCs/>
          <w:color w:val="auto"/>
          <w:kern w:val="0"/>
          <w:sz w:val="28"/>
          <w:szCs w:val="28"/>
        </w:rPr>
        <w:t>、成交</w:t>
      </w:r>
    </w:p>
    <w:p w14:paraId="234261E7">
      <w:pPr>
        <w:keepNext/>
        <w:adjustRightInd w:val="0"/>
        <w:snapToGrid w:val="0"/>
        <w:spacing w:line="460" w:lineRule="exact"/>
        <w:ind w:firstLine="560" w:firstLineChars="200"/>
        <w:rPr>
          <w:rFonts w:ascii="宋体" w:hAnsi="宋体" w:cs="宋体"/>
          <w:b/>
          <w:color w:val="auto"/>
          <w:kern w:val="0"/>
          <w:sz w:val="28"/>
          <w:szCs w:val="28"/>
        </w:rPr>
      </w:pPr>
      <w:bookmarkStart w:id="75" w:name="_Toc20823310"/>
      <w:bookmarkStart w:id="76" w:name="_Toc16938554"/>
      <w:r>
        <w:rPr>
          <w:rFonts w:hint="eastAsia" w:ascii="宋体" w:hAnsi="宋体" w:cs="宋体"/>
          <w:color w:val="auto"/>
          <w:kern w:val="0"/>
          <w:sz w:val="28"/>
          <w:szCs w:val="28"/>
        </w:rPr>
        <w:t>1.确定</w:t>
      </w:r>
      <w:bookmarkEnd w:id="75"/>
      <w:bookmarkEnd w:id="76"/>
      <w:r>
        <w:rPr>
          <w:rFonts w:hint="eastAsia" w:ascii="宋体" w:hAnsi="宋体" w:cs="宋体"/>
          <w:color w:val="auto"/>
          <w:kern w:val="0"/>
          <w:sz w:val="28"/>
          <w:szCs w:val="28"/>
        </w:rPr>
        <w:t>成交单位</w:t>
      </w:r>
    </w:p>
    <w:p w14:paraId="1B5BFED4">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1.1成交候选供应商的选取原则和数量见磋商文件第四部分规定</w:t>
      </w:r>
      <w:r>
        <w:rPr>
          <w:rFonts w:hint="eastAsia" w:ascii="宋体" w:hAnsi="宋体" w:cs="宋体"/>
          <w:color w:val="auto"/>
          <w:sz w:val="28"/>
          <w:szCs w:val="28"/>
        </w:rPr>
        <w:t xml:space="preserve">。 </w:t>
      </w:r>
    </w:p>
    <w:p w14:paraId="4D35D22C">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1.2 采购人授权磋商小组在成交候选供应商中直接确定成交供应商。</w:t>
      </w:r>
    </w:p>
    <w:p w14:paraId="62C47E63">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1.3 采购代理机构将在“江苏省南通卫生高等职业技术学校网站或南通市卫生健康委员会网站”发布成交结果通告，通告期限为1个工作日。</w:t>
      </w:r>
    </w:p>
    <w:p w14:paraId="2BD63908">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1.4若有充分证据证明，成交供应商出现下列情况之一的，一经查实，将被取消成交资格：</w:t>
      </w:r>
    </w:p>
    <w:p w14:paraId="56931555">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1.4.1提供虚假材料谋取成交的。</w:t>
      </w:r>
    </w:p>
    <w:p w14:paraId="685201A6">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1.4.2向采购人、采购代理机构行贿或者评审专家提供其他不正当利益的。</w:t>
      </w:r>
    </w:p>
    <w:p w14:paraId="550EAD2C">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1.4.3恶意竞争，最终总报价明显低于其自身合理成本且又无法提供证明的。</w:t>
      </w:r>
    </w:p>
    <w:p w14:paraId="7D3BDDCB">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1.4.4属于本文件规定的无效条件，但在评审过程中又未被磋商小组发现的。</w:t>
      </w:r>
    </w:p>
    <w:p w14:paraId="000829CE">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1.4.5与采购人或者其他供应商恶意串通的。</w:t>
      </w:r>
    </w:p>
    <w:p w14:paraId="55B0AD57">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1.4.6采取不正当手段诋毁、排挤其他供应商的。</w:t>
      </w:r>
    </w:p>
    <w:p w14:paraId="082B3CCC">
      <w:pPr>
        <w:adjustRightInd w:val="0"/>
        <w:snapToGrid w:val="0"/>
        <w:spacing w:line="460" w:lineRule="exact"/>
        <w:ind w:firstLine="560" w:firstLineChars="200"/>
        <w:rPr>
          <w:rFonts w:ascii="宋体" w:hAnsi="宋体" w:cs="宋体"/>
          <w:color w:val="auto"/>
          <w:sz w:val="28"/>
          <w:szCs w:val="28"/>
        </w:rPr>
      </w:pPr>
      <w:bookmarkStart w:id="77" w:name="_Toc200451960"/>
      <w:r>
        <w:rPr>
          <w:rFonts w:hint="eastAsia" w:ascii="宋体" w:hAnsi="宋体" w:cs="宋体"/>
          <w:color w:val="auto"/>
          <w:sz w:val="28"/>
          <w:szCs w:val="28"/>
        </w:rPr>
        <w:t>1.5.</w:t>
      </w:r>
      <w:r>
        <w:rPr>
          <w:rFonts w:hint="eastAsia" w:ascii="宋体" w:hAnsi="宋体" w:cs="宋体"/>
          <w:color w:val="auto"/>
          <w:kern w:val="0"/>
          <w:sz w:val="28"/>
          <w:szCs w:val="28"/>
        </w:rPr>
        <w:t>有下列情形之一的，视为供应商串通参与磋商，响应无效：</w:t>
      </w:r>
    </w:p>
    <w:p w14:paraId="41FE15B7">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1.5.1不同供应商的响应文件由同一单位或者个人编制；</w:t>
      </w:r>
    </w:p>
    <w:p w14:paraId="22287058">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1.5.2不同供应商委托同一单位或者个人办理磋商事宜；</w:t>
      </w:r>
    </w:p>
    <w:p w14:paraId="109BCFBC">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1.5.3不同供应商的响应文件载明的项目管理成员或者联系人员为同一人；</w:t>
      </w:r>
    </w:p>
    <w:p w14:paraId="6D908745">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1.5.4不同供应商的响应文件异常一致或者响应报价呈规律性差异。</w:t>
      </w:r>
    </w:p>
    <w:p w14:paraId="75BF55F7">
      <w:pPr>
        <w:keepNext/>
        <w:adjustRightInd w:val="0"/>
        <w:snapToGrid w:val="0"/>
        <w:spacing w:line="460" w:lineRule="exact"/>
        <w:ind w:firstLine="560" w:firstLineChars="200"/>
        <w:rPr>
          <w:rFonts w:ascii="宋体" w:hAnsi="宋体" w:cs="宋体"/>
          <w:b/>
          <w:color w:val="auto"/>
          <w:kern w:val="0"/>
          <w:sz w:val="28"/>
          <w:szCs w:val="28"/>
        </w:rPr>
      </w:pPr>
      <w:r>
        <w:rPr>
          <w:rFonts w:hint="eastAsia" w:ascii="宋体" w:hAnsi="宋体" w:cs="宋体"/>
          <w:color w:val="auto"/>
          <w:kern w:val="0"/>
          <w:sz w:val="28"/>
          <w:szCs w:val="28"/>
        </w:rPr>
        <w:t>2.质疑处理</w:t>
      </w:r>
      <w:bookmarkEnd w:id="77"/>
    </w:p>
    <w:p w14:paraId="4A6337FC">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2.1 提出质疑的供应商应当是参与所质疑项目采购活动的供应商。潜在供应商依法获取其可质疑的磋商文件的，可以对磋商文件提出质疑。</w:t>
      </w:r>
    </w:p>
    <w:p w14:paraId="711931DF">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14:paraId="56236E7A">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sz w:val="28"/>
          <w:szCs w:val="28"/>
        </w:rPr>
        <w:t>2.2.1</w:t>
      </w:r>
      <w:r>
        <w:rPr>
          <w:rFonts w:hint="eastAsia" w:ascii="宋体" w:hAnsi="宋体" w:cs="宋体"/>
          <w:color w:val="auto"/>
          <w:kern w:val="0"/>
          <w:sz w:val="28"/>
          <w:szCs w:val="28"/>
        </w:rPr>
        <w:t>对可以质疑的磋商文件提出质疑的，为收到磋商文件之日或者磋商文件通告期限届满之日；</w:t>
      </w:r>
    </w:p>
    <w:p w14:paraId="0C4620D7">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sz w:val="28"/>
          <w:szCs w:val="28"/>
        </w:rPr>
        <w:t>2.2.2</w:t>
      </w:r>
      <w:r>
        <w:rPr>
          <w:rFonts w:hint="eastAsia" w:ascii="宋体" w:hAnsi="宋体" w:cs="宋体"/>
          <w:color w:val="auto"/>
          <w:kern w:val="0"/>
          <w:sz w:val="28"/>
          <w:szCs w:val="28"/>
        </w:rPr>
        <w:t>对采购过程提出质疑的，为各采购程序环节结束之日；</w:t>
      </w:r>
    </w:p>
    <w:p w14:paraId="3709A34C">
      <w:pPr>
        <w:adjustRightInd w:val="0"/>
        <w:snapToGrid w:val="0"/>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其中：对评审过程中涉及到的密封检查、身份核对、澄清等和程序性事项，供应商如有异议的，必须当时提出。否则，均视为供应商无异议。无论是否成交，供应商事后不得再就前述事项提出任何异议或质疑投诉。</w:t>
      </w:r>
    </w:p>
    <w:p w14:paraId="6C34A774">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sz w:val="28"/>
          <w:szCs w:val="28"/>
        </w:rPr>
        <w:t>2.2.3</w:t>
      </w:r>
      <w:r>
        <w:rPr>
          <w:rFonts w:hint="eastAsia" w:ascii="宋体" w:hAnsi="宋体" w:cs="宋体"/>
          <w:color w:val="auto"/>
          <w:kern w:val="0"/>
          <w:sz w:val="28"/>
          <w:szCs w:val="28"/>
        </w:rPr>
        <w:t>对成交结果提出质疑的，为成交结果通告期限届满之日。</w:t>
      </w:r>
    </w:p>
    <w:p w14:paraId="50FE2A6F">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供应商应当在法定质疑期内一次性提出针对同一采购程序环节的质疑。</w:t>
      </w:r>
    </w:p>
    <w:p w14:paraId="57394619">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14:paraId="0FBC6F3C">
      <w:pPr>
        <w:adjustRightInd w:val="0"/>
        <w:snapToGrid w:val="0"/>
        <w:spacing w:line="460" w:lineRule="exact"/>
        <w:ind w:firstLine="560" w:firstLineChars="200"/>
        <w:rPr>
          <w:rFonts w:ascii="宋体" w:hAnsi="宋体" w:cs="宋体"/>
          <w:b/>
          <w:color w:val="auto"/>
          <w:sz w:val="28"/>
          <w:szCs w:val="28"/>
        </w:rPr>
      </w:pPr>
      <w:r>
        <w:rPr>
          <w:rFonts w:hint="eastAsia" w:ascii="宋体" w:hAnsi="宋体" w:cs="宋体"/>
          <w:color w:val="auto"/>
          <w:sz w:val="28"/>
          <w:szCs w:val="28"/>
        </w:rPr>
        <w:t>2.4对采购方式、磋商文件中项目需求、供应商资格条件、评标方法和评标标准、资格审查结果等应当由采购人答复的质疑，请向采购人提出，由采购人负责答复。供应商对其他事项的质疑，请向代理机构提出，由采购人或代理机构负责答复。</w:t>
      </w:r>
    </w:p>
    <w:p w14:paraId="168A45A6">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供应商提起质疑采取书面形式，可以现场送达，也可以邮寄。</w:t>
      </w:r>
    </w:p>
    <w:p w14:paraId="20727A54">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采购人及代理机构质疑接收人及联系方式，见磋商文件第一部分。</w:t>
      </w:r>
    </w:p>
    <w:p w14:paraId="41F77C9F">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2.5 以下情形的质疑不予受理</w:t>
      </w:r>
    </w:p>
    <w:p w14:paraId="5456C7A0">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2.5.1 内容不符合《政府采购质疑和投诉办法》第十二条规定的质疑。</w:t>
      </w:r>
    </w:p>
    <w:p w14:paraId="1D892C1D">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2.5.2 超出法定期限的质疑。</w:t>
      </w:r>
    </w:p>
    <w:p w14:paraId="0D61DA4E">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2.5.3 未参加磋商活动的供应商或在磋商活动中自身权益未受到损害的供应商所提出的质疑。</w:t>
      </w:r>
    </w:p>
    <w:p w14:paraId="74C2F9E8">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2.5.4供应商组成联合体参加磋商，联合体中任何一方或多方未按要求签字、盖章、加盖公章的质疑。</w:t>
      </w:r>
    </w:p>
    <w:p w14:paraId="0A94AC3D">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2.6 供应商提出书面质疑必须有理、有据，不得捏造事实、提供虚假材料进行恶意质疑。否则，一经查实，采购代理机构有权依据有关规定，报请监管部门对该供应商进行相应的行政处罚和记录该供应商的失信信息。</w:t>
      </w:r>
    </w:p>
    <w:p w14:paraId="49043859">
      <w:pPr>
        <w:keepNext/>
        <w:adjustRightInd w:val="0"/>
        <w:snapToGrid w:val="0"/>
        <w:spacing w:line="460" w:lineRule="exact"/>
        <w:ind w:firstLine="560" w:firstLineChars="200"/>
        <w:rPr>
          <w:rFonts w:ascii="宋体" w:hAnsi="宋体" w:cs="宋体"/>
          <w:b/>
          <w:color w:val="auto"/>
          <w:kern w:val="0"/>
          <w:sz w:val="28"/>
          <w:szCs w:val="28"/>
        </w:rPr>
      </w:pPr>
      <w:r>
        <w:rPr>
          <w:rFonts w:hint="eastAsia" w:ascii="宋体" w:hAnsi="宋体" w:cs="宋体"/>
          <w:color w:val="auto"/>
          <w:kern w:val="0"/>
          <w:sz w:val="28"/>
          <w:szCs w:val="28"/>
        </w:rPr>
        <w:t>3．成交通知书</w:t>
      </w:r>
    </w:p>
    <w:p w14:paraId="154D8CD6">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3.l</w:t>
      </w:r>
      <w:r>
        <w:rPr>
          <w:rFonts w:hint="eastAsia" w:ascii="宋体" w:hAnsi="宋体" w:cs="宋体"/>
          <w:b/>
          <w:color w:val="auto"/>
          <w:sz w:val="28"/>
          <w:szCs w:val="28"/>
        </w:rPr>
        <w:t xml:space="preserve"> </w:t>
      </w:r>
      <w:r>
        <w:rPr>
          <w:rFonts w:hint="eastAsia" w:ascii="宋体" w:hAnsi="宋体" w:cs="宋体"/>
          <w:color w:val="auto"/>
          <w:sz w:val="28"/>
          <w:szCs w:val="28"/>
        </w:rPr>
        <w:t>成交结果确定后，采购人将向成交供应商发出成交通知书。成交供应商应在成交结果通告期满后5个工作日内到采购代理机构办理领取成交通知书手续，否则，由此产生的后果供应商自负。</w:t>
      </w:r>
    </w:p>
    <w:p w14:paraId="45EF256D">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3.2成交通知书将是合同的一个组成部分，对采购人和成交供应商均具有法律效力。成交通知书发出后，采购人改变成交结果的，或者成交供应商放弃磋商项目的，应当依法承担法律责任。</w:t>
      </w:r>
    </w:p>
    <w:p w14:paraId="5251AE9C">
      <w:pPr>
        <w:keepNext/>
        <w:keepLines/>
        <w:adjustRightInd w:val="0"/>
        <w:snapToGrid w:val="0"/>
        <w:spacing w:line="460" w:lineRule="exact"/>
        <w:ind w:firstLine="562" w:firstLineChars="200"/>
        <w:outlineLvl w:val="1"/>
        <w:rPr>
          <w:rFonts w:ascii="宋体" w:hAnsi="宋体" w:cs="宋体"/>
          <w:b/>
          <w:bCs/>
          <w:color w:val="auto"/>
          <w:kern w:val="0"/>
          <w:sz w:val="28"/>
          <w:szCs w:val="28"/>
        </w:rPr>
      </w:pPr>
      <w:bookmarkStart w:id="78" w:name="_Toc120614220"/>
      <w:bookmarkStart w:id="79" w:name="_Toc513029236"/>
      <w:bookmarkStart w:id="80" w:name="_Toc20823308"/>
      <w:bookmarkStart w:id="81" w:name="_Toc16938552"/>
      <w:r>
        <w:rPr>
          <w:rFonts w:hint="eastAsia" w:ascii="宋体" w:hAnsi="宋体" w:cs="宋体"/>
          <w:b/>
          <w:bCs/>
          <w:color w:val="auto"/>
          <w:kern w:val="0"/>
          <w:sz w:val="28"/>
          <w:szCs w:val="28"/>
        </w:rPr>
        <w:t>七、授予合同</w:t>
      </w:r>
      <w:bookmarkEnd w:id="78"/>
    </w:p>
    <w:bookmarkEnd w:id="79"/>
    <w:bookmarkEnd w:id="80"/>
    <w:bookmarkEnd w:id="81"/>
    <w:p w14:paraId="65F6FDC5">
      <w:pPr>
        <w:keepNext/>
        <w:adjustRightInd w:val="0"/>
        <w:snapToGrid w:val="0"/>
        <w:spacing w:line="460" w:lineRule="exact"/>
        <w:ind w:firstLine="560" w:firstLineChars="200"/>
        <w:rPr>
          <w:rFonts w:ascii="宋体" w:hAnsi="宋体" w:cs="宋体"/>
          <w:b/>
          <w:color w:val="auto"/>
          <w:kern w:val="0"/>
          <w:sz w:val="28"/>
          <w:szCs w:val="28"/>
        </w:rPr>
      </w:pPr>
      <w:bookmarkStart w:id="82" w:name="_Toc16938553"/>
      <w:bookmarkStart w:id="83" w:name="_Toc513029237"/>
      <w:bookmarkStart w:id="84" w:name="_Toc20823309"/>
      <w:r>
        <w:rPr>
          <w:rFonts w:hint="eastAsia" w:ascii="宋体" w:hAnsi="宋体" w:cs="宋体"/>
          <w:color w:val="auto"/>
          <w:kern w:val="0"/>
          <w:sz w:val="28"/>
          <w:szCs w:val="28"/>
        </w:rPr>
        <w:t>1.签订合同</w:t>
      </w:r>
    </w:p>
    <w:p w14:paraId="5C301B13">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1</w:t>
      </w:r>
      <w:r>
        <w:rPr>
          <w:rFonts w:hint="eastAsia" w:ascii="宋体" w:hAnsi="宋体" w:cs="宋体"/>
          <w:color w:val="auto"/>
          <w:sz w:val="28"/>
          <w:szCs w:val="28"/>
        </w:rPr>
        <w:t>.l成交供应商应当在成交通知书发出之日起三十日内，按照磋商文件确定的事项与采购人签订采购合同。</w:t>
      </w:r>
    </w:p>
    <w:p w14:paraId="64364BAF">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1.2磋商文件、成交供应商的响应文件及磋商过程中有关澄清、承诺文件均应作为合同附件。</w:t>
      </w:r>
    </w:p>
    <w:p w14:paraId="5C07040A">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1.3签订合同后，成交供应商不得将货物及其他相关服务进行转包。未经采购人同意，成交供应商也不得采用分包的形式履行合同，否则采购人有权终止合同。采购合同分包履行的，成交供应商就采购项目和分包项目向采购人负责，分包供应商就分包项目承担责任。转包或分包造成采购人损失的，成交供应商应承担相应赔偿责任。</w:t>
      </w:r>
    </w:p>
    <w:p w14:paraId="5ECB7EE4">
      <w:pPr>
        <w:keepNext/>
        <w:adjustRightInd w:val="0"/>
        <w:snapToGrid w:val="0"/>
        <w:spacing w:line="460" w:lineRule="exact"/>
        <w:ind w:firstLine="560" w:firstLineChars="200"/>
        <w:rPr>
          <w:rFonts w:ascii="宋体" w:hAnsi="宋体" w:cs="宋体"/>
          <w:b/>
          <w:color w:val="auto"/>
          <w:kern w:val="0"/>
          <w:sz w:val="28"/>
          <w:szCs w:val="28"/>
        </w:rPr>
      </w:pPr>
      <w:r>
        <w:rPr>
          <w:rFonts w:hint="eastAsia" w:ascii="宋体" w:hAnsi="宋体" w:cs="宋体"/>
          <w:color w:val="auto"/>
          <w:kern w:val="0"/>
          <w:sz w:val="28"/>
          <w:szCs w:val="28"/>
        </w:rPr>
        <w:t>2.货物和服务的追加、减少和添购。</w:t>
      </w:r>
    </w:p>
    <w:p w14:paraId="48D89D6B">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2.1合同履行中，采购人需追加与合同标的相同的货物和服务的，在不改变合同其他条款的前提下，可以与成交供应商协商签订补充合同，但所有补充合同的采购金额不超过原合同金额10%。</w:t>
      </w:r>
    </w:p>
    <w:p w14:paraId="36D6E03B">
      <w:pPr>
        <w:keepNext/>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2.2磋商活动结束后，采购人若由于各种客观原因，必须对采购项目所牵涉的货物和服务进行适当的减少时，在双方协商一致的前提下，可以按照采购时的价格水平做相应的调减，并据此签订补充合同。</w:t>
      </w:r>
    </w:p>
    <w:p w14:paraId="108F2D24">
      <w:pPr>
        <w:adjustRightInd w:val="0"/>
        <w:snapToGrid w:val="0"/>
        <w:spacing w:line="360" w:lineRule="auto"/>
        <w:ind w:firstLine="562" w:firstLineChars="200"/>
        <w:rPr>
          <w:rFonts w:ascii="宋体" w:hAnsi="宋体" w:cs="宋体"/>
          <w:b/>
          <w:color w:val="auto"/>
          <w:sz w:val="28"/>
          <w:szCs w:val="28"/>
        </w:rPr>
      </w:pPr>
    </w:p>
    <w:bookmarkEnd w:id="82"/>
    <w:bookmarkEnd w:id="83"/>
    <w:bookmarkEnd w:id="84"/>
    <w:p w14:paraId="5CBB70CB">
      <w:pPr>
        <w:adjustRightInd w:val="0"/>
        <w:snapToGrid w:val="0"/>
        <w:spacing w:line="360" w:lineRule="auto"/>
        <w:outlineLvl w:val="0"/>
        <w:rPr>
          <w:rFonts w:ascii="宋体" w:hAnsi="宋体" w:cs="宋体"/>
          <w:color w:val="auto"/>
          <w:sz w:val="28"/>
          <w:szCs w:val="21"/>
        </w:rPr>
      </w:pPr>
    </w:p>
    <w:p w14:paraId="38B153AD">
      <w:pPr>
        <w:adjustRightInd w:val="0"/>
        <w:snapToGrid w:val="0"/>
        <w:spacing w:line="360" w:lineRule="auto"/>
        <w:jc w:val="center"/>
        <w:outlineLvl w:val="0"/>
        <w:rPr>
          <w:rFonts w:ascii="宋体" w:hAnsi="宋体" w:cs="宋体"/>
          <w:color w:val="auto"/>
          <w:sz w:val="28"/>
          <w:szCs w:val="21"/>
        </w:rPr>
      </w:pPr>
    </w:p>
    <w:p w14:paraId="2DEF664C">
      <w:pPr>
        <w:adjustRightInd w:val="0"/>
        <w:snapToGrid w:val="0"/>
        <w:spacing w:line="360" w:lineRule="auto"/>
        <w:jc w:val="center"/>
        <w:outlineLvl w:val="0"/>
        <w:rPr>
          <w:rFonts w:ascii="宋体" w:hAnsi="宋体" w:cs="宋体"/>
          <w:bCs/>
          <w:color w:val="auto"/>
          <w:sz w:val="36"/>
          <w:szCs w:val="36"/>
        </w:rPr>
      </w:pPr>
    </w:p>
    <w:p w14:paraId="680E21D0">
      <w:pPr>
        <w:rPr>
          <w:rFonts w:hint="eastAsia" w:ascii="宋体" w:hAnsi="宋体" w:cs="宋体"/>
          <w:bCs/>
          <w:color w:val="auto"/>
          <w:sz w:val="36"/>
          <w:szCs w:val="36"/>
        </w:rPr>
      </w:pPr>
      <w:r>
        <w:rPr>
          <w:rFonts w:hint="eastAsia" w:ascii="宋体" w:hAnsi="宋体" w:cs="宋体"/>
          <w:bCs/>
          <w:color w:val="auto"/>
          <w:sz w:val="36"/>
          <w:szCs w:val="36"/>
        </w:rPr>
        <w:br w:type="page"/>
      </w:r>
    </w:p>
    <w:p w14:paraId="1C47AA31">
      <w:pPr>
        <w:adjustRightInd w:val="0"/>
        <w:snapToGrid w:val="0"/>
        <w:spacing w:line="360" w:lineRule="auto"/>
        <w:jc w:val="center"/>
        <w:outlineLvl w:val="0"/>
        <w:rPr>
          <w:rFonts w:ascii="宋体" w:hAnsi="宋体" w:cs="宋体"/>
          <w:color w:val="auto"/>
          <w:sz w:val="28"/>
          <w:szCs w:val="28"/>
        </w:rPr>
      </w:pPr>
      <w:r>
        <w:rPr>
          <w:rFonts w:hint="eastAsia" w:ascii="宋体" w:hAnsi="宋体" w:cs="宋体"/>
          <w:bCs/>
          <w:color w:val="auto"/>
          <w:sz w:val="36"/>
          <w:szCs w:val="36"/>
        </w:rPr>
        <w:t>第三部分 项目需求</w:t>
      </w:r>
    </w:p>
    <w:p w14:paraId="54AEB41C">
      <w:pPr>
        <w:tabs>
          <w:tab w:val="left" w:pos="420"/>
        </w:tabs>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0773F7E">
      <w:pPr>
        <w:pStyle w:val="122"/>
        <w:numPr>
          <w:ilvl w:val="0"/>
          <w:numId w:val="0"/>
        </w:numPr>
        <w:ind w:firstLine="548" w:firstLineChars="196"/>
        <w:rPr>
          <w:rFonts w:hint="eastAsia" w:cs="仿宋"/>
          <w:b w:val="0"/>
          <w:color w:val="auto"/>
          <w:sz w:val="28"/>
          <w:szCs w:val="28"/>
        </w:rPr>
      </w:pPr>
      <w:r>
        <w:rPr>
          <w:rFonts w:hint="eastAsia" w:ascii="宋体" w:hAnsi="宋体" w:eastAsia="宋体" w:cs="仿宋"/>
          <w:b w:val="0"/>
          <w:color w:val="auto"/>
          <w:kern w:val="2"/>
          <w:sz w:val="28"/>
          <w:szCs w:val="28"/>
          <w:lang w:val="en-US" w:eastAsia="zh-CN" w:bidi="ar-SA"/>
        </w:rPr>
        <w:t>一、</w:t>
      </w:r>
      <w:r>
        <w:rPr>
          <w:rFonts w:hint="eastAsia" w:cs="仿宋"/>
          <w:b w:val="0"/>
          <w:color w:val="auto"/>
          <w:sz w:val="28"/>
          <w:szCs w:val="28"/>
        </w:rPr>
        <w:t>项目</w:t>
      </w:r>
      <w:r>
        <w:rPr>
          <w:rFonts w:hint="eastAsia" w:cs="仿宋"/>
          <w:b w:val="0"/>
          <w:color w:val="auto"/>
          <w:sz w:val="28"/>
          <w:szCs w:val="28"/>
          <w:lang w:val="en-US" w:eastAsia="zh-CN"/>
        </w:rPr>
        <w:t>采购</w:t>
      </w:r>
      <w:r>
        <w:rPr>
          <w:rFonts w:hint="eastAsia" w:cs="仿宋"/>
          <w:b w:val="0"/>
          <w:color w:val="auto"/>
          <w:sz w:val="28"/>
          <w:szCs w:val="28"/>
        </w:rPr>
        <w:t>清单</w:t>
      </w:r>
    </w:p>
    <w:p w14:paraId="348BFE15">
      <w:pPr>
        <w:pStyle w:val="122"/>
        <w:numPr>
          <w:ilvl w:val="0"/>
          <w:numId w:val="0"/>
        </w:numPr>
        <w:ind w:firstLine="548" w:firstLineChars="196"/>
        <w:rPr>
          <w:rFonts w:hint="eastAsia" w:cs="仿宋"/>
          <w:b w:val="0"/>
          <w:color w:val="auto"/>
          <w:sz w:val="28"/>
          <w:szCs w:val="28"/>
        </w:rPr>
      </w:pPr>
      <w:r>
        <w:rPr>
          <w:rFonts w:hint="default" w:ascii="Calibri" w:hAnsi="Calibri" w:cs="Calibri"/>
          <w:b w:val="0"/>
          <w:color w:val="auto"/>
          <w:sz w:val="28"/>
          <w:szCs w:val="28"/>
        </w:rPr>
        <w:t>①</w:t>
      </w:r>
      <w:r>
        <w:rPr>
          <w:rFonts w:hint="eastAsia" w:cs="仿宋"/>
          <w:b w:val="0"/>
          <w:color w:val="auto"/>
          <w:sz w:val="28"/>
          <w:szCs w:val="28"/>
        </w:rPr>
        <w:t>分子实验中心设备</w:t>
      </w:r>
    </w:p>
    <w:tbl>
      <w:tblPr>
        <w:tblStyle w:val="31"/>
        <w:tblW w:w="82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6"/>
        <w:gridCol w:w="3381"/>
        <w:gridCol w:w="1026"/>
        <w:gridCol w:w="2784"/>
      </w:tblGrid>
      <w:tr w14:paraId="7915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7F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序号</w:t>
            </w:r>
          </w:p>
        </w:tc>
        <w:tc>
          <w:tcPr>
            <w:tcW w:w="3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D01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设备名称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88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数量</w:t>
            </w:r>
          </w:p>
        </w:tc>
        <w:tc>
          <w:tcPr>
            <w:tcW w:w="2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E7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单位</w:t>
            </w:r>
          </w:p>
        </w:tc>
      </w:tr>
      <w:tr w14:paraId="4BB5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EE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79E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default" w:ascii="Times New Roman Regular" w:hAnsi="Times New Roman Regular" w:eastAsia="宋体" w:cs="Times New Roman Regular"/>
                <w:color w:val="auto"/>
              </w:rPr>
              <w:t>实时荧光定量PCR仪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E9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3F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r>
      <w:tr w14:paraId="5A32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12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1D9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Times New Roman Regular" w:hAnsi="Times New Roman Regular" w:eastAsia="宋体" w:cs="Times New Roman Regular"/>
                <w:b w:val="0"/>
                <w:bCs w:val="0"/>
                <w:color w:val="auto"/>
                <w:szCs w:val="21"/>
                <w:vertAlign w:val="baseline"/>
                <w:lang w:val="en-US" w:eastAsia="zh-CN"/>
              </w:rPr>
              <w:t>超</w:t>
            </w:r>
            <w:r>
              <w:rPr>
                <w:rFonts w:hint="default" w:ascii="Times New Roman Regular" w:hAnsi="Times New Roman Regular" w:eastAsia="宋体" w:cs="Times New Roman Regular"/>
                <w:color w:val="auto"/>
                <w:lang w:val="en-US" w:eastAsia="zh-CN"/>
              </w:rPr>
              <w:t>微量分光光度计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74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0B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r>
      <w:tr w14:paraId="2D11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DB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A41E">
            <w:pPr>
              <w:jc w:val="both"/>
              <w:rPr>
                <w:rFonts w:hint="eastAsia" w:ascii="宋体" w:hAnsi="宋体" w:eastAsia="宋体" w:cs="宋体"/>
                <w:i w:val="0"/>
                <w:iCs w:val="0"/>
                <w:color w:val="auto"/>
                <w:sz w:val="22"/>
                <w:szCs w:val="22"/>
                <w:u w:val="none"/>
              </w:rPr>
            </w:pPr>
            <w:r>
              <w:rPr>
                <w:rFonts w:hint="default" w:ascii="Times New Roman Regular" w:hAnsi="Times New Roman Regular" w:eastAsia="宋体" w:cs="Times New Roman Regular"/>
                <w:color w:val="auto"/>
                <w:lang w:val="en-US" w:eastAsia="zh-CN"/>
              </w:rPr>
              <w:t>加热振荡恒温金属浴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C0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17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r>
      <w:tr w14:paraId="328C4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45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656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default" w:ascii="Times New Roman Regular" w:hAnsi="Times New Roman Regular" w:eastAsia="宋体" w:cs="Times New Roman Regular"/>
                <w:b w:val="0"/>
                <w:bCs w:val="0"/>
                <w:color w:val="auto"/>
                <w:szCs w:val="21"/>
                <w:vertAlign w:val="baseline"/>
                <w:lang w:val="en-US" w:eastAsia="zh-CN"/>
              </w:rPr>
              <w:t>研磨仪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17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C6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r>
      <w:tr w14:paraId="73D5B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F8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F90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default" w:ascii="Times New Roman Regular" w:hAnsi="Times New Roman Regular" w:eastAsia="宋体" w:cs="Times New Roman Regular"/>
                <w:b w:val="0"/>
                <w:bCs w:val="0"/>
                <w:color w:val="auto"/>
                <w:szCs w:val="21"/>
                <w:vertAlign w:val="baseline"/>
                <w:lang w:val="en-US" w:eastAsia="zh-CN"/>
              </w:rPr>
              <w:t>摇床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56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5A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r>
      <w:tr w14:paraId="2C5F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7C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31B3">
            <w:pPr>
              <w:jc w:val="both"/>
              <w:rPr>
                <w:rFonts w:hint="eastAsia" w:ascii="宋体" w:hAnsi="宋体" w:eastAsia="宋体" w:cs="宋体"/>
                <w:i w:val="0"/>
                <w:iCs w:val="0"/>
                <w:color w:val="auto"/>
                <w:sz w:val="22"/>
                <w:szCs w:val="22"/>
                <w:u w:val="none"/>
              </w:rPr>
            </w:pPr>
            <w:r>
              <w:rPr>
                <w:rFonts w:hint="default" w:ascii="Times New Roman Regular" w:hAnsi="Times New Roman Regular" w:eastAsia="宋体" w:cs="Times New Roman Regular"/>
                <w:b w:val="0"/>
                <w:bCs w:val="0"/>
                <w:color w:val="auto"/>
                <w:szCs w:val="21"/>
                <w:vertAlign w:val="baseline"/>
              </w:rPr>
              <w:t>水平电泳槽电泳仪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C0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82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r>
      <w:tr w14:paraId="3525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4F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6DC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动物房专用空调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16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65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r>
    </w:tbl>
    <w:p w14:paraId="592CA232">
      <w:pPr>
        <w:ind w:firstLine="560" w:firstLineChars="200"/>
        <w:rPr>
          <w:rFonts w:hint="eastAsia" w:ascii="宋体" w:hAnsi="宋体"/>
          <w:bCs/>
          <w:color w:val="auto"/>
          <w:sz w:val="28"/>
          <w:szCs w:val="32"/>
        </w:rPr>
      </w:pPr>
      <w:r>
        <w:rPr>
          <w:rFonts w:hint="default" w:ascii="Calibri" w:hAnsi="Calibri" w:cs="Calibri"/>
          <w:bCs/>
          <w:color w:val="auto"/>
          <w:sz w:val="28"/>
          <w:szCs w:val="32"/>
        </w:rPr>
        <w:t>②分子实验中心实验耗材办公用品</w:t>
      </w:r>
    </w:p>
    <w:tbl>
      <w:tblPr>
        <w:tblStyle w:val="31"/>
        <w:tblW w:w="81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5233"/>
        <w:gridCol w:w="1046"/>
        <w:gridCol w:w="1046"/>
      </w:tblGrid>
      <w:tr w14:paraId="3278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98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序号</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C0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设备名称</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F7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数量</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0E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单位</w:t>
            </w:r>
          </w:p>
        </w:tc>
      </w:tr>
      <w:tr w14:paraId="7F9C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FF5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89F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动物笼架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EDA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AE1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0192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9AC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835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鼠笼、水壶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6D0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51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0B40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F90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19E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制胶总架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244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554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0DDA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D18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CB4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制胶玻璃板（1mm）</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372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3A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4D25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3AD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9E8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制胶玻璃板（1.5mm）</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5E4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D5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5D2F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49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284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WB转膜用夹板</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E5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886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39AE4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62F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7</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DEF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转膜滤纸</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DE4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AB7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1CD2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354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8</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2B4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制胶梳子（1mm，10孔）</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D08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2FC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71729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57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9</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10B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制胶梳子（1mm，15孔）</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B04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F57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06530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B74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F72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制胶梳子（1.5mm，10孔）</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005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69B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295EB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F2B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11</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333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制胶梳子（1.5mm，15孔）</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5E2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214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1032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E0B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12</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C0C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1L量筒</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51C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A3E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0C0F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B35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13</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6FE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500ml量筒</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60B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AB4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20666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706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14</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70D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100ml量筒</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850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82F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69DC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BC7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15</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F3D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2L玻璃瓶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F0C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27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61F2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B88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16</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430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1L玻璃瓶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509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64F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6ED6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935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17</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3F2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500ml玻璃瓶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931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06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0F97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04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18</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879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100ml玻璃瓶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EFE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B0F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18B0C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B8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19</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B62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2L烧杯</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922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F32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5380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920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20</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C47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1L烧杯</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0CD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599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5BC7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41C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21</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3B2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500mL烧杯</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32C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046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20DE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20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22</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229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100mL烧杯</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E4B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43D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70622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D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23</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4FA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50mL烧杯</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24A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F11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77F0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D3B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24</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05D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15ml离心管试管架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0D4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D9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6EAB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7D9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25</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26A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50ml离心管试管架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518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1E6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2373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0F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26</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94B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1.5mlEP管架（24孔）</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D2C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771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6BD20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2A3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27</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D11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储物柜子</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E8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EDB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7640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36D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28</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B25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鞋柜</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D07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B4C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3150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E3C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29</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11E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工作服挂钩</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672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33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r>
      <w:tr w14:paraId="3A86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CFD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30</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43D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RAPA</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B79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CAA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r>
      <w:tr w14:paraId="72ECD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FD1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31</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27D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蛋白酶+磷酸酶抑制剂</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AF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51D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支</w:t>
            </w:r>
          </w:p>
        </w:tc>
      </w:tr>
      <w:tr w14:paraId="229E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3CD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32</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B4E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BCA试剂盒</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5B2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F5B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r>
      <w:tr w14:paraId="450B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F00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33</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B5F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5*loading buffer</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2F2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ADE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袋</w:t>
            </w:r>
          </w:p>
        </w:tc>
      </w:tr>
      <w:tr w14:paraId="5649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96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34</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C83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蛋白 Marker</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D78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3FD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袋</w:t>
            </w:r>
          </w:p>
        </w:tc>
      </w:tr>
      <w:tr w14:paraId="1C98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E45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35</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8F8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PVDF膜</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9C4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98D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r>
      <w:tr w14:paraId="7A3D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D9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36</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F44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电泳液</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264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95F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r>
      <w:tr w14:paraId="6B99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1C2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37</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6FD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转膜液</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F8A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C15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r>
      <w:tr w14:paraId="4ED0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374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38</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201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脱脂奶粉</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CE4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5C7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r>
      <w:tr w14:paraId="14A8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7B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39</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0E4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TBST</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FB1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239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r>
      <w:tr w14:paraId="7A1F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0B5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40</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8DC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二抗（驴抗兔）</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ED7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8C5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支</w:t>
            </w:r>
          </w:p>
        </w:tc>
      </w:tr>
      <w:tr w14:paraId="43FF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A5E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41</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BB4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二抗（驴抗鼠）</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89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994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支</w:t>
            </w:r>
          </w:p>
        </w:tc>
      </w:tr>
      <w:tr w14:paraId="7B60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16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42</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82D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96孔板</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EF8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054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r>
      <w:tr w14:paraId="1183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D8C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43</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54B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1.5mlEP管</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0B3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54B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袋</w:t>
            </w:r>
          </w:p>
        </w:tc>
      </w:tr>
      <w:tr w14:paraId="0C42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C0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44</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E5A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15ml离心管</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D3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AA8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r>
      <w:tr w14:paraId="4A12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0F1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45</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687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50ml离心管</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846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976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r>
      <w:tr w14:paraId="64FC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A36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46</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752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10%胶（雅酶）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B2A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AE5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r>
      <w:tr w14:paraId="0218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FD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47</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9A3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上样枪头</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391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69B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r>
      <w:tr w14:paraId="0456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1D3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48</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2D7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称量纸</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38C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3EE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r>
      <w:tr w14:paraId="7F95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26F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49</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020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1.5mlEP管（无酶）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C4F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6E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袋</w:t>
            </w:r>
          </w:p>
        </w:tc>
      </w:tr>
      <w:tr w14:paraId="129C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D4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50</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B43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qPCR   96孔板</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BFE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4F9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r>
      <w:tr w14:paraId="77579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8CA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51</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424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封板膜</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D52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62B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袋</w:t>
            </w:r>
          </w:p>
        </w:tc>
      </w:tr>
      <w:tr w14:paraId="47E1E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399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52</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1E7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96孔板离心机</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D02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1B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台</w:t>
            </w:r>
          </w:p>
        </w:tc>
      </w:tr>
      <w:tr w14:paraId="6079F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6D6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53</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B82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Trizol</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2B9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ED7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r>
      <w:tr w14:paraId="74D66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F82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54</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EC2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异丙醇</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9FE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DD8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r>
      <w:tr w14:paraId="5D1A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87F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55</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A47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DEPC水</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E0C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81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r>
      <w:tr w14:paraId="2BC0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115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56</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AE8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8联排管（无酶）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65B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DE7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r>
      <w:tr w14:paraId="6509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81D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57</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870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逆转录试剂</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BBD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2E6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袋</w:t>
            </w:r>
          </w:p>
        </w:tc>
      </w:tr>
      <w:tr w14:paraId="45C30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D01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58</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AAB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SYB Green</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DFF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42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袋</w:t>
            </w:r>
          </w:p>
        </w:tc>
      </w:tr>
      <w:tr w14:paraId="025D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B58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59</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53B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1ml枪头（无酶）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45F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66D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r>
      <w:tr w14:paraId="1DCB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254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60</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797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200ul枪头（无酶）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04A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D95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r>
      <w:tr w14:paraId="1FFAF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0F0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61</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B17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10ul枪头（无酶）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2FB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1E5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r>
      <w:tr w14:paraId="663A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068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62</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C46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小圆玻片（8mm）</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D39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532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r>
      <w:tr w14:paraId="74807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543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63</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8F1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玻底小皿</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3F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78C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r>
      <w:tr w14:paraId="7163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227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64</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DB3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4%PFA</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327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33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r>
      <w:tr w14:paraId="6968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D38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65</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17B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PBST</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DC2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38F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r>
      <w:tr w14:paraId="48F9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43D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66</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AFB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BSA</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B5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7A3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r>
      <w:tr w14:paraId="56A9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1C2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67</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7AB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DAPI</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DD3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28A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支</w:t>
            </w:r>
          </w:p>
        </w:tc>
      </w:tr>
      <w:tr w14:paraId="6654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F17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68</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DCC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封片剂</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67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F62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支</w:t>
            </w:r>
          </w:p>
        </w:tc>
      </w:tr>
      <w:tr w14:paraId="3229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331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69</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31C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载玻片</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263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200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r>
      <w:tr w14:paraId="4964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075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70</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3EF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荧光二抗（驴抗鼠488）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6DC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AC1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支</w:t>
            </w:r>
          </w:p>
        </w:tc>
      </w:tr>
      <w:tr w14:paraId="46C5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89C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71</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E56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荧光二抗（驴抗兔555）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12D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3C6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支</w:t>
            </w:r>
          </w:p>
        </w:tc>
      </w:tr>
    </w:tbl>
    <w:p w14:paraId="48F15BC8">
      <w:pPr>
        <w:rPr>
          <w:rFonts w:hint="eastAsia" w:ascii="宋体" w:hAnsi="宋体"/>
          <w:bCs/>
          <w:color w:val="auto"/>
          <w:sz w:val="28"/>
          <w:szCs w:val="32"/>
        </w:rPr>
      </w:pPr>
    </w:p>
    <w:p w14:paraId="5E5F15CE">
      <w:pPr>
        <w:numPr>
          <w:ilvl w:val="0"/>
          <w:numId w:val="0"/>
        </w:numPr>
        <w:rPr>
          <w:rFonts w:hint="eastAsia" w:ascii="宋体" w:hAnsi="宋体"/>
          <w:bCs/>
          <w:color w:val="auto"/>
          <w:sz w:val="28"/>
          <w:szCs w:val="32"/>
          <w:lang w:val="en-US" w:eastAsia="zh-CN"/>
        </w:rPr>
      </w:pPr>
      <w:r>
        <w:rPr>
          <w:rFonts w:hint="eastAsia" w:ascii="宋体" w:hAnsi="宋体" w:eastAsia="宋体" w:cs="Times New Roman"/>
          <w:bCs/>
          <w:color w:val="auto"/>
          <w:kern w:val="2"/>
          <w:sz w:val="28"/>
          <w:szCs w:val="32"/>
          <w:lang w:val="en-US" w:eastAsia="zh-CN" w:bidi="ar-SA"/>
        </w:rPr>
        <w:t>二、</w:t>
      </w:r>
      <w:r>
        <w:rPr>
          <w:rFonts w:hint="eastAsia" w:ascii="宋体" w:hAnsi="宋体"/>
          <w:bCs/>
          <w:color w:val="auto"/>
          <w:sz w:val="28"/>
          <w:szCs w:val="32"/>
          <w:lang w:val="en-US" w:eastAsia="zh-CN"/>
        </w:rPr>
        <w:t>技术参数要求</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588"/>
        <w:gridCol w:w="929"/>
        <w:gridCol w:w="4934"/>
      </w:tblGrid>
      <w:tr w14:paraId="6B7C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7" w:type="dxa"/>
            <w:vAlign w:val="center"/>
          </w:tcPr>
          <w:p w14:paraId="5EC4E1DD">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序号</w:t>
            </w:r>
          </w:p>
        </w:tc>
        <w:tc>
          <w:tcPr>
            <w:tcW w:w="1588" w:type="dxa"/>
            <w:vAlign w:val="center"/>
          </w:tcPr>
          <w:p w14:paraId="2755B604">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设备名称</w:t>
            </w:r>
          </w:p>
        </w:tc>
        <w:tc>
          <w:tcPr>
            <w:tcW w:w="929" w:type="dxa"/>
            <w:vAlign w:val="center"/>
          </w:tcPr>
          <w:p w14:paraId="782CA8A8">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数量</w:t>
            </w:r>
          </w:p>
        </w:tc>
        <w:tc>
          <w:tcPr>
            <w:tcW w:w="4934" w:type="dxa"/>
            <w:vAlign w:val="center"/>
          </w:tcPr>
          <w:p w14:paraId="27291E37">
            <w:pPr>
              <w:jc w:val="center"/>
              <w:rPr>
                <w:rFonts w:hint="default" w:ascii="Times New Roman Regular" w:hAnsi="Times New Roman Regular" w:eastAsia="宋体" w:cs="Times New Roman Regular"/>
                <w:b/>
                <w:bCs/>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技术参数</w:t>
            </w:r>
          </w:p>
        </w:tc>
      </w:tr>
      <w:tr w14:paraId="6544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807" w:type="dxa"/>
            <w:vAlign w:val="center"/>
          </w:tcPr>
          <w:p w14:paraId="2ADA450F">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1</w:t>
            </w:r>
          </w:p>
        </w:tc>
        <w:tc>
          <w:tcPr>
            <w:tcW w:w="1588" w:type="dxa"/>
            <w:vAlign w:val="center"/>
          </w:tcPr>
          <w:p w14:paraId="00625D31">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color w:val="auto"/>
              </w:rPr>
              <w:t>实时荧光定量PCR仪</w:t>
            </w:r>
          </w:p>
        </w:tc>
        <w:tc>
          <w:tcPr>
            <w:tcW w:w="929" w:type="dxa"/>
            <w:vAlign w:val="center"/>
          </w:tcPr>
          <w:p w14:paraId="67A2FC7B">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1台</w:t>
            </w:r>
          </w:p>
        </w:tc>
        <w:tc>
          <w:tcPr>
            <w:tcW w:w="4934" w:type="dxa"/>
            <w:vAlign w:val="center"/>
          </w:tcPr>
          <w:p w14:paraId="5E7827A8">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1</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val="0"/>
                <w:bCs w:val="0"/>
                <w:color w:val="auto"/>
                <w:sz w:val="21"/>
                <w:szCs w:val="21"/>
                <w:highlight w:val="none"/>
              </w:rPr>
              <w:t>电源：200-220V/230-240V±10%，50/60Hz。</w:t>
            </w:r>
          </w:p>
          <w:p w14:paraId="16BB54FE">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2</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val="0"/>
                <w:bCs w:val="0"/>
                <w:color w:val="auto"/>
                <w:sz w:val="21"/>
                <w:szCs w:val="21"/>
                <w:highlight w:val="none"/>
              </w:rPr>
              <w:t>环境温度：15-35°C。</w:t>
            </w:r>
          </w:p>
          <w:p w14:paraId="47E7EE26">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3</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val="0"/>
                <w:bCs w:val="0"/>
                <w:color w:val="auto"/>
                <w:sz w:val="21"/>
                <w:szCs w:val="21"/>
                <w:highlight w:val="none"/>
              </w:rPr>
              <w:t>湿度：30-80%。</w:t>
            </w:r>
          </w:p>
          <w:p w14:paraId="4D4A206D">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4</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val="0"/>
                <w:bCs w:val="0"/>
                <w:color w:val="auto"/>
                <w:sz w:val="21"/>
                <w:szCs w:val="21"/>
                <w:highlight w:val="none"/>
              </w:rPr>
              <w:t>热循环系统:珀耳帖效应系统。</w:t>
            </w:r>
          </w:p>
          <w:p w14:paraId="7863BE1A">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5</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val="0"/>
                <w:bCs w:val="0"/>
                <w:color w:val="auto"/>
                <w:sz w:val="21"/>
                <w:szCs w:val="21"/>
                <w:highlight w:val="none"/>
              </w:rPr>
              <w:t>通道数：4通道</w:t>
            </w:r>
          </w:p>
          <w:p w14:paraId="08915EDE">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bCs/>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6</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bCs/>
                <w:color w:val="auto"/>
                <w:sz w:val="21"/>
                <w:szCs w:val="21"/>
                <w:highlight w:val="none"/>
              </w:rPr>
              <w:t>△模块规格：标准0.2ml 96 孔模块</w:t>
            </w:r>
          </w:p>
          <w:p w14:paraId="574930CF">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7</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val="0"/>
                <w:bCs w:val="0"/>
                <w:color w:val="auto"/>
                <w:sz w:val="21"/>
                <w:szCs w:val="21"/>
                <w:highlight w:val="none"/>
              </w:rPr>
              <w:t>反应体积： 10-100μL（标准96 孔）。</w:t>
            </w:r>
          </w:p>
          <w:p w14:paraId="2057A28F">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8</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val="0"/>
                <w:bCs w:val="0"/>
                <w:color w:val="auto"/>
                <w:sz w:val="21"/>
                <w:szCs w:val="21"/>
                <w:highlight w:val="none"/>
              </w:rPr>
              <w:t>温控模块：固定等温模块。最高升温速率：3.5°C/秒。</w:t>
            </w:r>
          </w:p>
          <w:p w14:paraId="41549872">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9</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bCs/>
                <w:color w:val="auto"/>
                <w:sz w:val="21"/>
                <w:szCs w:val="21"/>
                <w:highlight w:val="none"/>
              </w:rPr>
              <w:t>△光学系统：高亮度白光LED光源(工作寿命&gt;5年)，COMS检测器</w:t>
            </w:r>
            <w:r>
              <w:rPr>
                <w:rFonts w:hint="default" w:ascii="Times New Roman Regular" w:hAnsi="Times New Roman Regular" w:eastAsia="宋体" w:cs="Times New Roman Regular"/>
                <w:b w:val="0"/>
                <w:bCs w:val="0"/>
                <w:color w:val="auto"/>
                <w:sz w:val="21"/>
                <w:szCs w:val="21"/>
                <w:highlight w:val="none"/>
              </w:rPr>
              <w:t>；</w:t>
            </w:r>
          </w:p>
          <w:p w14:paraId="4BEFA1C3">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10</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bCs/>
                <w:color w:val="auto"/>
                <w:sz w:val="21"/>
                <w:szCs w:val="21"/>
                <w:highlight w:val="none"/>
              </w:rPr>
              <w:t>☆温控范围：4°C–99.9°C</w:t>
            </w:r>
            <w:r>
              <w:rPr>
                <w:rFonts w:hint="default" w:ascii="Times New Roman Regular" w:hAnsi="Times New Roman Regular" w:eastAsia="宋体" w:cs="Times New Roman Regular"/>
                <w:b w:val="0"/>
                <w:bCs w:val="0"/>
                <w:color w:val="auto"/>
                <w:sz w:val="21"/>
                <w:szCs w:val="21"/>
                <w:highlight w:val="none"/>
              </w:rPr>
              <w:t>。</w:t>
            </w:r>
          </w:p>
          <w:p w14:paraId="71493793">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11</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val="0"/>
                <w:bCs w:val="0"/>
                <w:color w:val="auto"/>
                <w:sz w:val="21"/>
                <w:szCs w:val="21"/>
                <w:highlight w:val="none"/>
              </w:rPr>
              <w:t>温度一致性： ≤±0.40°C，温度范围 35°C 至 95°C。</w:t>
            </w:r>
          </w:p>
          <w:p w14:paraId="034AF354">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12</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val="0"/>
                <w:bCs w:val="0"/>
                <w:color w:val="auto"/>
                <w:sz w:val="21"/>
                <w:szCs w:val="21"/>
                <w:highlight w:val="none"/>
              </w:rPr>
              <w:t>运行时间：40分钟内完成40个QPCR循环反应。</w:t>
            </w:r>
          </w:p>
          <w:p w14:paraId="77FCB757">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13</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val="0"/>
                <w:bCs w:val="0"/>
                <w:color w:val="auto"/>
                <w:sz w:val="21"/>
                <w:szCs w:val="21"/>
                <w:highlight w:val="none"/>
              </w:rPr>
              <w:t>高分辨熔解曲线： 支持</w:t>
            </w:r>
          </w:p>
          <w:p w14:paraId="613DABCA">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Times New Roman Regular" w:hAnsi="Times New Roman Regular" w:eastAsia="宋体" w:cs="Times New Roman Regular"/>
                <w:b w:val="0"/>
                <w:bCs w:val="0"/>
                <w:color w:val="auto"/>
                <w:sz w:val="21"/>
                <w:szCs w:val="21"/>
                <w:highlight w:val="none"/>
                <w:lang w:eastAsia="zh-CN"/>
              </w:rPr>
            </w:pPr>
            <w:r>
              <w:rPr>
                <w:rFonts w:hint="default" w:ascii="Times New Roman Regular" w:hAnsi="Times New Roman Regular" w:eastAsia="宋体" w:cs="Times New Roman Regular"/>
                <w:b w:val="0"/>
                <w:bCs w:val="0"/>
                <w:color w:val="auto"/>
                <w:sz w:val="21"/>
                <w:szCs w:val="21"/>
                <w:highlight w:val="none"/>
              </w:rPr>
              <w:t>14</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val="0"/>
                <w:bCs w:val="0"/>
                <w:color w:val="auto"/>
                <w:sz w:val="21"/>
                <w:szCs w:val="21"/>
                <w:highlight w:val="none"/>
              </w:rPr>
              <w:t>安装时已校准染料</w:t>
            </w:r>
            <w:r>
              <w:rPr>
                <w:rFonts w:hint="eastAsia" w:ascii="Times New Roman Regular" w:hAnsi="Times New Roman Regular" w:eastAsia="宋体" w:cs="Times New Roman Regular"/>
                <w:b w:val="0"/>
                <w:bCs w:val="0"/>
                <w:color w:val="auto"/>
                <w:sz w:val="21"/>
                <w:szCs w:val="21"/>
                <w:highlight w:val="none"/>
                <w:lang w:val="en-US" w:eastAsia="zh-CN"/>
              </w:rPr>
              <w:t>并</w:t>
            </w:r>
            <w:r>
              <w:rPr>
                <w:rFonts w:hint="default" w:ascii="Times New Roman Regular" w:hAnsi="Times New Roman Regular" w:eastAsia="宋体" w:cs="Times New Roman Regular"/>
                <w:b w:val="0"/>
                <w:bCs w:val="0"/>
                <w:color w:val="auto"/>
                <w:sz w:val="21"/>
                <w:szCs w:val="21"/>
                <w:highlight w:val="none"/>
              </w:rPr>
              <w:t>及可支持 FAM™, SYBR®, SYTO®9 (MeltDoctor™)</w:t>
            </w:r>
            <w:r>
              <w:rPr>
                <w:rFonts w:hint="eastAsia" w:ascii="Times New Roman Regular" w:hAnsi="Times New Roman Regular" w:eastAsia="宋体" w:cs="Times New Roman Regular"/>
                <w:b w:val="0"/>
                <w:bCs w:val="0"/>
                <w:color w:val="auto"/>
                <w:sz w:val="21"/>
                <w:szCs w:val="21"/>
                <w:highlight w:val="none"/>
                <w:lang w:val="en-US" w:eastAsia="zh-CN"/>
              </w:rPr>
              <w:t>等</w:t>
            </w:r>
            <w:r>
              <w:rPr>
                <w:rFonts w:hint="default" w:ascii="Times New Roman Regular" w:hAnsi="Times New Roman Regular" w:eastAsia="宋体" w:cs="Times New Roman Regular"/>
                <w:b w:val="0"/>
                <w:bCs w:val="0"/>
                <w:color w:val="auto"/>
                <w:sz w:val="21"/>
                <w:szCs w:val="21"/>
                <w:highlight w:val="none"/>
              </w:rPr>
              <w:t>染料</w:t>
            </w:r>
            <w:r>
              <w:rPr>
                <w:rFonts w:hint="eastAsia" w:ascii="Times New Roman Regular" w:hAnsi="Times New Roman Regular" w:eastAsia="宋体" w:cs="Times New Roman Regular"/>
                <w:b w:val="0"/>
                <w:bCs w:val="0"/>
                <w:color w:val="auto"/>
                <w:sz w:val="21"/>
                <w:szCs w:val="21"/>
                <w:highlight w:val="none"/>
                <w:lang w:val="en-US" w:eastAsia="zh-CN"/>
              </w:rPr>
              <w:t>检测</w:t>
            </w:r>
            <w:r>
              <w:rPr>
                <w:rFonts w:hint="eastAsia" w:ascii="Times New Roman Regular" w:hAnsi="Times New Roman Regular" w:eastAsia="宋体" w:cs="Times New Roman Regular"/>
                <w:b w:val="0"/>
                <w:bCs w:val="0"/>
                <w:color w:val="auto"/>
                <w:sz w:val="21"/>
                <w:szCs w:val="21"/>
                <w:highlight w:val="none"/>
                <w:lang w:eastAsia="zh-CN"/>
              </w:rPr>
              <w:t>。</w:t>
            </w:r>
          </w:p>
          <w:p w14:paraId="19E304DE">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15</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bCs/>
                <w:color w:val="auto"/>
                <w:sz w:val="21"/>
                <w:szCs w:val="21"/>
                <w:highlight w:val="none"/>
              </w:rPr>
              <w:t>△被动参照染料：软件支持Rox 荧光校正去除移液误差</w:t>
            </w:r>
            <w:r>
              <w:rPr>
                <w:rFonts w:hint="default" w:ascii="Times New Roman Regular" w:hAnsi="Times New Roman Regular" w:eastAsia="宋体" w:cs="Times New Roman Regular"/>
                <w:b w:val="0"/>
                <w:bCs w:val="0"/>
                <w:color w:val="auto"/>
                <w:sz w:val="21"/>
                <w:szCs w:val="21"/>
                <w:highlight w:val="none"/>
              </w:rPr>
              <w:t>。</w:t>
            </w:r>
          </w:p>
          <w:p w14:paraId="5CD67CC7">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16</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bCs/>
                <w:color w:val="auto"/>
                <w:sz w:val="21"/>
                <w:szCs w:val="21"/>
                <w:highlight w:val="none"/>
              </w:rPr>
              <w:t>☆数据同时采集：所有反应孔同时采集荧光数据，不同孔之间不存在时间差</w:t>
            </w:r>
          </w:p>
          <w:p w14:paraId="62C4DAE2">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17</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bCs/>
                <w:color w:val="auto"/>
                <w:sz w:val="21"/>
                <w:szCs w:val="21"/>
                <w:highlight w:val="none"/>
              </w:rPr>
              <w:t>△内置触摸屏电脑： LCD/ Full VGA (640x480)/32K 色。触摸屏电脑可备份还原超过100 次的实验数据；提供一键式的实验方案，可快速地设置多种应用。单机运行模式：可连接或不连接电脑，直接定义运行程序，并储存数据结果。触摸板并可查看实时荧光定量PCR实验。</w:t>
            </w:r>
          </w:p>
          <w:p w14:paraId="5EEEA521">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18</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val="0"/>
                <w:bCs w:val="0"/>
                <w:color w:val="auto"/>
                <w:sz w:val="21"/>
                <w:szCs w:val="21"/>
                <w:highlight w:val="none"/>
              </w:rPr>
              <w:t>动态范围：10 个对数的线性动态范围。</w:t>
            </w:r>
          </w:p>
          <w:p w14:paraId="0E942298">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19</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val="0"/>
                <w:bCs w:val="0"/>
                <w:color w:val="auto"/>
                <w:sz w:val="21"/>
                <w:szCs w:val="21"/>
                <w:highlight w:val="none"/>
              </w:rPr>
              <w:t>检测灵敏度：单拷贝检测/反应体系。</w:t>
            </w:r>
          </w:p>
          <w:p w14:paraId="47414570">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20</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val="0"/>
                <w:bCs w:val="0"/>
                <w:color w:val="auto"/>
                <w:sz w:val="21"/>
                <w:szCs w:val="21"/>
                <w:highlight w:val="none"/>
              </w:rPr>
              <w:t>△精密度：最低可分辨1.5 倍拷贝数差异， 置信度99.7%。</w:t>
            </w:r>
          </w:p>
          <w:p w14:paraId="002B4F91">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bCs/>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21</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bCs/>
                <w:color w:val="auto"/>
                <w:sz w:val="21"/>
                <w:szCs w:val="21"/>
                <w:highlight w:val="none"/>
              </w:rPr>
              <w:t>△支持云端服务器，可以用网络打开浏览器，使用云端服务器查看，分析，共享数据，云端服务器支持10GB的免费存储空间</w:t>
            </w:r>
          </w:p>
          <w:p w14:paraId="08837DAD">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22</w:t>
            </w:r>
            <w:r>
              <w:rPr>
                <w:rFonts w:hint="eastAsia" w:ascii="Times New Roman Regular" w:hAnsi="Times New Roman Regular" w:eastAsia="宋体" w:cs="Times New Roman Regular"/>
                <w:b w:val="0"/>
                <w:bCs w:val="0"/>
                <w:color w:val="auto"/>
                <w:sz w:val="21"/>
                <w:szCs w:val="21"/>
                <w:highlight w:val="none"/>
                <w:lang w:eastAsia="zh-CN"/>
              </w:rPr>
              <w:t>、</w:t>
            </w:r>
            <w:r>
              <w:rPr>
                <w:rFonts w:hint="default" w:ascii="Times New Roman Regular" w:hAnsi="Times New Roman Regular" w:eastAsia="宋体" w:cs="Times New Roman Regular"/>
                <w:b w:val="0"/>
                <w:bCs w:val="0"/>
                <w:color w:val="auto"/>
                <w:sz w:val="21"/>
                <w:szCs w:val="21"/>
                <w:highlight w:val="none"/>
              </w:rPr>
              <w:t>软件要求：软件支持应用：绝对定量、相对标准曲线、基于比较Ct 值的相对定量、融解曲线分析、阴阳性分析、基因分型、基因拷贝数（CNV）分析等；含有定量PCR 数据采集及分析软件，等位基因分析、阴阳性结果判定软件，探针及引物设计软件，中文软件。</w:t>
            </w:r>
          </w:p>
          <w:p w14:paraId="144862CE">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23、安装、调试：原生产厂家提供现场安装调试</w:t>
            </w:r>
          </w:p>
          <w:p w14:paraId="0FF02662">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培训：原生产厂家进行现场安装培训和使用培训，免费提供2人次的厂家培训</w:t>
            </w:r>
          </w:p>
          <w:p w14:paraId="3457430A">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技术资料：全套安装、操作和维护使用说明书，软件免费更新</w:t>
            </w:r>
          </w:p>
          <w:p w14:paraId="266EB33E">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rPr>
            </w:pPr>
            <w:r>
              <w:rPr>
                <w:rFonts w:hint="default" w:ascii="Times New Roman Regular" w:hAnsi="Times New Roman Regular" w:eastAsia="宋体" w:cs="Times New Roman Regular"/>
                <w:b w:val="0"/>
                <w:bCs w:val="0"/>
                <w:color w:val="auto"/>
                <w:sz w:val="21"/>
                <w:szCs w:val="21"/>
                <w:highlight w:val="none"/>
              </w:rPr>
              <w:t>保修期：自验收合格日起整机（包括配件）</w:t>
            </w:r>
            <w:r>
              <w:rPr>
                <w:rFonts w:hint="eastAsia" w:ascii="Times New Roman Regular" w:hAnsi="Times New Roman Regular" w:eastAsia="宋体" w:cs="Times New Roman Regular"/>
                <w:b w:val="0"/>
                <w:bCs w:val="0"/>
                <w:color w:val="auto"/>
                <w:sz w:val="21"/>
                <w:szCs w:val="21"/>
                <w:highlight w:val="none"/>
                <w:lang w:val="en-US" w:eastAsia="zh-CN"/>
              </w:rPr>
              <w:t>2</w:t>
            </w:r>
            <w:r>
              <w:rPr>
                <w:rFonts w:hint="default" w:ascii="Times New Roman Regular" w:hAnsi="Times New Roman Regular" w:eastAsia="宋体" w:cs="Times New Roman Regular"/>
                <w:b w:val="0"/>
                <w:bCs w:val="0"/>
                <w:color w:val="auto"/>
                <w:sz w:val="21"/>
                <w:szCs w:val="21"/>
                <w:highlight w:val="none"/>
              </w:rPr>
              <w:t>年保修，终身维护</w:t>
            </w:r>
          </w:p>
          <w:p w14:paraId="4D30532B">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bCs/>
                <w:color w:val="auto"/>
                <w:szCs w:val="21"/>
                <w:vertAlign w:val="baseline"/>
              </w:rPr>
            </w:pPr>
            <w:r>
              <w:rPr>
                <w:rFonts w:hint="default" w:ascii="Times New Roman Regular" w:hAnsi="Times New Roman Regular" w:eastAsia="宋体" w:cs="Times New Roman Regular"/>
                <w:b/>
                <w:bCs/>
                <w:color w:val="auto"/>
                <w:sz w:val="21"/>
                <w:szCs w:val="21"/>
                <w:highlight w:val="none"/>
              </w:rPr>
              <w:t>☆提供详细的技术参数及性能说明书（附：宣传彩页、厂方出具或官网的相关证明材料）</w:t>
            </w:r>
          </w:p>
        </w:tc>
      </w:tr>
      <w:tr w14:paraId="2D57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807" w:type="dxa"/>
            <w:vAlign w:val="center"/>
          </w:tcPr>
          <w:p w14:paraId="5C6C26B2">
            <w:pPr>
              <w:ind w:firstLine="210" w:firstLineChars="100"/>
              <w:jc w:val="both"/>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2</w:t>
            </w:r>
          </w:p>
        </w:tc>
        <w:tc>
          <w:tcPr>
            <w:tcW w:w="1588" w:type="dxa"/>
            <w:vAlign w:val="center"/>
          </w:tcPr>
          <w:p w14:paraId="1B85AD17">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rPr>
              <w:t xml:space="preserve"> </w:t>
            </w:r>
            <w:r>
              <w:rPr>
                <w:rFonts w:hint="eastAsia" w:ascii="Times New Roman Regular" w:hAnsi="Times New Roman Regular" w:eastAsia="宋体" w:cs="Times New Roman Regular"/>
                <w:b w:val="0"/>
                <w:bCs w:val="0"/>
                <w:color w:val="auto"/>
                <w:szCs w:val="21"/>
                <w:vertAlign w:val="baseline"/>
                <w:lang w:val="en-US" w:eastAsia="zh-CN"/>
              </w:rPr>
              <w:t>超</w:t>
            </w:r>
            <w:r>
              <w:rPr>
                <w:rFonts w:hint="default" w:ascii="Times New Roman Regular" w:hAnsi="Times New Roman Regular" w:eastAsia="宋体" w:cs="Times New Roman Regular"/>
                <w:color w:val="auto"/>
                <w:lang w:val="en-US" w:eastAsia="zh-CN"/>
              </w:rPr>
              <w:t>微量分光光度计</w:t>
            </w:r>
          </w:p>
        </w:tc>
        <w:tc>
          <w:tcPr>
            <w:tcW w:w="929" w:type="dxa"/>
            <w:vAlign w:val="center"/>
          </w:tcPr>
          <w:p w14:paraId="714FF0AE">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1台</w:t>
            </w:r>
          </w:p>
        </w:tc>
        <w:tc>
          <w:tcPr>
            <w:tcW w:w="4934" w:type="dxa"/>
            <w:vAlign w:val="center"/>
          </w:tcPr>
          <w:p w14:paraId="79DC3B9D">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1、显示：7寸高清电容触摸屏和操控程序,不需电脑联机,单机即完成样品检测和数据的存储</w:t>
            </w:r>
          </w:p>
          <w:p w14:paraId="409C89A6">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2、光源：氙闪光灯；比色皿模式(oD600测量)：LED发光二级管</w:t>
            </w:r>
          </w:p>
          <w:p w14:paraId="3A9469D9">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3、波长范围： 200-800nm；比色皿模式(oD600测量)：600±8nm</w:t>
            </w:r>
          </w:p>
          <w:p w14:paraId="6F2FFF22">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 xml:space="preserve">4、样品体积：0.5-2ul </w:t>
            </w:r>
          </w:p>
          <w:p w14:paraId="686F05D1">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5、光程：0.2mm(高浓度测量);1.0mm(普通浓度测量)</w:t>
            </w:r>
          </w:p>
          <w:p w14:paraId="2EA789F0">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 xml:space="preserve">6、检测器：2048单元线性CCD阵列  </w:t>
            </w:r>
          </w:p>
          <w:p w14:paraId="5A322BF7">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 xml:space="preserve">7、波长精度：1nm </w:t>
            </w:r>
          </w:p>
          <w:p w14:paraId="1DAB055A">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8、波长分辨率：≤3nm</w:t>
            </w:r>
          </w:p>
          <w:p w14:paraId="00C693DE">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9、 吸光度精确度：0.003Abs</w:t>
            </w:r>
          </w:p>
          <w:p w14:paraId="4B107F42">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10、吸光度准确度：1%（7.332 Abs at 260nm)</w:t>
            </w:r>
          </w:p>
          <w:p w14:paraId="732BF126">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 xml:space="preserve">11、吸光度范围(等效于10mm)：0.04-90A;  比色皿模式(oD600测量)：0~4A </w:t>
            </w:r>
          </w:p>
          <w:p w14:paraId="3015C092">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12、检测时间：</w:t>
            </w:r>
            <w:r>
              <w:rPr>
                <w:rFonts w:hint="eastAsia"/>
                <w:color w:val="auto"/>
                <w:lang w:val="en-US" w:eastAsia="zh-CN"/>
              </w:rPr>
              <w:t>≤</w:t>
            </w:r>
            <w:r>
              <w:rPr>
                <w:rFonts w:hint="default" w:ascii="Times New Roman Regular" w:hAnsi="Times New Roman Regular" w:eastAsia="宋体" w:cs="Times New Roman Regular"/>
                <w:b w:val="0"/>
                <w:bCs w:val="0"/>
                <w:color w:val="auto"/>
                <w:sz w:val="21"/>
                <w:szCs w:val="21"/>
                <w:highlight w:val="none"/>
                <w:lang w:val="en-US" w:eastAsia="zh-CN"/>
              </w:rPr>
              <w:t>5S</w:t>
            </w:r>
          </w:p>
          <w:p w14:paraId="027CAD8E">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 xml:space="preserve">13、核酸检测范围 ：2-4500ng/ul(dsDNA) </w:t>
            </w:r>
          </w:p>
          <w:p w14:paraId="6CC6ED3A">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14、数据输出方式：USB</w:t>
            </w:r>
          </w:p>
          <w:p w14:paraId="14F287ED">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 xml:space="preserve">15、电源适配器：24V DC </w:t>
            </w:r>
          </w:p>
          <w:p w14:paraId="0C0EB8E3">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bCs/>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16</w:t>
            </w:r>
            <w:r>
              <w:rPr>
                <w:rFonts w:hint="eastAsia" w:ascii="Times New Roman Regular" w:hAnsi="Times New Roman Regular" w:eastAsia="宋体" w:cs="Times New Roman Regular"/>
                <w:b w:val="0"/>
                <w:bCs w:val="0"/>
                <w:color w:val="auto"/>
                <w:sz w:val="21"/>
                <w:szCs w:val="21"/>
                <w:highlight w:val="none"/>
                <w:lang w:val="en-US" w:eastAsia="zh-CN"/>
              </w:rPr>
              <w:t>、</w:t>
            </w:r>
            <w:r>
              <w:rPr>
                <w:rFonts w:hint="default" w:ascii="Times New Roman Regular" w:hAnsi="Times New Roman Regular" w:eastAsia="宋体" w:cs="Times New Roman Regular"/>
                <w:b/>
                <w:bCs/>
                <w:color w:val="auto"/>
                <w:sz w:val="21"/>
                <w:szCs w:val="21"/>
                <w:highlight w:val="none"/>
                <w:lang w:val="en-US" w:eastAsia="zh-CN"/>
              </w:rPr>
              <w:t>★自动空白、自动检测功能，提高检测效率；</w:t>
            </w:r>
          </w:p>
          <w:p w14:paraId="2BB1042E">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bCs/>
                <w:color w:val="auto"/>
                <w:sz w:val="21"/>
                <w:szCs w:val="21"/>
                <w:highlight w:val="none"/>
                <w:lang w:val="en-US" w:eastAsia="zh-CN"/>
              </w:rPr>
            </w:pPr>
            <w:r>
              <w:rPr>
                <w:rFonts w:hint="default" w:ascii="Times New Roman Regular" w:hAnsi="Times New Roman Regular" w:eastAsia="宋体" w:cs="Times New Roman Regular"/>
                <w:b/>
                <w:bCs/>
                <w:color w:val="auto"/>
                <w:sz w:val="21"/>
                <w:szCs w:val="21"/>
                <w:highlight w:val="none"/>
                <w:lang w:val="en-US" w:eastAsia="zh-CN"/>
              </w:rPr>
              <w:t>配置清单：</w:t>
            </w:r>
          </w:p>
          <w:p w14:paraId="171CB308">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1、微量分光光度计主机   1台</w:t>
            </w:r>
          </w:p>
          <w:p w14:paraId="2174B03C">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2、电源适配器           1个</w:t>
            </w:r>
          </w:p>
          <w:p w14:paraId="63A245AA">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3、鼠标                 1个</w:t>
            </w:r>
          </w:p>
          <w:p w14:paraId="5BB0894D">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4、比色皿               1盒</w:t>
            </w:r>
          </w:p>
          <w:p w14:paraId="45FC442C">
            <w:pPr>
              <w:pStyle w:val="2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Regular" w:hAnsi="Times New Roman Regular" w:eastAsia="宋体" w:cs="Times New Roman Regular"/>
                <w:color w:val="auto"/>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5、U盘                 1个</w:t>
            </w:r>
          </w:p>
        </w:tc>
      </w:tr>
      <w:tr w14:paraId="13AC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807" w:type="dxa"/>
            <w:vAlign w:val="center"/>
          </w:tcPr>
          <w:p w14:paraId="11C79948">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3</w:t>
            </w:r>
          </w:p>
        </w:tc>
        <w:tc>
          <w:tcPr>
            <w:tcW w:w="1588" w:type="dxa"/>
            <w:vAlign w:val="center"/>
          </w:tcPr>
          <w:p w14:paraId="1ECFE1E5">
            <w:pPr>
              <w:jc w:val="center"/>
              <w:rPr>
                <w:rFonts w:hint="default" w:ascii="Times New Roman Regular" w:hAnsi="Times New Roman Regular" w:eastAsia="宋体" w:cs="Times New Roman Regular"/>
                <w:color w:val="auto"/>
                <w:lang w:val="en-US" w:eastAsia="zh-CN"/>
              </w:rPr>
            </w:pPr>
            <w:r>
              <w:rPr>
                <w:rFonts w:hint="default" w:ascii="Times New Roman Regular" w:hAnsi="Times New Roman Regular" w:eastAsia="宋体" w:cs="Times New Roman Regular"/>
                <w:color w:val="auto"/>
                <w:lang w:val="en-US" w:eastAsia="zh-CN"/>
              </w:rPr>
              <w:t>加热振荡恒温金属浴</w:t>
            </w:r>
          </w:p>
          <w:p w14:paraId="1F4FA68C">
            <w:pPr>
              <w:jc w:val="center"/>
              <w:rPr>
                <w:rFonts w:hint="default" w:ascii="Times New Roman Regular" w:hAnsi="Times New Roman Regular" w:eastAsia="宋体" w:cs="Times New Roman Regular"/>
                <w:b w:val="0"/>
                <w:bCs w:val="0"/>
                <w:color w:val="auto"/>
                <w:szCs w:val="21"/>
                <w:vertAlign w:val="baseline"/>
                <w:lang w:val="en-US" w:eastAsia="zh-CN"/>
              </w:rPr>
            </w:pPr>
          </w:p>
        </w:tc>
        <w:tc>
          <w:tcPr>
            <w:tcW w:w="929" w:type="dxa"/>
            <w:vAlign w:val="center"/>
          </w:tcPr>
          <w:p w14:paraId="1F4D4810">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1台</w:t>
            </w:r>
          </w:p>
        </w:tc>
        <w:tc>
          <w:tcPr>
            <w:tcW w:w="4934" w:type="dxa"/>
            <w:vAlign w:val="center"/>
          </w:tcPr>
          <w:p w14:paraId="0851A9C1">
            <w:pPr>
              <w:pStyle w:val="23"/>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1</w:t>
            </w:r>
            <w:r>
              <w:rPr>
                <w:rFonts w:hint="eastAsia" w:ascii="Times New Roman Regular" w:hAnsi="Times New Roman Regular" w:eastAsia="宋体" w:cs="Times New Roman Regular"/>
                <w:b w:val="0"/>
                <w:bCs w:val="0"/>
                <w:color w:val="auto"/>
                <w:sz w:val="21"/>
                <w:szCs w:val="21"/>
                <w:highlight w:val="none"/>
                <w:lang w:val="en-US" w:eastAsia="zh-CN"/>
              </w:rPr>
              <w:t>、</w:t>
            </w:r>
            <w:r>
              <w:rPr>
                <w:rFonts w:hint="default" w:ascii="Times New Roman Regular" w:hAnsi="Times New Roman Regular" w:eastAsia="宋体" w:cs="Times New Roman Regular"/>
                <w:b w:val="0"/>
                <w:bCs w:val="0"/>
                <w:color w:val="auto"/>
                <w:sz w:val="21"/>
                <w:szCs w:val="21"/>
                <w:highlight w:val="none"/>
                <w:lang w:val="en-US" w:eastAsia="zh-CN"/>
              </w:rPr>
              <w:t>温度设置范围：室温+5℃~100℃</w:t>
            </w:r>
          </w:p>
          <w:p w14:paraId="6CBA340C">
            <w:pPr>
              <w:pStyle w:val="23"/>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2</w:t>
            </w:r>
            <w:r>
              <w:rPr>
                <w:rFonts w:hint="eastAsia" w:ascii="Times New Roman Regular" w:hAnsi="Times New Roman Regular" w:eastAsia="宋体" w:cs="Times New Roman Regular"/>
                <w:b w:val="0"/>
                <w:bCs w:val="0"/>
                <w:color w:val="auto"/>
                <w:sz w:val="21"/>
                <w:szCs w:val="21"/>
                <w:highlight w:val="none"/>
                <w:lang w:val="en-US" w:eastAsia="zh-CN"/>
              </w:rPr>
              <w:t>、</w:t>
            </w:r>
            <w:r>
              <w:rPr>
                <w:rFonts w:hint="default" w:ascii="Times New Roman Regular" w:hAnsi="Times New Roman Regular" w:eastAsia="宋体" w:cs="Times New Roman Regular"/>
                <w:b w:val="0"/>
                <w:bCs w:val="0"/>
                <w:color w:val="auto"/>
                <w:sz w:val="21"/>
                <w:szCs w:val="21"/>
                <w:highlight w:val="none"/>
                <w:lang w:val="en-US" w:eastAsia="zh-CN"/>
              </w:rPr>
              <w:t>温度均匀性：≤0.5℃</w:t>
            </w:r>
          </w:p>
          <w:p w14:paraId="5682262C">
            <w:pPr>
              <w:pStyle w:val="23"/>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3</w:t>
            </w:r>
            <w:r>
              <w:rPr>
                <w:rFonts w:hint="eastAsia" w:ascii="Times New Roman Regular" w:hAnsi="Times New Roman Regular" w:eastAsia="宋体" w:cs="Times New Roman Regular"/>
                <w:b w:val="0"/>
                <w:bCs w:val="0"/>
                <w:color w:val="auto"/>
                <w:sz w:val="21"/>
                <w:szCs w:val="21"/>
                <w:highlight w:val="none"/>
                <w:lang w:val="en-US" w:eastAsia="zh-CN"/>
              </w:rPr>
              <w:t>、</w:t>
            </w:r>
            <w:r>
              <w:rPr>
                <w:rFonts w:hint="default" w:ascii="Times New Roman Regular" w:hAnsi="Times New Roman Regular" w:eastAsia="宋体" w:cs="Times New Roman Regular"/>
                <w:b w:val="0"/>
                <w:bCs w:val="0"/>
                <w:color w:val="auto"/>
                <w:sz w:val="21"/>
                <w:szCs w:val="21"/>
                <w:highlight w:val="none"/>
                <w:lang w:val="en-US" w:eastAsia="zh-CN"/>
              </w:rPr>
              <w:t>定时时间：1min～99h59min</w:t>
            </w:r>
          </w:p>
          <w:p w14:paraId="5D32285A">
            <w:pPr>
              <w:pStyle w:val="23"/>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4</w:t>
            </w:r>
            <w:r>
              <w:rPr>
                <w:rFonts w:hint="eastAsia" w:ascii="Times New Roman Regular" w:hAnsi="Times New Roman Regular" w:eastAsia="宋体" w:cs="Times New Roman Regular"/>
                <w:b w:val="0"/>
                <w:bCs w:val="0"/>
                <w:color w:val="auto"/>
                <w:sz w:val="21"/>
                <w:szCs w:val="21"/>
                <w:highlight w:val="none"/>
                <w:lang w:val="en-US" w:eastAsia="zh-CN"/>
              </w:rPr>
              <w:t>、</w:t>
            </w:r>
            <w:r>
              <w:rPr>
                <w:rFonts w:hint="default" w:ascii="Times New Roman Regular" w:hAnsi="Times New Roman Regular" w:eastAsia="宋体" w:cs="Times New Roman Regular"/>
                <w:b w:val="0"/>
                <w:bCs w:val="0"/>
                <w:color w:val="auto"/>
                <w:sz w:val="21"/>
                <w:szCs w:val="21"/>
                <w:highlight w:val="none"/>
                <w:lang w:val="en-US" w:eastAsia="zh-CN"/>
              </w:rPr>
              <w:t>控温精度：±0.5℃</w:t>
            </w:r>
          </w:p>
          <w:p w14:paraId="15AB3DF7">
            <w:pPr>
              <w:pStyle w:val="23"/>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5</w:t>
            </w:r>
            <w:r>
              <w:rPr>
                <w:rFonts w:hint="eastAsia" w:ascii="Times New Roman Regular" w:hAnsi="Times New Roman Regular" w:eastAsia="宋体" w:cs="Times New Roman Regular"/>
                <w:b w:val="0"/>
                <w:bCs w:val="0"/>
                <w:color w:val="auto"/>
                <w:sz w:val="21"/>
                <w:szCs w:val="21"/>
                <w:highlight w:val="none"/>
                <w:lang w:val="en-US" w:eastAsia="zh-CN"/>
              </w:rPr>
              <w:t>、</w:t>
            </w:r>
            <w:r>
              <w:rPr>
                <w:rFonts w:hint="default" w:ascii="Times New Roman Regular" w:hAnsi="Times New Roman Regular" w:eastAsia="宋体" w:cs="Times New Roman Regular"/>
                <w:b w:val="0"/>
                <w:bCs w:val="0"/>
                <w:color w:val="auto"/>
                <w:sz w:val="21"/>
                <w:szCs w:val="21"/>
                <w:highlight w:val="none"/>
                <w:lang w:val="en-US" w:eastAsia="zh-CN"/>
              </w:rPr>
              <w:t>显示精度：±0.1℃</w:t>
            </w:r>
          </w:p>
          <w:p w14:paraId="5ACD89D8">
            <w:pPr>
              <w:pStyle w:val="23"/>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6</w:t>
            </w:r>
            <w:r>
              <w:rPr>
                <w:rFonts w:hint="eastAsia" w:ascii="Times New Roman Regular" w:hAnsi="Times New Roman Regular" w:eastAsia="宋体" w:cs="Times New Roman Regular"/>
                <w:b w:val="0"/>
                <w:bCs w:val="0"/>
                <w:color w:val="auto"/>
                <w:sz w:val="21"/>
                <w:szCs w:val="21"/>
                <w:highlight w:val="none"/>
                <w:lang w:val="en-US" w:eastAsia="zh-CN"/>
              </w:rPr>
              <w:t>、</w:t>
            </w:r>
            <w:r>
              <w:rPr>
                <w:rFonts w:hint="default" w:ascii="Times New Roman Regular" w:hAnsi="Times New Roman Regular" w:eastAsia="宋体" w:cs="Times New Roman Regular"/>
                <w:b w:val="0"/>
                <w:bCs w:val="0"/>
                <w:color w:val="auto"/>
                <w:sz w:val="21"/>
                <w:szCs w:val="21"/>
                <w:highlight w:val="none"/>
                <w:lang w:val="en-US" w:eastAsia="zh-CN"/>
              </w:rPr>
              <w:t>加热时间（25-100℃）：≤12min</w:t>
            </w:r>
          </w:p>
          <w:p w14:paraId="0D4BB5B5">
            <w:pPr>
              <w:pStyle w:val="23"/>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default" w:ascii="Times New Roman Regular" w:hAnsi="Times New Roman Regular" w:eastAsia="宋体" w:cs="Times New Roman Regular"/>
                <w:b w:val="0"/>
                <w:bCs w:val="0"/>
                <w:color w:val="auto"/>
                <w:sz w:val="21"/>
                <w:szCs w:val="21"/>
                <w:highlight w:val="none"/>
                <w:lang w:val="en-US" w:eastAsia="zh-CN"/>
              </w:rPr>
            </w:pPr>
            <w:r>
              <w:rPr>
                <w:rFonts w:hint="default" w:ascii="Times New Roman Regular" w:hAnsi="Times New Roman Regular" w:eastAsia="宋体" w:cs="Times New Roman Regular"/>
                <w:b w:val="0"/>
                <w:bCs w:val="0"/>
                <w:color w:val="auto"/>
                <w:sz w:val="21"/>
                <w:szCs w:val="21"/>
                <w:highlight w:val="none"/>
                <w:lang w:val="en-US" w:eastAsia="zh-CN"/>
              </w:rPr>
              <w:t>7</w:t>
            </w:r>
            <w:r>
              <w:rPr>
                <w:rFonts w:hint="eastAsia" w:ascii="Times New Roman Regular" w:hAnsi="Times New Roman Regular" w:eastAsia="宋体" w:cs="Times New Roman Regular"/>
                <w:b w:val="0"/>
                <w:bCs w:val="0"/>
                <w:color w:val="auto"/>
                <w:sz w:val="21"/>
                <w:szCs w:val="21"/>
                <w:highlight w:val="none"/>
                <w:lang w:val="en-US" w:eastAsia="zh-CN"/>
              </w:rPr>
              <w:t>、</w:t>
            </w:r>
            <w:r>
              <w:rPr>
                <w:rFonts w:hint="default" w:ascii="Times New Roman Regular" w:hAnsi="Times New Roman Regular" w:eastAsia="宋体" w:cs="Times New Roman Regular"/>
                <w:b w:val="0"/>
                <w:bCs w:val="0"/>
                <w:color w:val="auto"/>
                <w:sz w:val="21"/>
                <w:szCs w:val="21"/>
                <w:highlight w:val="none"/>
                <w:lang w:val="en-US" w:eastAsia="zh-CN"/>
              </w:rPr>
              <w:t>震荡速度：200～1500rpm*</w:t>
            </w:r>
          </w:p>
          <w:p w14:paraId="60A0142B">
            <w:pPr>
              <w:pStyle w:val="23"/>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default"/>
                <w:color w:val="auto"/>
              </w:rPr>
            </w:pPr>
            <w:r>
              <w:rPr>
                <w:rFonts w:hint="default" w:ascii="Times New Roman Regular" w:hAnsi="Times New Roman Regular" w:eastAsia="宋体" w:cs="Times New Roman Regular"/>
                <w:b w:val="0"/>
                <w:bCs w:val="0"/>
                <w:color w:val="auto"/>
                <w:sz w:val="21"/>
                <w:szCs w:val="21"/>
                <w:highlight w:val="none"/>
                <w:lang w:val="en-US" w:eastAsia="zh-CN"/>
              </w:rPr>
              <w:t>8</w:t>
            </w:r>
            <w:r>
              <w:rPr>
                <w:rFonts w:hint="eastAsia" w:ascii="Times New Roman Regular" w:hAnsi="Times New Roman Regular" w:eastAsia="宋体" w:cs="Times New Roman Regular"/>
                <w:b w:val="0"/>
                <w:bCs w:val="0"/>
                <w:color w:val="auto"/>
                <w:sz w:val="21"/>
                <w:szCs w:val="21"/>
                <w:highlight w:val="none"/>
                <w:lang w:val="en-US" w:eastAsia="zh-CN"/>
              </w:rPr>
              <w:t>、</w:t>
            </w:r>
            <w:r>
              <w:rPr>
                <w:rFonts w:hint="default" w:ascii="Times New Roman Regular" w:hAnsi="Times New Roman Regular" w:eastAsia="宋体" w:cs="Times New Roman Regular"/>
                <w:b w:val="0"/>
                <w:bCs w:val="0"/>
                <w:color w:val="auto"/>
                <w:sz w:val="21"/>
                <w:szCs w:val="21"/>
                <w:highlight w:val="none"/>
                <w:lang w:val="en-US" w:eastAsia="zh-CN"/>
              </w:rPr>
              <w:t>振荡幅度：2mm</w:t>
            </w:r>
          </w:p>
        </w:tc>
      </w:tr>
      <w:tr w14:paraId="10FD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7" w:type="dxa"/>
            <w:vAlign w:val="center"/>
          </w:tcPr>
          <w:p w14:paraId="68424FB0">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4</w:t>
            </w:r>
          </w:p>
        </w:tc>
        <w:tc>
          <w:tcPr>
            <w:tcW w:w="1588" w:type="dxa"/>
            <w:vAlign w:val="center"/>
          </w:tcPr>
          <w:p w14:paraId="60979588">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研磨仪</w:t>
            </w:r>
          </w:p>
        </w:tc>
        <w:tc>
          <w:tcPr>
            <w:tcW w:w="929" w:type="dxa"/>
            <w:vAlign w:val="center"/>
          </w:tcPr>
          <w:p w14:paraId="7E63473B">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1台</w:t>
            </w:r>
          </w:p>
        </w:tc>
        <w:tc>
          <w:tcPr>
            <w:tcW w:w="4934" w:type="dxa"/>
            <w:vAlign w:val="center"/>
          </w:tcPr>
          <w:p w14:paraId="3DB8D70E">
            <w:pPr>
              <w:numPr>
                <w:ilvl w:val="0"/>
                <w:numId w:val="0"/>
              </w:numPr>
              <w:jc w:val="both"/>
              <w:rPr>
                <w:rFonts w:hint="default" w:ascii="Times New Roman Regular" w:hAnsi="Times New Roman Regular" w:eastAsia="宋体" w:cs="Times New Roman Regular"/>
                <w:b/>
                <w:bCs/>
                <w:caps/>
                <w:color w:val="auto"/>
                <w:kern w:val="2"/>
                <w:sz w:val="21"/>
                <w:szCs w:val="21"/>
                <w:highlight w:val="none"/>
                <w:lang w:val="en-US" w:eastAsia="zh-CN" w:bidi="ar-SA"/>
              </w:rPr>
            </w:pPr>
            <w:r>
              <w:rPr>
                <w:rFonts w:hint="default" w:ascii="Times New Roman Regular" w:hAnsi="Times New Roman Regular" w:eastAsia="宋体" w:cs="Times New Roman Regular"/>
                <w:b/>
                <w:bCs/>
                <w:caps/>
                <w:color w:val="auto"/>
                <w:kern w:val="2"/>
                <w:sz w:val="21"/>
                <w:szCs w:val="21"/>
                <w:highlight w:val="none"/>
                <w:lang w:val="en-US" w:eastAsia="zh-CN" w:bidi="ar-SA"/>
              </w:rPr>
              <w:t>技术参数：</w:t>
            </w:r>
          </w:p>
          <w:p w14:paraId="009C8792">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1、应用领域： 组织均质、研磨、细胞破碎、匀浆、材料分散、制备、样品混匀、振荡；</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br w:type="textWrapping"/>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2、 15秒内最大处理量同时可以处理48个样品。</w:t>
            </w:r>
          </w:p>
          <w:p w14:paraId="27E0DAC4">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3、可以兼容的样品本：24*(0.2-0.5ML) /24*2ML，可以任意定做各种规格研磨管。</w:t>
            </w:r>
          </w:p>
          <w:p w14:paraId="5365B378">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4、 触摸屏显示操作。</w:t>
            </w:r>
          </w:p>
          <w:p w14:paraId="11D2CF29">
            <w:pPr>
              <w:numPr>
                <w:ilvl w:val="0"/>
                <w:numId w:val="0"/>
              </w:numPr>
              <w:jc w:val="both"/>
              <w:rPr>
                <w:rFonts w:hint="default" w:ascii="Times New Roman Regular" w:hAnsi="Times New Roman Regular" w:eastAsia="宋体" w:cs="Times New Roman Regular"/>
                <w:b/>
                <w:bCs/>
                <w:caps/>
                <w:color w:val="auto"/>
                <w:kern w:val="2"/>
                <w:sz w:val="21"/>
                <w:szCs w:val="21"/>
                <w:highlight w:val="none"/>
                <w:lang w:val="en-US" w:eastAsia="zh-CN" w:bidi="ar-SA"/>
              </w:rPr>
            </w:pPr>
            <w:r>
              <w:rPr>
                <w:rFonts w:hint="default" w:ascii="Times New Roman Regular" w:hAnsi="Times New Roman Regular" w:eastAsia="宋体" w:cs="Times New Roman Regular"/>
                <w:b/>
                <w:bCs/>
                <w:caps/>
                <w:color w:val="auto"/>
                <w:kern w:val="2"/>
                <w:sz w:val="21"/>
                <w:szCs w:val="21"/>
                <w:highlight w:val="none"/>
                <w:lang w:val="en-US" w:eastAsia="zh-CN" w:bidi="ar-SA"/>
              </w:rPr>
              <w:t>5、★防震原理：采用了特殊的垂直上下一体震动模式，通过研磨珠（氧化锆、钢珠、玻璃珠、陶瓷珠）的高频往复振动、撞击、剪切。快速的实现目的，保证样品处理的最大化和瞬间的粉碎效果。</w:t>
            </w:r>
          </w:p>
          <w:p w14:paraId="303F8E36">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6</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最大进料尺寸：无要求，根据适配器调节，最终出料粒度：~5µm。</w:t>
            </w:r>
          </w:p>
          <w:p w14:paraId="2883263D">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7、锈钢腔体圆角和斜坡底座一体成型设计，研磨腔内不锈钢板须为压模成形，进一步保证腔体不变形，且易于清洁,且有降音装置。</w:t>
            </w:r>
          </w:p>
          <w:p w14:paraId="73B6FCCF">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8、研磨平台数 (可接纳研磨罐数)   &gt;2 。</w:t>
            </w:r>
          </w:p>
          <w:p w14:paraId="0791FF4F">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9、带自动中心定位的紧固装置 是。</w:t>
            </w:r>
          </w:p>
          <w:p w14:paraId="3A8153F0">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10、均质速度： 0—70 HZ/秒,工作时间 ：0秒-9999秒，用户可自行设定。</w:t>
            </w:r>
          </w:p>
          <w:p w14:paraId="0EDEE087">
            <w:pPr>
              <w:numPr>
                <w:ilvl w:val="0"/>
                <w:numId w:val="0"/>
              </w:numPr>
              <w:jc w:val="both"/>
              <w:rPr>
                <w:rFonts w:hint="default" w:ascii="Times New Roman Regular" w:hAnsi="Times New Roman Regular" w:eastAsia="宋体" w:cs="Times New Roman Regular"/>
                <w:b/>
                <w:bCs/>
                <w:caps/>
                <w:color w:val="auto"/>
                <w:kern w:val="2"/>
                <w:sz w:val="21"/>
                <w:szCs w:val="21"/>
                <w:highlight w:val="none"/>
                <w:lang w:val="en-US" w:eastAsia="zh-CN" w:bidi="ar-SA"/>
              </w:rPr>
            </w:pPr>
            <w:r>
              <w:rPr>
                <w:rFonts w:hint="default" w:ascii="Times New Roman Regular" w:hAnsi="Times New Roman Regular" w:eastAsia="宋体" w:cs="Times New Roman Regular"/>
                <w:b/>
                <w:bCs/>
                <w:caps/>
                <w:color w:val="auto"/>
                <w:kern w:val="2"/>
                <w:sz w:val="21"/>
                <w:szCs w:val="21"/>
                <w:highlight w:val="none"/>
                <w:lang w:val="en-US" w:eastAsia="zh-CN" w:bidi="ar-SA"/>
              </w:rPr>
              <w:t>11、★ 在减震技术上采用“双层减震结构”技术，确保在高速研磨工作时，仪器处于一个稳定状态，不会对于外部仪器产生干扰及保证整体环境的安全性</w:t>
            </w:r>
          </w:p>
          <w:p w14:paraId="300B500A">
            <w:pPr>
              <w:numPr>
                <w:ilvl w:val="0"/>
                <w:numId w:val="0"/>
              </w:numPr>
              <w:jc w:val="both"/>
              <w:rPr>
                <w:rFonts w:hint="default" w:ascii="Times New Roman Regular" w:hAnsi="Times New Roman Regular" w:eastAsia="宋体" w:cs="Times New Roman Regular"/>
                <w:b/>
                <w:bCs/>
                <w:caps/>
                <w:color w:val="auto"/>
                <w:kern w:val="2"/>
                <w:sz w:val="21"/>
                <w:szCs w:val="21"/>
                <w:highlight w:val="none"/>
                <w:lang w:val="en-US" w:eastAsia="zh-CN" w:bidi="ar-SA"/>
              </w:rPr>
            </w:pPr>
            <w:r>
              <w:rPr>
                <w:rFonts w:hint="default" w:ascii="Times New Roman Regular" w:hAnsi="Times New Roman Regular" w:eastAsia="宋体" w:cs="Times New Roman Regular"/>
                <w:b/>
                <w:bCs/>
                <w:caps/>
                <w:color w:val="auto"/>
                <w:kern w:val="2"/>
                <w:sz w:val="21"/>
                <w:szCs w:val="21"/>
                <w:highlight w:val="none"/>
                <w:lang w:val="en-US" w:eastAsia="zh-CN" w:bidi="ar-SA"/>
              </w:rPr>
              <w:t>12、★  固定研磨管的部分，采用了“简便式试管压紧”技术，降低破管的风险，再配以可靠的压紧技术对于高强度的研磨工作，能保证研磨管的完整度高于99.995%.</w:t>
            </w:r>
          </w:p>
          <w:p w14:paraId="6F816E42">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13、研磨球材料： 合金钢、铬钢、氧化锆、碳化钨、石英砂。研磨球直径： 0.1-30mm。</w:t>
            </w:r>
          </w:p>
          <w:p w14:paraId="0E12A750">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14、加速： 在2秒内达到最大速度。减速： 在2秒内达到最低速度。</w:t>
            </w:r>
          </w:p>
          <w:p w14:paraId="2A435458">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bCs/>
                <w:caps/>
                <w:color w:val="auto"/>
                <w:kern w:val="2"/>
                <w:sz w:val="21"/>
                <w:szCs w:val="21"/>
                <w:highlight w:val="none"/>
                <w:lang w:val="en-US" w:eastAsia="zh-CN" w:bidi="ar-SA"/>
              </w:rPr>
              <w:t>15、★采用“多种物质粉碎提取”和“快速研磨功能的细胞粉碎装置”技术，对于将任何来源(包括土壤、植物和动物的组织/器官、细菌、酵母、真菌、孢子、古生物标本等样本进行研磨粉碎。进而可以对的原始DNA、RNA和蛋白质进行提取和纯化</w:t>
            </w:r>
          </w:p>
          <w:p w14:paraId="1DEF6FD4">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16、研磨方式：湿磨，干磨，低温研磨都可.噪音等级： &lt;65db</w:t>
            </w:r>
          </w:p>
          <w:p w14:paraId="486A2982">
            <w:pPr>
              <w:numPr>
                <w:ilvl w:val="0"/>
                <w:numId w:val="0"/>
              </w:numPr>
              <w:jc w:val="both"/>
              <w:rPr>
                <w:rFonts w:hint="default" w:ascii="Times New Roman Regular" w:hAnsi="Times New Roman Regular" w:eastAsia="宋体" w:cs="Times New Roman Regular"/>
                <w:b/>
                <w:bCs/>
                <w:caps/>
                <w:color w:val="auto"/>
                <w:kern w:val="2"/>
                <w:sz w:val="21"/>
                <w:szCs w:val="21"/>
                <w:highlight w:val="none"/>
                <w:lang w:val="en-US" w:eastAsia="zh-CN" w:bidi="ar-SA"/>
              </w:rPr>
            </w:pPr>
            <w:r>
              <w:rPr>
                <w:rFonts w:hint="default" w:ascii="Times New Roman Regular" w:hAnsi="Times New Roman Regular" w:eastAsia="宋体" w:cs="Times New Roman Regular"/>
                <w:b/>
                <w:bCs/>
                <w:caps/>
                <w:color w:val="auto"/>
                <w:kern w:val="2"/>
                <w:sz w:val="21"/>
                <w:szCs w:val="21"/>
                <w:highlight w:val="none"/>
                <w:lang w:val="en-US" w:eastAsia="zh-CN" w:bidi="ar-SA"/>
              </w:rPr>
              <w:t>1</w:t>
            </w:r>
            <w:r>
              <w:rPr>
                <w:rFonts w:hint="eastAsia" w:ascii="Times New Roman Regular" w:hAnsi="Times New Roman Regular" w:eastAsia="宋体" w:cs="Times New Roman Regular"/>
                <w:b/>
                <w:bCs/>
                <w:caps/>
                <w:color w:val="auto"/>
                <w:kern w:val="2"/>
                <w:sz w:val="21"/>
                <w:szCs w:val="21"/>
                <w:highlight w:val="none"/>
                <w:lang w:val="en-US" w:eastAsia="zh-CN" w:bidi="ar-SA"/>
              </w:rPr>
              <w:t>7</w:t>
            </w:r>
            <w:r>
              <w:rPr>
                <w:rFonts w:hint="default" w:ascii="Times New Roman Regular" w:hAnsi="Times New Roman Regular" w:eastAsia="宋体" w:cs="Times New Roman Regular"/>
                <w:b/>
                <w:bCs/>
                <w:caps/>
                <w:color w:val="auto"/>
                <w:kern w:val="2"/>
                <w:sz w:val="21"/>
                <w:szCs w:val="21"/>
                <w:highlight w:val="none"/>
                <w:lang w:val="en-US" w:eastAsia="zh-CN" w:bidi="ar-SA"/>
              </w:rPr>
              <w:t>、★可随意更换适配器，有</w:t>
            </w:r>
            <w:r>
              <w:rPr>
                <w:rFonts w:hint="eastAsia" w:ascii="Times New Roman Regular" w:hAnsi="Times New Roman Regular" w:eastAsia="宋体" w:cs="Times New Roman Regular"/>
                <w:b/>
                <w:bCs/>
                <w:caps/>
                <w:color w:val="auto"/>
                <w:kern w:val="2"/>
                <w:sz w:val="21"/>
                <w:szCs w:val="21"/>
                <w:highlight w:val="none"/>
                <w:lang w:val="en-US" w:eastAsia="zh-CN" w:bidi="ar-SA"/>
              </w:rPr>
              <w:t>十</w:t>
            </w:r>
            <w:r>
              <w:rPr>
                <w:rFonts w:hint="default" w:ascii="Times New Roman Regular" w:hAnsi="Times New Roman Regular" w:eastAsia="宋体" w:cs="Times New Roman Regular"/>
                <w:b/>
                <w:bCs/>
                <w:caps/>
                <w:color w:val="auto"/>
                <w:kern w:val="2"/>
                <w:sz w:val="21"/>
                <w:szCs w:val="21"/>
                <w:highlight w:val="none"/>
                <w:lang w:val="en-US" w:eastAsia="zh-CN" w:bidi="ar-SA"/>
              </w:rPr>
              <w:t>种</w:t>
            </w:r>
            <w:r>
              <w:rPr>
                <w:rFonts w:hint="eastAsia" w:ascii="Times New Roman Regular" w:hAnsi="Times New Roman Regular" w:eastAsia="宋体" w:cs="Times New Roman Regular"/>
                <w:b/>
                <w:bCs/>
                <w:caps/>
                <w:color w:val="auto"/>
                <w:kern w:val="2"/>
                <w:sz w:val="21"/>
                <w:szCs w:val="21"/>
                <w:highlight w:val="none"/>
                <w:lang w:val="en-US" w:eastAsia="zh-CN" w:bidi="ar-SA"/>
              </w:rPr>
              <w:t>以上</w:t>
            </w:r>
            <w:r>
              <w:rPr>
                <w:rFonts w:hint="default" w:ascii="Times New Roman Regular" w:hAnsi="Times New Roman Regular" w:eastAsia="宋体" w:cs="Times New Roman Regular"/>
                <w:b/>
                <w:bCs/>
                <w:caps/>
                <w:color w:val="auto"/>
                <w:kern w:val="2"/>
                <w:sz w:val="21"/>
                <w:szCs w:val="21"/>
                <w:highlight w:val="none"/>
                <w:lang w:val="en-US" w:eastAsia="zh-CN" w:bidi="ar-SA"/>
              </w:rPr>
              <w:t>适配器可供选配可接受任意规格定制。</w:t>
            </w:r>
          </w:p>
          <w:p w14:paraId="72B56116">
            <w:pPr>
              <w:numPr>
                <w:ilvl w:val="0"/>
                <w:numId w:val="0"/>
              </w:numPr>
              <w:jc w:val="both"/>
              <w:rPr>
                <w:rFonts w:hint="default" w:ascii="Times New Roman Regular" w:hAnsi="Times New Roman Regular" w:eastAsia="宋体" w:cs="Times New Roman Regular"/>
                <w:b/>
                <w:bCs/>
                <w:caps/>
                <w:color w:val="auto"/>
                <w:kern w:val="2"/>
                <w:sz w:val="21"/>
                <w:szCs w:val="21"/>
                <w:highlight w:val="none"/>
                <w:lang w:val="en-US" w:eastAsia="zh-CN" w:bidi="ar-SA"/>
              </w:rPr>
            </w:pPr>
            <w:r>
              <w:rPr>
                <w:rFonts w:hint="default" w:ascii="Times New Roman Regular" w:hAnsi="Times New Roman Regular" w:eastAsia="宋体" w:cs="Times New Roman Regular"/>
                <w:b/>
                <w:bCs/>
                <w:caps/>
                <w:color w:val="auto"/>
                <w:kern w:val="2"/>
                <w:sz w:val="21"/>
                <w:szCs w:val="21"/>
                <w:highlight w:val="none"/>
                <w:lang w:val="en-US" w:eastAsia="zh-CN" w:bidi="ar-SA"/>
              </w:rPr>
              <w:t>1</w:t>
            </w:r>
            <w:r>
              <w:rPr>
                <w:rFonts w:hint="eastAsia" w:ascii="Times New Roman Regular" w:hAnsi="Times New Roman Regular" w:eastAsia="宋体" w:cs="Times New Roman Regular"/>
                <w:b/>
                <w:bCs/>
                <w:caps/>
                <w:color w:val="auto"/>
                <w:kern w:val="2"/>
                <w:sz w:val="21"/>
                <w:szCs w:val="21"/>
                <w:highlight w:val="none"/>
                <w:lang w:val="en-US" w:eastAsia="zh-CN" w:bidi="ar-SA"/>
              </w:rPr>
              <w:t>8</w:t>
            </w:r>
            <w:r>
              <w:rPr>
                <w:rFonts w:hint="default" w:ascii="Times New Roman Regular" w:hAnsi="Times New Roman Regular" w:eastAsia="宋体" w:cs="Times New Roman Regular"/>
                <w:b/>
                <w:bCs/>
                <w:caps/>
                <w:color w:val="auto"/>
                <w:kern w:val="2"/>
                <w:sz w:val="21"/>
                <w:szCs w:val="21"/>
                <w:highlight w:val="none"/>
                <w:lang w:val="en-US" w:eastAsia="zh-CN" w:bidi="ar-SA"/>
              </w:rPr>
              <w:t>、★配套离心管开盖工具，可以快速的协助工作人员打开离心管，避免污染。</w:t>
            </w:r>
          </w:p>
          <w:p w14:paraId="5B6E8A32">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eastAsia" w:ascii="Times New Roman Regular" w:hAnsi="Times New Roman Regular" w:eastAsia="宋体" w:cs="Times New Roman Regular"/>
                <w:b w:val="0"/>
                <w:bCs w:val="0"/>
                <w:caps/>
                <w:color w:val="auto"/>
                <w:kern w:val="2"/>
                <w:sz w:val="21"/>
                <w:szCs w:val="21"/>
                <w:highlight w:val="none"/>
                <w:lang w:val="en-US" w:eastAsia="zh-CN" w:bidi="ar-SA"/>
              </w:rPr>
              <w:t>19</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、具有升级成超低温液氮冷冻或空气制冷机制冷的能力。</w:t>
            </w:r>
          </w:p>
          <w:p w14:paraId="4168AC98">
            <w:pPr>
              <w:numPr>
                <w:ilvl w:val="0"/>
                <w:numId w:val="0"/>
              </w:numPr>
              <w:jc w:val="both"/>
              <w:rPr>
                <w:rFonts w:hint="default" w:ascii="Times New Roman Regular" w:hAnsi="Times New Roman Regular" w:eastAsia="宋体" w:cs="Times New Roman Regular"/>
                <w:b/>
                <w:bCs/>
                <w:caps/>
                <w:color w:val="auto"/>
                <w:kern w:val="2"/>
                <w:sz w:val="21"/>
                <w:szCs w:val="21"/>
                <w:highlight w:val="none"/>
                <w:lang w:val="en-US" w:eastAsia="zh-CN" w:bidi="ar-SA"/>
              </w:rPr>
            </w:pPr>
            <w:r>
              <w:rPr>
                <w:rFonts w:hint="default" w:ascii="Times New Roman Regular" w:hAnsi="Times New Roman Regular" w:eastAsia="宋体" w:cs="Times New Roman Regular"/>
                <w:b/>
                <w:bCs/>
                <w:caps/>
                <w:color w:val="auto"/>
                <w:kern w:val="2"/>
                <w:sz w:val="21"/>
                <w:szCs w:val="21"/>
                <w:highlight w:val="none"/>
                <w:lang w:val="en-US" w:eastAsia="zh-CN" w:bidi="ar-SA"/>
              </w:rPr>
              <w:t>基本配置：</w:t>
            </w:r>
          </w:p>
          <w:p w14:paraId="52F9F300">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1、主</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体</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机</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器</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一台。</w:t>
            </w:r>
          </w:p>
          <w:p w14:paraId="0F99484F">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2、2ml适配器1套，2ml制冷适配器1套。</w:t>
            </w:r>
          </w:p>
          <w:p w14:paraId="76D9A354">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3、5号进口不锈钢研磨珠一瓶，3号进口不锈钢研磨珠一瓶。</w:t>
            </w:r>
          </w:p>
          <w:p w14:paraId="577CF0A4">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4、离心管开盖工具一个。</w:t>
            </w:r>
          </w:p>
          <w:p w14:paraId="3BA1FB79">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5、专用加珠枪一把（选配）</w:t>
            </w:r>
          </w:p>
        </w:tc>
      </w:tr>
      <w:tr w14:paraId="1033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07" w:type="dxa"/>
            <w:vAlign w:val="center"/>
          </w:tcPr>
          <w:p w14:paraId="264668CF">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5</w:t>
            </w:r>
          </w:p>
        </w:tc>
        <w:tc>
          <w:tcPr>
            <w:tcW w:w="1588" w:type="dxa"/>
            <w:vAlign w:val="center"/>
          </w:tcPr>
          <w:p w14:paraId="79084AA0">
            <w:pPr>
              <w:jc w:val="center"/>
              <w:rPr>
                <w:rFonts w:hint="default" w:ascii="Times New Roman Regular" w:hAnsi="Times New Roman Regular" w:eastAsia="宋体" w:cs="Times New Roman Regular"/>
                <w:b w:val="0"/>
                <w:bCs w:val="0"/>
                <w:color w:val="auto"/>
                <w:szCs w:val="21"/>
                <w:vertAlign w:val="baseline"/>
              </w:rPr>
            </w:pPr>
            <w:r>
              <w:rPr>
                <w:rFonts w:hint="default" w:ascii="Times New Roman Regular" w:hAnsi="Times New Roman Regular" w:eastAsia="宋体" w:cs="Times New Roman Regular"/>
                <w:b w:val="0"/>
                <w:bCs w:val="0"/>
                <w:color w:val="auto"/>
                <w:szCs w:val="21"/>
                <w:vertAlign w:val="baseline"/>
                <w:lang w:val="en-US" w:eastAsia="zh-CN"/>
              </w:rPr>
              <w:t>摇床</w:t>
            </w:r>
          </w:p>
        </w:tc>
        <w:tc>
          <w:tcPr>
            <w:tcW w:w="929" w:type="dxa"/>
            <w:vAlign w:val="center"/>
          </w:tcPr>
          <w:p w14:paraId="49F9732A">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1台</w:t>
            </w:r>
          </w:p>
        </w:tc>
        <w:tc>
          <w:tcPr>
            <w:tcW w:w="4934" w:type="dxa"/>
            <w:vAlign w:val="center"/>
          </w:tcPr>
          <w:p w14:paraId="22D62212">
            <w:pPr>
              <w:numPr>
                <w:ilvl w:val="0"/>
                <w:numId w:val="4"/>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流线型机体，采用增强型工程塑料成型技术；</w:t>
            </w:r>
          </w:p>
          <w:p w14:paraId="41323628">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2、配备无刷直流电机启动，尼龙1010轴芯，铜制偏心套，使机体运转平稳且耐用；</w:t>
            </w:r>
          </w:p>
          <w:p w14:paraId="71BBE424">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3、模压成型的天然橡胶平台能有效防止不慎流出的酸碱溶液对机器的腐蚀，且极易清洗保洁；</w:t>
            </w:r>
          </w:p>
          <w:p w14:paraId="46B9F520">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4、频率：40～240转/分；</w:t>
            </w:r>
          </w:p>
          <w:p w14:paraId="724192A1">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5、旋幅：回转半径15mm；</w:t>
            </w:r>
          </w:p>
          <w:p w14:paraId="5AB1E4B5">
            <w:pPr>
              <w:numPr>
                <w:ilvl w:val="0"/>
                <w:numId w:val="0"/>
              </w:num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6、速度：无极调速，表头显示；</w:t>
            </w:r>
          </w:p>
          <w:p w14:paraId="5AA71E8A">
            <w:pPr>
              <w:numPr>
                <w:ilvl w:val="0"/>
                <w:numId w:val="0"/>
              </w:numPr>
              <w:ind w:left="0" w:leftChars="0" w:firstLine="0" w:firstLineChars="0"/>
              <w:jc w:val="both"/>
              <w:rPr>
                <w:rFonts w:hint="default" w:ascii="Times New Roman Regular" w:hAnsi="Times New Roman Regular" w:eastAsia="宋体" w:cs="Times New Roman Regular"/>
                <w:color w:val="auto"/>
                <w:lang w:val="en-US" w:eastAsia="zh-CN"/>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7、功率：35W。</w:t>
            </w:r>
          </w:p>
        </w:tc>
      </w:tr>
      <w:tr w14:paraId="5C2C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807" w:type="dxa"/>
            <w:vAlign w:val="center"/>
          </w:tcPr>
          <w:p w14:paraId="7A64CD6B">
            <w:pPr>
              <w:ind w:firstLine="210" w:firstLineChars="100"/>
              <w:jc w:val="both"/>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6</w:t>
            </w:r>
          </w:p>
        </w:tc>
        <w:tc>
          <w:tcPr>
            <w:tcW w:w="1588" w:type="dxa"/>
            <w:vAlign w:val="center"/>
          </w:tcPr>
          <w:p w14:paraId="2C9879E2">
            <w:pPr>
              <w:jc w:val="center"/>
              <w:rPr>
                <w:rFonts w:hint="default" w:ascii="Times New Roman Regular" w:hAnsi="Times New Roman Regular" w:eastAsia="宋体" w:cs="Times New Roman Regular"/>
                <w:b w:val="0"/>
                <w:bCs w:val="0"/>
                <w:color w:val="auto"/>
                <w:szCs w:val="21"/>
                <w:vertAlign w:val="baseline"/>
              </w:rPr>
            </w:pPr>
            <w:r>
              <w:rPr>
                <w:rFonts w:hint="default" w:ascii="Times New Roman Regular" w:hAnsi="Times New Roman Regular" w:eastAsia="宋体" w:cs="Times New Roman Regular"/>
                <w:b w:val="0"/>
                <w:bCs w:val="0"/>
                <w:color w:val="auto"/>
                <w:szCs w:val="21"/>
                <w:vertAlign w:val="baseline"/>
              </w:rPr>
              <w:t>水平电泳槽</w:t>
            </w:r>
          </w:p>
          <w:p w14:paraId="446D3FBF">
            <w:pPr>
              <w:jc w:val="center"/>
              <w:rPr>
                <w:rFonts w:hint="default" w:ascii="Times New Roman Regular" w:hAnsi="Times New Roman Regular" w:eastAsia="宋体" w:cs="Times New Roman Regular"/>
                <w:b w:val="0"/>
                <w:bCs w:val="0"/>
                <w:color w:val="auto"/>
                <w:szCs w:val="21"/>
                <w:vertAlign w:val="baseline"/>
              </w:rPr>
            </w:pPr>
            <w:r>
              <w:rPr>
                <w:rFonts w:hint="default" w:ascii="Times New Roman Regular" w:hAnsi="Times New Roman Regular" w:eastAsia="宋体" w:cs="Times New Roman Regular"/>
                <w:b w:val="0"/>
                <w:bCs w:val="0"/>
                <w:color w:val="auto"/>
                <w:szCs w:val="21"/>
                <w:vertAlign w:val="baseline"/>
              </w:rPr>
              <w:t>电泳仪</w:t>
            </w:r>
          </w:p>
        </w:tc>
        <w:tc>
          <w:tcPr>
            <w:tcW w:w="929" w:type="dxa"/>
            <w:vAlign w:val="center"/>
          </w:tcPr>
          <w:p w14:paraId="7559ADE4">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default" w:ascii="Times New Roman Regular" w:hAnsi="Times New Roman Regular" w:eastAsia="宋体" w:cs="Times New Roman Regular"/>
                <w:b w:val="0"/>
                <w:bCs w:val="0"/>
                <w:color w:val="auto"/>
                <w:szCs w:val="21"/>
                <w:vertAlign w:val="baseline"/>
                <w:lang w:val="en-US" w:eastAsia="zh-CN"/>
              </w:rPr>
              <w:t>1台</w:t>
            </w:r>
          </w:p>
        </w:tc>
        <w:tc>
          <w:tcPr>
            <w:tcW w:w="4934" w:type="dxa"/>
            <w:vAlign w:val="center"/>
          </w:tcPr>
          <w:p w14:paraId="1CC4C4D2">
            <w:pPr>
              <w:jc w:val="left"/>
              <w:rPr>
                <w:rFonts w:hint="eastAsia" w:ascii="Times New Roman Regular" w:hAnsi="Times New Roman Regular" w:eastAsia="宋体" w:cs="Times New Roman Regular"/>
                <w:b/>
                <w:bCs/>
                <w:caps/>
                <w:color w:val="auto"/>
                <w:kern w:val="2"/>
                <w:sz w:val="21"/>
                <w:szCs w:val="21"/>
                <w:highlight w:val="none"/>
                <w:lang w:val="en-US" w:eastAsia="zh-CN" w:bidi="ar-SA"/>
              </w:rPr>
            </w:pPr>
            <w:r>
              <w:rPr>
                <w:rFonts w:hint="default" w:ascii="Times New Roman Regular" w:hAnsi="Times New Roman Regular" w:eastAsia="宋体" w:cs="Times New Roman Regular"/>
                <w:b/>
                <w:bCs/>
                <w:color w:val="auto"/>
                <w:szCs w:val="21"/>
                <w:vertAlign w:val="baseline"/>
              </w:rPr>
              <w:t>电泳槽</w:t>
            </w:r>
            <w:r>
              <w:rPr>
                <w:rFonts w:hint="eastAsia" w:ascii="Times New Roman Regular" w:hAnsi="Times New Roman Regular" w:eastAsia="宋体" w:cs="Times New Roman Regular"/>
                <w:b/>
                <w:bCs/>
                <w:color w:val="auto"/>
                <w:szCs w:val="21"/>
                <w:vertAlign w:val="baseline"/>
                <w:lang w:val="en-US" w:eastAsia="zh-CN"/>
              </w:rPr>
              <w:t>参数：</w:t>
            </w:r>
          </w:p>
          <w:p w14:paraId="06410F58">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1</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槽体采用高强度高透明度聚碳酸脂材料注塑成型，免除液体渗漏、便于观察电泳进程。</w:t>
            </w:r>
          </w:p>
          <w:p w14:paraId="280C4B7E">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2</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安全按钮式开盖设计，方便电泳槽盖的开启。</w:t>
            </w:r>
          </w:p>
          <w:p w14:paraId="2E891DF9">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3</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配备多用制胶器，使该电泳槽能同时兼顾6X6cm/6X12cm/12X6cm或12X12cm四种规格的红色胶板，能做到一槽多用，可实现不脱除胶板在带有蓝光的成像仪中直接成像，节省实验费用和实验台面占用面积。</w:t>
            </w:r>
          </w:p>
          <w:p w14:paraId="25B360D2">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4</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多用制胶器为耐温材料（135℃）注塑成型，不变型。</w:t>
            </w:r>
          </w:p>
          <w:p w14:paraId="7E002042">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5</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多用制胶器内含的8种规格的梳子为耐温材料（135℃）注塑成型，不变型，尺寸精度高，不宜损坏。</w:t>
            </w:r>
          </w:p>
          <w:p w14:paraId="72C65ABC">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6</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槽体内水平平台垂直固定基准的设计，使小胶和大胶都可方便地置于电泳槽的中心位置进行电泳。</w:t>
            </w:r>
          </w:p>
          <w:p w14:paraId="63F35FCC">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7</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电泳槽承载凝胶的最大面积：12×12cm</w:t>
            </w:r>
          </w:p>
          <w:p w14:paraId="623A6679">
            <w:pPr>
              <w:jc w:val="left"/>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8</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制胶托盘种类：6×6cm/6×12cm/12×6cm/12×12cm（红色胶板）</w:t>
            </w:r>
          </w:p>
          <w:p w14:paraId="3A9E4D6E">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9</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最大电压负荷：500 V</w:t>
            </w:r>
          </w:p>
          <w:p w14:paraId="4F7DEAA6">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10</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容纳缓冲液总体积：1000 ml</w:t>
            </w:r>
          </w:p>
          <w:p w14:paraId="1AD0C4C7">
            <w:pPr>
              <w:jc w:val="left"/>
              <w:rPr>
                <w:rFonts w:hint="eastAsia" w:ascii="Times New Roman Regular" w:hAnsi="Times New Roman Regular" w:eastAsia="宋体" w:cs="Times New Roman Regular"/>
                <w:b/>
                <w:bCs/>
                <w:caps/>
                <w:color w:val="auto"/>
                <w:kern w:val="2"/>
                <w:sz w:val="21"/>
                <w:szCs w:val="21"/>
                <w:highlight w:val="none"/>
                <w:lang w:val="en-US" w:eastAsia="zh-CN" w:bidi="ar-SA"/>
              </w:rPr>
            </w:pPr>
            <w:r>
              <w:rPr>
                <w:rFonts w:hint="default" w:ascii="Times New Roman Regular" w:hAnsi="Times New Roman Regular" w:eastAsia="宋体" w:cs="Times New Roman Regular"/>
                <w:b/>
                <w:bCs/>
                <w:color w:val="auto"/>
                <w:szCs w:val="21"/>
                <w:vertAlign w:val="baseline"/>
              </w:rPr>
              <w:t>电泳</w:t>
            </w:r>
            <w:r>
              <w:rPr>
                <w:rFonts w:hint="eastAsia" w:ascii="Times New Roman Regular" w:hAnsi="Times New Roman Regular" w:eastAsia="宋体" w:cs="Times New Roman Regular"/>
                <w:b/>
                <w:bCs/>
                <w:color w:val="auto"/>
                <w:szCs w:val="21"/>
                <w:vertAlign w:val="baseline"/>
                <w:lang w:val="en-US" w:eastAsia="zh-CN"/>
              </w:rPr>
              <w:t>仪参数：</w:t>
            </w:r>
          </w:p>
          <w:p w14:paraId="36E45A3B">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eastAsia" w:ascii="Times New Roman Regular" w:hAnsi="Times New Roman Regular" w:eastAsia="宋体" w:cs="Times New Roman Regular"/>
                <w:b w:val="0"/>
                <w:bCs w:val="0"/>
                <w:caps/>
                <w:color w:val="auto"/>
                <w:kern w:val="2"/>
                <w:sz w:val="21"/>
                <w:szCs w:val="21"/>
                <w:highlight w:val="none"/>
                <w:lang w:val="en-US" w:eastAsia="zh-CN" w:bidi="ar-SA"/>
              </w:rPr>
              <w:t>1、</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4组输出（可同时连接四个电泳槽）</w:t>
            </w:r>
          </w:p>
          <w:p w14:paraId="57174F87">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2</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输出定时/计时控制</w:t>
            </w:r>
          </w:p>
          <w:p w14:paraId="35700A8F">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3</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自动无负载输出保护</w:t>
            </w:r>
          </w:p>
          <w:p w14:paraId="37732C34">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4</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自动过载和短路保护</w:t>
            </w:r>
          </w:p>
          <w:p w14:paraId="2FBA35D8">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5</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自动记忆工作状态</w:t>
            </w:r>
          </w:p>
          <w:p w14:paraId="1D8E2B59">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6</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3位数显，1位状态显示</w:t>
            </w:r>
          </w:p>
          <w:p w14:paraId="7727C553">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7</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可层量防滑机箱</w:t>
            </w:r>
          </w:p>
          <w:p w14:paraId="0D3B7B2E">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8</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电压：50~120 V，递增单位：1V</w:t>
            </w:r>
          </w:p>
          <w:p w14:paraId="21C94199">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9</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电流：10~800 mA，递增单位：1mA</w:t>
            </w:r>
          </w:p>
          <w:p w14:paraId="579411D8">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10</w:t>
            </w:r>
            <w:r>
              <w:rPr>
                <w:rFonts w:hint="eastAsia" w:ascii="Times New Roman Regular" w:hAnsi="Times New Roman Regular" w:eastAsia="宋体" w:cs="Times New Roman Regular"/>
                <w:b w:val="0"/>
                <w:bCs w:val="0"/>
                <w:caps/>
                <w:color w:val="auto"/>
                <w:kern w:val="2"/>
                <w:sz w:val="21"/>
                <w:szCs w:val="21"/>
                <w:highlight w:val="none"/>
                <w:lang w:val="en-US" w:eastAsia="zh-CN" w:bidi="ar-SA"/>
              </w:rPr>
              <w:t>、</w:t>
            </w:r>
            <w:r>
              <w:rPr>
                <w:rFonts w:hint="default" w:ascii="Times New Roman Regular" w:hAnsi="Times New Roman Regular" w:eastAsia="宋体" w:cs="Times New Roman Regular"/>
                <w:b w:val="0"/>
                <w:bCs w:val="0"/>
                <w:caps/>
                <w:color w:val="auto"/>
                <w:kern w:val="2"/>
                <w:sz w:val="21"/>
                <w:szCs w:val="21"/>
                <w:highlight w:val="none"/>
                <w:lang w:val="en-US" w:eastAsia="zh-CN" w:bidi="ar-SA"/>
              </w:rPr>
              <w:t>定时：0~999分，递增单位：1分钟</w:t>
            </w:r>
          </w:p>
        </w:tc>
      </w:tr>
      <w:tr w14:paraId="797D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07" w:type="dxa"/>
            <w:vAlign w:val="center"/>
          </w:tcPr>
          <w:p w14:paraId="02485C22">
            <w:pPr>
              <w:ind w:firstLine="210" w:firstLineChars="100"/>
              <w:jc w:val="both"/>
              <w:rPr>
                <w:rFonts w:hint="default" w:ascii="Times New Roman Regular" w:hAnsi="Times New Roman Regular" w:eastAsia="宋体" w:cs="Times New Roman Regular"/>
                <w:b w:val="0"/>
                <w:bCs w:val="0"/>
                <w:color w:val="auto"/>
                <w:szCs w:val="21"/>
                <w:vertAlign w:val="baseline"/>
                <w:lang w:val="en-US" w:eastAsia="zh-CN"/>
              </w:rPr>
            </w:pPr>
            <w:r>
              <w:rPr>
                <w:rFonts w:hint="eastAsia" w:ascii="Times New Roman Regular" w:hAnsi="Times New Roman Regular" w:eastAsia="宋体" w:cs="Times New Roman Regular"/>
                <w:b w:val="0"/>
                <w:bCs w:val="0"/>
                <w:color w:val="auto"/>
                <w:szCs w:val="21"/>
                <w:vertAlign w:val="baseline"/>
                <w:lang w:val="en-US" w:eastAsia="zh-CN"/>
              </w:rPr>
              <w:t>7</w:t>
            </w:r>
          </w:p>
        </w:tc>
        <w:tc>
          <w:tcPr>
            <w:tcW w:w="1588" w:type="dxa"/>
            <w:vAlign w:val="center"/>
          </w:tcPr>
          <w:p w14:paraId="42EF525E">
            <w:pPr>
              <w:jc w:val="center"/>
              <w:rPr>
                <w:rFonts w:hint="default" w:ascii="Times New Roman Regular" w:hAnsi="Times New Roman Regular" w:eastAsia="宋体" w:cs="Times New Roman Regular"/>
                <w:b w:val="0"/>
                <w:bCs w:val="0"/>
                <w:color w:val="auto"/>
                <w:szCs w:val="21"/>
                <w:vertAlign w:val="baseline"/>
              </w:rPr>
            </w:pPr>
            <w:r>
              <w:rPr>
                <w:rFonts w:hint="default" w:ascii="Times New Roman Regular" w:hAnsi="Times New Roman Regular" w:eastAsia="宋体" w:cs="Times New Roman Regular"/>
                <w:b w:val="0"/>
                <w:bCs w:val="0"/>
                <w:color w:val="auto"/>
                <w:szCs w:val="21"/>
                <w:vertAlign w:val="baseline"/>
              </w:rPr>
              <w:t>动物房专用空调</w:t>
            </w:r>
          </w:p>
        </w:tc>
        <w:tc>
          <w:tcPr>
            <w:tcW w:w="929" w:type="dxa"/>
            <w:vAlign w:val="center"/>
          </w:tcPr>
          <w:p w14:paraId="2AC37F64">
            <w:pPr>
              <w:jc w:val="center"/>
              <w:rPr>
                <w:rFonts w:hint="default" w:ascii="Times New Roman Regular" w:hAnsi="Times New Roman Regular" w:eastAsia="宋体" w:cs="Times New Roman Regular"/>
                <w:b w:val="0"/>
                <w:bCs w:val="0"/>
                <w:color w:val="auto"/>
                <w:szCs w:val="21"/>
                <w:vertAlign w:val="baseline"/>
                <w:lang w:val="en-US" w:eastAsia="zh-CN"/>
              </w:rPr>
            </w:pPr>
            <w:r>
              <w:rPr>
                <w:rFonts w:hint="eastAsia" w:ascii="Times New Roman Regular" w:hAnsi="Times New Roman Regular" w:eastAsia="宋体" w:cs="Times New Roman Regular"/>
                <w:b w:val="0"/>
                <w:bCs w:val="0"/>
                <w:color w:val="auto"/>
                <w:szCs w:val="21"/>
                <w:vertAlign w:val="baseline"/>
                <w:lang w:val="en-US" w:eastAsia="zh-CN"/>
              </w:rPr>
              <w:t>1台</w:t>
            </w:r>
          </w:p>
        </w:tc>
        <w:tc>
          <w:tcPr>
            <w:tcW w:w="4934" w:type="dxa"/>
            <w:vAlign w:val="center"/>
          </w:tcPr>
          <w:p w14:paraId="2281847A">
            <w:pPr>
              <w:jc w:val="both"/>
              <w:rPr>
                <w:rFonts w:hint="eastAsia" w:ascii="Times New Roman Regular" w:hAnsi="Times New Roman Regular" w:eastAsia="宋体" w:cs="Times New Roman Regular"/>
                <w:b w:val="0"/>
                <w:bCs w:val="0"/>
                <w:caps/>
                <w:color w:val="auto"/>
                <w:kern w:val="2"/>
                <w:sz w:val="21"/>
                <w:szCs w:val="21"/>
                <w:highlight w:val="none"/>
                <w:lang w:val="en-US" w:eastAsia="zh-CN" w:bidi="ar-SA"/>
              </w:rPr>
            </w:pPr>
            <w:r>
              <w:rPr>
                <w:rFonts w:hint="eastAsia" w:ascii="Times New Roman Regular" w:hAnsi="Times New Roman Regular" w:eastAsia="宋体" w:cs="Times New Roman Regular"/>
                <w:b w:val="0"/>
                <w:bCs w:val="0"/>
                <w:caps/>
                <w:color w:val="auto"/>
                <w:kern w:val="2"/>
                <w:sz w:val="21"/>
                <w:szCs w:val="21"/>
                <w:highlight w:val="none"/>
                <w:lang w:val="en-US" w:eastAsia="zh-CN" w:bidi="ar-SA"/>
              </w:rPr>
              <w:t>参数要求：</w:t>
            </w:r>
          </w:p>
          <w:p w14:paraId="28849AE0">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50机型，2匹，</w:t>
            </w:r>
          </w:p>
          <w:p w14:paraId="7F717B30">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制冷功率（W）1240（160-2300），</w:t>
            </w:r>
          </w:p>
          <w:p w14:paraId="6F0A183C">
            <w:pPr>
              <w:jc w:val="both"/>
              <w:rPr>
                <w:rFonts w:hint="default" w:ascii="Times New Roman Regular" w:hAnsi="Times New Roman Regular" w:eastAsia="宋体" w:cs="Times New Roman Regular"/>
                <w:b w:val="0"/>
                <w:bCs w:val="0"/>
                <w:caps/>
                <w:color w:val="auto"/>
                <w:kern w:val="2"/>
                <w:sz w:val="21"/>
                <w:szCs w:val="21"/>
                <w:highlight w:val="none"/>
                <w:lang w:val="en-US" w:eastAsia="zh-CN" w:bidi="ar-SA"/>
              </w:rPr>
            </w:pPr>
            <w:r>
              <w:rPr>
                <w:rFonts w:hint="default" w:ascii="Times New Roman Regular" w:hAnsi="Times New Roman Regular" w:eastAsia="宋体" w:cs="Times New Roman Regular"/>
                <w:b w:val="0"/>
                <w:bCs w:val="0"/>
                <w:caps/>
                <w:color w:val="auto"/>
                <w:kern w:val="2"/>
                <w:sz w:val="21"/>
                <w:szCs w:val="21"/>
                <w:highlight w:val="none"/>
                <w:lang w:val="en-US" w:eastAsia="zh-CN" w:bidi="ar-SA"/>
              </w:rPr>
              <w:t>制热功率（W）2050（300-2810）</w:t>
            </w:r>
          </w:p>
        </w:tc>
      </w:tr>
    </w:tbl>
    <w:p w14:paraId="30C463FC">
      <w:pPr>
        <w:snapToGrid w:val="0"/>
        <w:spacing w:line="460" w:lineRule="exact"/>
        <w:ind w:firstLine="480" w:firstLineChars="200"/>
        <w:outlineLvl w:val="1"/>
        <w:rPr>
          <w:rFonts w:hint="default" w:ascii="宋体" w:hAnsi="宋体" w:eastAsia="宋体"/>
          <w:color w:val="auto"/>
          <w:sz w:val="24"/>
          <w:lang w:val="en-US" w:eastAsia="zh-CN"/>
        </w:rPr>
      </w:pPr>
      <w:r>
        <w:rPr>
          <w:rFonts w:hint="eastAsia" w:ascii="宋体" w:hAnsi="宋体"/>
          <w:color w:val="auto"/>
          <w:sz w:val="24"/>
          <w:lang w:val="en-US" w:eastAsia="zh-CN"/>
        </w:rPr>
        <w:t>三</w:t>
      </w:r>
      <w:r>
        <w:rPr>
          <w:rFonts w:hint="eastAsia" w:ascii="宋体" w:hAnsi="宋体"/>
          <w:color w:val="auto"/>
          <w:sz w:val="24"/>
        </w:rPr>
        <w:t>、</w:t>
      </w:r>
      <w:r>
        <w:rPr>
          <w:rFonts w:hint="eastAsia" w:ascii="宋体" w:hAnsi="宋体"/>
          <w:color w:val="auto"/>
          <w:sz w:val="24"/>
          <w:lang w:val="en-US" w:eastAsia="zh-CN"/>
        </w:rPr>
        <w:t>服务要求</w:t>
      </w:r>
    </w:p>
    <w:p w14:paraId="0F7991C1">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提供原装设备，确保其产品质量、性能及技术参数达到采购人要求。</w:t>
      </w:r>
    </w:p>
    <w:p w14:paraId="7AD4BA89">
      <w:pPr>
        <w:snapToGrid w:val="0"/>
        <w:spacing w:line="460" w:lineRule="exact"/>
        <w:ind w:firstLine="480" w:firstLineChars="200"/>
        <w:outlineLvl w:val="1"/>
        <w:rPr>
          <w:rFonts w:hint="default" w:ascii="宋体" w:hAnsi="宋体" w:eastAsia="宋体"/>
          <w:color w:val="auto"/>
          <w:sz w:val="24"/>
          <w:lang w:val="en-US" w:eastAsia="zh-CN"/>
        </w:rPr>
      </w:pPr>
      <w:r>
        <w:rPr>
          <w:rFonts w:hint="eastAsia" w:ascii="宋体" w:hAnsi="宋体"/>
          <w:color w:val="auto"/>
          <w:sz w:val="24"/>
        </w:rPr>
        <w:t>设备安装后保证5年内的零配件供应</w:t>
      </w:r>
      <w:r>
        <w:rPr>
          <w:rFonts w:hint="eastAsia" w:ascii="宋体" w:hAnsi="宋体" w:eastAsia="宋体"/>
          <w:color w:val="auto"/>
          <w:sz w:val="24"/>
          <w:lang w:eastAsia="zh-CN"/>
        </w:rPr>
        <w:t>，</w:t>
      </w:r>
      <w:r>
        <w:rPr>
          <w:rFonts w:hint="eastAsia" w:ascii="宋体" w:hAnsi="宋体"/>
          <w:color w:val="auto"/>
          <w:sz w:val="24"/>
          <w:lang w:val="en-US" w:eastAsia="zh-CN"/>
        </w:rPr>
        <w:t>投标时</w:t>
      </w:r>
      <w:r>
        <w:rPr>
          <w:rFonts w:hint="eastAsia" w:ascii="宋体" w:hAnsi="宋体" w:eastAsia="宋体"/>
          <w:color w:val="auto"/>
          <w:sz w:val="24"/>
          <w:lang w:val="en-US" w:eastAsia="zh-CN"/>
        </w:rPr>
        <w:t>并提供相关承诺书。</w:t>
      </w:r>
    </w:p>
    <w:p w14:paraId="6446A525">
      <w:pPr>
        <w:snapToGrid w:val="0"/>
        <w:spacing w:line="460" w:lineRule="exact"/>
        <w:ind w:firstLine="480" w:firstLineChars="200"/>
        <w:outlineLvl w:val="1"/>
        <w:rPr>
          <w:rFonts w:hint="eastAsia" w:ascii="宋体" w:hAnsi="宋体" w:eastAsia="宋体"/>
          <w:color w:val="auto"/>
          <w:sz w:val="24"/>
        </w:rPr>
      </w:pPr>
      <w:r>
        <w:rPr>
          <w:rFonts w:hint="eastAsia" w:ascii="宋体" w:hAnsi="宋体" w:eastAsia="宋体"/>
          <w:color w:val="auto"/>
          <w:sz w:val="24"/>
        </w:rPr>
        <w:t>1、保修期内免费项目：</w:t>
      </w:r>
    </w:p>
    <w:p w14:paraId="36638B0E">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1）对购买的产品，保修期内保修内容包括产品的安装、培训、维修、保养。</w:t>
      </w:r>
    </w:p>
    <w:p w14:paraId="4F0395A1">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2) 质保期内因不能排除的故障而影响工作的情况每发生一次，其质保期相应延长60天，质保期内因货物本身缺陷造成各种故障应由供应商免费予以更换，否则将扣除质量保证金作为对采购人的补偿。</w:t>
      </w:r>
    </w:p>
    <w:p w14:paraId="3237A852">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3）供应商供应商品的售后服务必须符合国家的有关规定，享受厂家规定的售后服务为起码条件，供应商售后服务的部门在接到采购人申请后在2小时内响应，48小时内到达，供应商商品的售后服务符合采购及响应承诺要求，负责故障原因的诊断，72小时内解决故障，设备出现损坏需带走维修，供应商先提供备用设备，然后取走设备维修。如果因为产品维修期所造成的使用耽误，质保期内因不能排除的故障而影响工作的情况每发生一次，其质保期相应延长60天，质保期内因货物本身缺陷造成各种故障应由供应商免费予以更换。</w:t>
      </w:r>
    </w:p>
    <w:p w14:paraId="40F8E02A">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4）免费开放所有数字通讯接口及协议，数据可以导出。</w:t>
      </w:r>
    </w:p>
    <w:p w14:paraId="31A86C3A">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5）所有设备均提供每周7×24H的技术服务响应。</w:t>
      </w:r>
    </w:p>
    <w:p w14:paraId="78078CFE">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6）质保期内非人为损坏供应商承担维修、维护以及所产生的一切费用。</w:t>
      </w:r>
    </w:p>
    <w:p w14:paraId="0672B9CE">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7）定期回访与意见反馈</w:t>
      </w:r>
    </w:p>
    <w:p w14:paraId="15FAD727">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8）提供一次免费拆装服务</w:t>
      </w:r>
    </w:p>
    <w:p w14:paraId="45BE0500">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每月电话拜访，了解产品使用状况；</w:t>
      </w:r>
    </w:p>
    <w:p w14:paraId="70E2F3BE">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每月常规走访，搜集客户建议；</w:t>
      </w:r>
    </w:p>
    <w:p w14:paraId="35C9FB05">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技术工程师半年一次定期走访，深度培训讲解并保养产品；</w:t>
      </w:r>
    </w:p>
    <w:p w14:paraId="652DF876">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季度信件回访，传递最新资讯，提供更新、更贴切的服务；</w:t>
      </w:r>
    </w:p>
    <w:p w14:paraId="3D616451">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高端工程师每半年一次定期走访，校准设备，保养产品。</w:t>
      </w:r>
    </w:p>
    <w:p w14:paraId="11599BF6">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2、投标人在质保期外的售后服务承诺内容。</w:t>
      </w:r>
    </w:p>
    <w:p w14:paraId="6DB436BD">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1）保修期过后，供应商将以出厂价提供耗材，设备安装后保证8年内的零配件供应。产品的维修、保养并终身免费服务，软件终身免费升级。</w:t>
      </w:r>
    </w:p>
    <w:p w14:paraId="7BC2C5D3">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2）供应商免费上门为采购人提供服务，不收取上门服务费和人工费，只收取相关配件的费用。</w:t>
      </w:r>
    </w:p>
    <w:p w14:paraId="73A02427">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3）设备超过质保期发生故障，采购人可自由选择维修单位，如委托给供应商，供应商不得借故推诿。</w:t>
      </w:r>
    </w:p>
    <w:p w14:paraId="3E2E086E">
      <w:pPr>
        <w:snapToGrid w:val="0"/>
        <w:spacing w:line="460" w:lineRule="exact"/>
        <w:ind w:firstLine="480" w:firstLineChars="200"/>
        <w:outlineLvl w:val="1"/>
        <w:rPr>
          <w:rFonts w:hint="default" w:ascii="宋体" w:hAnsi="宋体" w:eastAsia="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val="en-US" w:eastAsia="zh-CN"/>
        </w:rPr>
        <w:t>其他技术、服务要求</w:t>
      </w:r>
    </w:p>
    <w:p w14:paraId="5BF00FDD">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1.培训（为3名以上仪器操作人员提供免费的上机操作及日常维护培训）：</w:t>
      </w:r>
    </w:p>
    <w:p w14:paraId="368E5821">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1.1 成交供应商应对采购人的操作人员、维修人员免费进行培训。</w:t>
      </w:r>
    </w:p>
    <w:p w14:paraId="66B4BC86">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1.2 成交供应商应提供相应的培训计划。</w:t>
      </w:r>
    </w:p>
    <w:p w14:paraId="3AA90A90">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1.3 响应供应商应对上述内容的实现方式、地点、人数、时间在响应文件中详细说明。</w:t>
      </w:r>
    </w:p>
    <w:p w14:paraId="0794949D">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1.4免费提供全套、完整的技术资料，包括详细的仪器中英文说明书、操作手册和仪器维护等有关资料及质量认证书。</w:t>
      </w:r>
    </w:p>
    <w:p w14:paraId="25065FFD">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1.5提供相关应用技术资料。</w:t>
      </w:r>
    </w:p>
    <w:p w14:paraId="642A9906">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2.安装调试（若需要安装调试）：</w:t>
      </w:r>
    </w:p>
    <w:p w14:paraId="56B6B4B6">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2.1 安装地点：采购人指定地点。</w:t>
      </w:r>
    </w:p>
    <w:p w14:paraId="0C00E862">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2.2 安装完成时间：接到采购人通知后在规定时间内完成安装和调试，如在规定的时间内由于成交供应商的原因不能完成安装和调试，成交供应商应承担由此给采购人造成的损失。</w:t>
      </w:r>
    </w:p>
    <w:p w14:paraId="471E9F4B">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2.3 安装标准：符合我国国家有关技术规范要求和技术标准，所有的软件和硬件必须保证同时安装到位。</w:t>
      </w:r>
    </w:p>
    <w:p w14:paraId="6E264CB7">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2.4 成交供应商免费提供合同货物的安装服务。</w:t>
      </w:r>
    </w:p>
    <w:p w14:paraId="1CD76C00">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2.5 响应供应商在响应文件中应提供安装调试计划、对安装场地和环境的要求。</w:t>
      </w:r>
    </w:p>
    <w:p w14:paraId="339F35F2">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3.成交供应商须在合同签订前提供所有硬件设备及软件设备证明材料，经销商的须提交经销证明，代理商的须提交代理证明，若两者都不是的，提交原厂正品说明。</w:t>
      </w:r>
    </w:p>
    <w:p w14:paraId="2E10DB45">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4. 提供针对本项目的技术方案说明</w:t>
      </w:r>
    </w:p>
    <w:p w14:paraId="6D2E3908">
      <w:pPr>
        <w:snapToGrid w:val="0"/>
        <w:spacing w:line="460" w:lineRule="exact"/>
        <w:ind w:firstLine="480" w:firstLineChars="200"/>
        <w:outlineLvl w:val="1"/>
        <w:rPr>
          <w:rFonts w:hint="eastAsia" w:ascii="宋体" w:hAnsi="宋体"/>
          <w:color w:val="auto"/>
          <w:sz w:val="24"/>
        </w:rPr>
      </w:pPr>
      <w:r>
        <w:rPr>
          <w:rFonts w:hint="eastAsia" w:ascii="宋体" w:hAnsi="宋体"/>
          <w:color w:val="auto"/>
          <w:sz w:val="24"/>
        </w:rPr>
        <w:t>5. 成交供应商须在合同签订前提供所有硬件设备及软件设备证明材料，经销商的须提交经销证明，代理商的须提交代理证明，若两者都不是的，提交原厂正品说明。</w:t>
      </w:r>
    </w:p>
    <w:p w14:paraId="16C5A288">
      <w:pPr>
        <w:snapToGrid w:val="0"/>
        <w:spacing w:line="460" w:lineRule="exact"/>
        <w:ind w:firstLine="480" w:firstLineChars="200"/>
        <w:outlineLvl w:val="1"/>
        <w:rPr>
          <w:rFonts w:ascii="宋体" w:hAnsi="宋体"/>
          <w:color w:val="auto"/>
          <w:sz w:val="24"/>
        </w:rPr>
      </w:pPr>
      <w:r>
        <w:rPr>
          <w:rFonts w:hint="eastAsia" w:ascii="宋体" w:hAnsi="宋体"/>
          <w:color w:val="auto"/>
          <w:sz w:val="24"/>
          <w:lang w:val="en-US" w:eastAsia="zh-CN"/>
        </w:rPr>
        <w:t>五</w:t>
      </w:r>
      <w:r>
        <w:rPr>
          <w:rFonts w:hint="eastAsia" w:ascii="宋体" w:hAnsi="宋体"/>
          <w:color w:val="auto"/>
          <w:sz w:val="24"/>
        </w:rPr>
        <w:t>、项目交付或者实施的时间和地点</w:t>
      </w:r>
    </w:p>
    <w:p w14:paraId="2EBEA1B3">
      <w:pPr>
        <w:spacing w:line="460" w:lineRule="exact"/>
        <w:ind w:firstLine="480" w:firstLineChars="200"/>
        <w:rPr>
          <w:rFonts w:ascii="宋体" w:hAnsi="宋体"/>
          <w:color w:val="auto"/>
          <w:sz w:val="24"/>
        </w:rPr>
      </w:pPr>
      <w:r>
        <w:rPr>
          <w:rFonts w:hint="eastAsia" w:ascii="宋体" w:hAnsi="宋体"/>
          <w:color w:val="auto"/>
          <w:sz w:val="24"/>
        </w:rPr>
        <w:t>1.地点：采购人指定地点。</w:t>
      </w:r>
    </w:p>
    <w:p w14:paraId="6D333FED">
      <w:pPr>
        <w:snapToGrid w:val="0"/>
        <w:spacing w:line="460" w:lineRule="exact"/>
        <w:ind w:firstLine="480" w:firstLineChars="200"/>
        <w:contextualSpacing/>
        <w:rPr>
          <w:rFonts w:hint="eastAsia" w:ascii="宋体" w:hAnsi="宋体"/>
          <w:color w:val="auto"/>
          <w:sz w:val="24"/>
        </w:rPr>
      </w:pPr>
      <w:r>
        <w:rPr>
          <w:rFonts w:hint="eastAsia" w:ascii="宋体" w:hAnsi="宋体"/>
          <w:color w:val="auto"/>
          <w:sz w:val="24"/>
        </w:rPr>
        <w:t>2.供货期：合同签订后90个日历天内完成供货及调试完毕</w:t>
      </w:r>
    </w:p>
    <w:p w14:paraId="376EE02F">
      <w:pPr>
        <w:snapToGrid w:val="0"/>
        <w:spacing w:line="460" w:lineRule="exact"/>
        <w:ind w:firstLine="480" w:firstLineChars="200"/>
        <w:contextualSpacing/>
        <w:rPr>
          <w:rFonts w:ascii="宋体" w:hAnsi="宋体"/>
          <w:color w:val="auto"/>
          <w:sz w:val="24"/>
        </w:rPr>
      </w:pPr>
      <w:r>
        <w:rPr>
          <w:rFonts w:hint="eastAsia" w:ascii="宋体" w:hAnsi="宋体"/>
          <w:color w:val="auto"/>
          <w:sz w:val="24"/>
          <w:lang w:val="en-US" w:eastAsia="zh-CN"/>
        </w:rPr>
        <w:t>六</w:t>
      </w:r>
      <w:r>
        <w:rPr>
          <w:rFonts w:hint="eastAsia" w:ascii="宋体" w:hAnsi="宋体"/>
          <w:color w:val="auto"/>
          <w:sz w:val="24"/>
        </w:rPr>
        <w:t>、付款方式：项目验收合格后付至合同价的9</w:t>
      </w:r>
      <w:r>
        <w:rPr>
          <w:rFonts w:ascii="宋体" w:hAnsi="宋体"/>
          <w:color w:val="auto"/>
          <w:sz w:val="24"/>
        </w:rPr>
        <w:t>5</w:t>
      </w:r>
      <w:r>
        <w:rPr>
          <w:rFonts w:hint="eastAsia" w:ascii="宋体" w:hAnsi="宋体"/>
          <w:color w:val="auto"/>
          <w:sz w:val="24"/>
        </w:rPr>
        <w:t>%，余款</w:t>
      </w:r>
      <w:r>
        <w:rPr>
          <w:rFonts w:ascii="宋体" w:hAnsi="宋体"/>
          <w:color w:val="auto"/>
          <w:sz w:val="24"/>
        </w:rPr>
        <w:t>5</w:t>
      </w:r>
      <w:r>
        <w:rPr>
          <w:rFonts w:hint="eastAsia" w:ascii="宋体" w:hAnsi="宋体"/>
          <w:color w:val="auto"/>
          <w:sz w:val="24"/>
        </w:rPr>
        <w:t>%待</w:t>
      </w:r>
      <w:r>
        <w:rPr>
          <w:rFonts w:hint="eastAsia" w:ascii="宋体" w:hAnsi="宋体"/>
          <w:color w:val="auto"/>
          <w:sz w:val="24"/>
          <w:lang w:val="en-US" w:eastAsia="zh-CN"/>
        </w:rPr>
        <w:t>两</w:t>
      </w:r>
      <w:r>
        <w:rPr>
          <w:rFonts w:hint="eastAsia" w:ascii="宋体" w:hAnsi="宋体"/>
          <w:color w:val="auto"/>
          <w:sz w:val="24"/>
        </w:rPr>
        <w:t>年后无任何质量问题一次性付清。</w:t>
      </w:r>
    </w:p>
    <w:p w14:paraId="3B811820">
      <w:pPr>
        <w:snapToGrid w:val="0"/>
        <w:spacing w:line="460" w:lineRule="exact"/>
        <w:ind w:firstLine="480" w:firstLineChars="200"/>
        <w:contextualSpacing/>
        <w:rPr>
          <w:rFonts w:ascii="宋体" w:hAnsi="宋体"/>
          <w:color w:val="auto"/>
          <w:sz w:val="24"/>
        </w:rPr>
      </w:pPr>
      <w:r>
        <w:rPr>
          <w:rFonts w:hint="eastAsia" w:ascii="宋体" w:hAnsi="宋体"/>
          <w:color w:val="auto"/>
          <w:sz w:val="24"/>
          <w:lang w:val="en-US" w:eastAsia="zh-CN"/>
        </w:rPr>
        <w:t>七</w:t>
      </w:r>
      <w:r>
        <w:rPr>
          <w:rFonts w:hint="eastAsia" w:ascii="宋体" w:hAnsi="宋体"/>
          <w:color w:val="auto"/>
          <w:sz w:val="24"/>
        </w:rPr>
        <w:t>、本项目涉及到的现场勘察</w:t>
      </w:r>
    </w:p>
    <w:p w14:paraId="65974038">
      <w:pPr>
        <w:spacing w:line="500" w:lineRule="exact"/>
        <w:ind w:firstLine="480" w:firstLineChars="200"/>
        <w:rPr>
          <w:rFonts w:ascii="宋体" w:hAnsi="宋体"/>
          <w:color w:val="auto"/>
          <w:sz w:val="24"/>
        </w:rPr>
      </w:pPr>
      <w:r>
        <w:rPr>
          <w:rFonts w:hint="eastAsia" w:ascii="宋体" w:hAnsi="宋体"/>
          <w:color w:val="auto"/>
          <w:sz w:val="24"/>
        </w:rPr>
        <w:t>1.磋商文件所提供的项目相关数据仅做参考，根据自身需要，供应商应在投标文件递交之日前对有关现场和周围环境进行勘察，以获取编制投标文件和签署合同所需的信息。勘察现场所发生的费用由供应商自己承担。</w:t>
      </w:r>
    </w:p>
    <w:p w14:paraId="1F56D6AA">
      <w:pPr>
        <w:spacing w:line="500" w:lineRule="exact"/>
        <w:ind w:firstLine="480" w:firstLineChars="200"/>
        <w:rPr>
          <w:rFonts w:ascii="宋体" w:hAnsi="宋体"/>
          <w:color w:val="auto"/>
          <w:sz w:val="24"/>
        </w:rPr>
      </w:pPr>
      <w:r>
        <w:rPr>
          <w:rFonts w:hint="eastAsia" w:ascii="宋体" w:hAnsi="宋体"/>
          <w:color w:val="auto"/>
          <w:sz w:val="24"/>
        </w:rPr>
        <w:t>2.采购单位向供应商提供的有关现场的资料和数据，是采购单位现有的并认为能使供应商可利用的资料。采购单位对供应商由此而做出的推论、理解和结论概不负责。</w:t>
      </w:r>
    </w:p>
    <w:p w14:paraId="1481EBAE">
      <w:pPr>
        <w:spacing w:line="500" w:lineRule="exact"/>
        <w:ind w:firstLine="480" w:firstLineChars="200"/>
        <w:rPr>
          <w:rFonts w:ascii="宋体" w:hAnsi="宋体"/>
          <w:color w:val="auto"/>
          <w:sz w:val="24"/>
        </w:rPr>
      </w:pPr>
      <w:r>
        <w:rPr>
          <w:rFonts w:hint="eastAsia" w:ascii="宋体" w:hAnsi="宋体"/>
          <w:color w:val="auto"/>
          <w:sz w:val="24"/>
        </w:rPr>
        <w:t>3.经采购单位允许，供应商可为勘察目的进入采购单位的项目现场，但供应商不得因此使采购单位承担有关的责任和蒙受损失。供应商应承担勘察现场的责任和风险。</w:t>
      </w:r>
    </w:p>
    <w:p w14:paraId="07F39319">
      <w:pPr>
        <w:spacing w:line="500" w:lineRule="exact"/>
        <w:ind w:firstLine="480" w:firstLineChars="200"/>
        <w:rPr>
          <w:rFonts w:ascii="宋体" w:hAnsi="宋体"/>
          <w:color w:val="auto"/>
          <w:sz w:val="24"/>
        </w:rPr>
      </w:pPr>
      <w:r>
        <w:rPr>
          <w:rFonts w:hint="eastAsia" w:ascii="宋体" w:hAnsi="宋体"/>
          <w:color w:val="auto"/>
          <w:sz w:val="24"/>
        </w:rPr>
        <w:t>4.供应商应认真踏勘现场。在现场勘察时，熟悉维修现场、现场周围交通道路等情况，以获得一切可能影响其投标的直接资料。供应商中标后，不得以不完全了解现场情况为理由而向采购单位提出任何索赔的要求，对此采购单位不承担任何责任并将不作任何答复与考虑。</w:t>
      </w:r>
    </w:p>
    <w:p w14:paraId="455005B7">
      <w:pPr>
        <w:spacing w:line="500" w:lineRule="exact"/>
        <w:ind w:firstLine="480" w:firstLineChars="200"/>
        <w:rPr>
          <w:rFonts w:hint="eastAsia" w:ascii="宋体" w:hAnsi="宋体"/>
          <w:color w:val="auto"/>
          <w:sz w:val="24"/>
        </w:rPr>
      </w:pPr>
      <w:r>
        <w:rPr>
          <w:rFonts w:hint="eastAsia" w:ascii="宋体" w:hAnsi="宋体"/>
          <w:color w:val="auto"/>
          <w:sz w:val="24"/>
        </w:rPr>
        <w:t>5.采购人不组织集中现场踏勘，请自行前往，根据现场情况及文件规定，自行根据可行的方案进行报价，结算时一律不作调整。</w:t>
      </w:r>
    </w:p>
    <w:p w14:paraId="47BB9181">
      <w:pPr>
        <w:spacing w:line="500" w:lineRule="exact"/>
        <w:ind w:firstLine="480" w:firstLineChars="200"/>
        <w:rPr>
          <w:rFonts w:hint="eastAsia" w:ascii="宋体" w:hAnsi="宋体"/>
          <w:color w:val="auto"/>
          <w:sz w:val="24"/>
          <w:lang w:val="en-US" w:eastAsia="zh-CN"/>
        </w:rPr>
      </w:pPr>
      <w:r>
        <w:rPr>
          <w:rFonts w:hint="eastAsia" w:ascii="宋体" w:hAnsi="宋体"/>
          <w:color w:val="auto"/>
          <w:sz w:val="24"/>
        </w:rPr>
        <w:t>现场勘查联系人：</w:t>
      </w:r>
      <w:r>
        <w:rPr>
          <w:rFonts w:hint="eastAsia" w:ascii="宋体" w:hAnsi="宋体"/>
          <w:color w:val="auto"/>
          <w:sz w:val="24"/>
          <w:lang w:val="en-US" w:eastAsia="zh-CN"/>
        </w:rPr>
        <w:t>冒菲菲</w:t>
      </w:r>
    </w:p>
    <w:p w14:paraId="3AC7E966">
      <w:pPr>
        <w:spacing w:line="500" w:lineRule="exact"/>
        <w:ind w:firstLine="480" w:firstLineChars="200"/>
        <w:rPr>
          <w:rFonts w:ascii="宋体" w:hAnsi="宋体"/>
          <w:color w:val="auto"/>
          <w:sz w:val="24"/>
        </w:rPr>
      </w:pPr>
      <w:r>
        <w:rPr>
          <w:rFonts w:hint="eastAsia" w:ascii="宋体" w:hAnsi="宋体"/>
          <w:color w:val="auto"/>
          <w:sz w:val="24"/>
        </w:rPr>
        <w:t>联系电话：</w:t>
      </w:r>
      <w:r>
        <w:rPr>
          <w:rFonts w:hint="eastAsia" w:ascii="宋体" w:hAnsi="宋体"/>
          <w:color w:val="auto"/>
          <w:sz w:val="24"/>
          <w:lang w:val="en-US" w:eastAsia="zh-CN"/>
        </w:rPr>
        <w:t>13962934675</w:t>
      </w:r>
      <w:r>
        <w:rPr>
          <w:rFonts w:hint="eastAsia" w:ascii="宋体" w:hAnsi="宋体"/>
          <w:color w:val="auto"/>
          <w:sz w:val="24"/>
        </w:rPr>
        <w:t xml:space="preserve"> </w:t>
      </w:r>
    </w:p>
    <w:p w14:paraId="38AA4C85">
      <w:pPr>
        <w:spacing w:line="460" w:lineRule="exact"/>
        <w:ind w:firstLine="560" w:firstLineChars="200"/>
        <w:rPr>
          <w:rFonts w:ascii="宋体" w:hAnsi="宋体" w:cs="宋体"/>
          <w:color w:val="auto"/>
          <w:sz w:val="28"/>
          <w:szCs w:val="28"/>
        </w:rPr>
      </w:pPr>
    </w:p>
    <w:p w14:paraId="4A836CBE">
      <w:pPr>
        <w:spacing w:line="460" w:lineRule="exact"/>
        <w:ind w:firstLine="720" w:firstLineChars="200"/>
        <w:jc w:val="center"/>
        <w:rPr>
          <w:rFonts w:ascii="宋体" w:hAnsi="宋体" w:cs="宋体"/>
          <w:b/>
          <w:color w:val="auto"/>
          <w:sz w:val="32"/>
          <w:szCs w:val="32"/>
        </w:rPr>
      </w:pPr>
      <w:r>
        <w:rPr>
          <w:rFonts w:hint="eastAsia" w:ascii="宋体" w:hAnsi="宋体" w:cs="宋体"/>
          <w:bCs/>
          <w:color w:val="auto"/>
          <w:sz w:val="36"/>
          <w:szCs w:val="36"/>
        </w:rPr>
        <w:br w:type="page"/>
      </w:r>
      <w:r>
        <w:rPr>
          <w:rFonts w:hint="eastAsia" w:ascii="宋体" w:hAnsi="宋体" w:cs="宋体"/>
          <w:bCs/>
          <w:color w:val="auto"/>
          <w:sz w:val="36"/>
          <w:szCs w:val="36"/>
        </w:rPr>
        <w:t>第四部分 评审方法和评审标准</w:t>
      </w:r>
    </w:p>
    <w:p w14:paraId="309F966A">
      <w:pPr>
        <w:adjustRightInd w:val="0"/>
        <w:snapToGrid w:val="0"/>
        <w:spacing w:line="460" w:lineRule="exact"/>
        <w:ind w:firstLine="562" w:firstLineChars="200"/>
        <w:jc w:val="left"/>
        <w:textAlignment w:val="baseline"/>
        <w:outlineLvl w:val="1"/>
        <w:rPr>
          <w:rFonts w:ascii="宋体" w:hAnsi="宋体" w:cs="宋体"/>
          <w:b/>
          <w:color w:val="auto"/>
          <w:sz w:val="28"/>
          <w:szCs w:val="28"/>
        </w:rPr>
      </w:pPr>
      <w:r>
        <w:rPr>
          <w:rFonts w:hint="eastAsia" w:ascii="宋体" w:hAnsi="宋体" w:cs="宋体"/>
          <w:b/>
          <w:color w:val="auto"/>
          <w:sz w:val="28"/>
          <w:szCs w:val="28"/>
        </w:rPr>
        <w:t>一、</w:t>
      </w:r>
      <w:r>
        <w:rPr>
          <w:rFonts w:hint="eastAsia" w:ascii="宋体" w:hAnsi="宋体" w:cs="宋体"/>
          <w:bCs/>
          <w:color w:val="auto"/>
          <w:sz w:val="28"/>
          <w:szCs w:val="28"/>
        </w:rPr>
        <w:t>磋商方式</w:t>
      </w:r>
    </w:p>
    <w:p w14:paraId="4E8EE772">
      <w:pPr>
        <w:tabs>
          <w:tab w:val="left" w:pos="3585"/>
        </w:tabs>
        <w:adjustRightInd w:val="0"/>
        <w:snapToGrid w:val="0"/>
        <w:spacing w:line="460" w:lineRule="exact"/>
        <w:ind w:firstLine="537" w:firstLineChars="192"/>
        <w:rPr>
          <w:rFonts w:ascii="宋体" w:hAnsi="宋体" w:cs="宋体"/>
          <w:color w:val="auto"/>
          <w:sz w:val="28"/>
          <w:szCs w:val="28"/>
        </w:rPr>
      </w:pPr>
      <w:r>
        <w:rPr>
          <w:rFonts w:hint="eastAsia" w:ascii="宋体" w:hAnsi="宋体" w:cs="宋体"/>
          <w:color w:val="auto"/>
          <w:sz w:val="28"/>
          <w:szCs w:val="28"/>
        </w:rPr>
        <w:t>见面磋商模式：供应商在采购文件规定的时间和地点参加磋商活动。</w:t>
      </w:r>
    </w:p>
    <w:p w14:paraId="41CFCCB4">
      <w:pPr>
        <w:adjustRightInd w:val="0"/>
        <w:snapToGrid w:val="0"/>
        <w:spacing w:line="460" w:lineRule="exact"/>
        <w:ind w:firstLine="562" w:firstLineChars="200"/>
        <w:jc w:val="left"/>
        <w:textAlignment w:val="baseline"/>
        <w:outlineLvl w:val="1"/>
        <w:rPr>
          <w:rFonts w:ascii="宋体" w:hAnsi="宋体" w:cs="宋体"/>
          <w:color w:val="auto"/>
          <w:sz w:val="28"/>
          <w:szCs w:val="28"/>
        </w:rPr>
      </w:pPr>
      <w:r>
        <w:rPr>
          <w:rFonts w:hint="eastAsia" w:ascii="宋体" w:hAnsi="宋体" w:cs="宋体"/>
          <w:b/>
          <w:color w:val="auto"/>
          <w:sz w:val="28"/>
          <w:szCs w:val="28"/>
        </w:rPr>
        <w:t>二、</w:t>
      </w:r>
      <w:r>
        <w:rPr>
          <w:rFonts w:hint="eastAsia" w:ascii="宋体" w:hAnsi="宋体" w:cs="宋体"/>
          <w:color w:val="auto"/>
          <w:sz w:val="28"/>
          <w:szCs w:val="28"/>
        </w:rPr>
        <w:t>磋商程序及评审方法和标准</w:t>
      </w:r>
    </w:p>
    <w:p w14:paraId="0F00AAFE">
      <w:pPr>
        <w:adjustRightInd w:val="0"/>
        <w:snapToGrid w:val="0"/>
        <w:spacing w:line="460" w:lineRule="exact"/>
        <w:ind w:firstLine="691" w:firstLineChars="247"/>
        <w:rPr>
          <w:rFonts w:ascii="宋体" w:hAnsi="宋体" w:cs="宋体"/>
          <w:bCs/>
          <w:color w:val="auto"/>
          <w:sz w:val="28"/>
          <w:szCs w:val="28"/>
        </w:rPr>
      </w:pPr>
      <w:r>
        <w:rPr>
          <w:rFonts w:hint="eastAsia" w:ascii="宋体" w:hAnsi="宋体" w:cs="宋体"/>
          <w:bCs/>
          <w:color w:val="auto"/>
          <w:sz w:val="28"/>
          <w:szCs w:val="28"/>
        </w:rPr>
        <w:t>1.评审方法：综合评分法，经磋商确定最终采购需求和提交最后报价的供应商后，由磋商小组采用综合评分法对提交最后报价的供应商的响应文件和最后报价进行综合评分。</w:t>
      </w:r>
    </w:p>
    <w:p w14:paraId="7FAE402E">
      <w:pPr>
        <w:adjustRightInd w:val="0"/>
        <w:snapToGrid w:val="0"/>
        <w:spacing w:line="460" w:lineRule="exact"/>
        <w:ind w:firstLine="700" w:firstLineChars="250"/>
        <w:rPr>
          <w:rFonts w:ascii="宋体" w:hAnsi="宋体" w:cs="宋体"/>
          <w:bCs/>
          <w:color w:val="auto"/>
          <w:sz w:val="28"/>
          <w:szCs w:val="28"/>
        </w:rPr>
      </w:pPr>
      <w:r>
        <w:rPr>
          <w:rFonts w:hint="eastAsia" w:ascii="宋体" w:hAnsi="宋体" w:cs="宋体"/>
          <w:bCs/>
          <w:color w:val="auto"/>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23C411ED">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14:paraId="2FE22439">
      <w:pPr>
        <w:adjustRightInd w:val="0"/>
        <w:snapToGrid w:val="0"/>
        <w:spacing w:line="460" w:lineRule="exact"/>
        <w:ind w:firstLine="555"/>
        <w:rPr>
          <w:rFonts w:ascii="宋体" w:hAnsi="宋体" w:cs="宋体"/>
          <w:color w:val="auto"/>
          <w:sz w:val="28"/>
          <w:szCs w:val="28"/>
        </w:rPr>
      </w:pPr>
      <w:r>
        <w:rPr>
          <w:rFonts w:hint="eastAsia" w:ascii="宋体" w:hAnsi="宋体" w:cs="宋体"/>
          <w:color w:val="auto"/>
          <w:sz w:val="28"/>
          <w:szCs w:val="28"/>
        </w:rPr>
        <w:t>供应商商务、技术部分和价格部分的合计分值，为该供应商的评审总得分。</w:t>
      </w:r>
    </w:p>
    <w:p w14:paraId="6EE97C1A">
      <w:pPr>
        <w:adjustRightInd w:val="0"/>
        <w:snapToGrid w:val="0"/>
        <w:spacing w:line="460" w:lineRule="exact"/>
        <w:ind w:firstLine="555"/>
        <w:rPr>
          <w:rFonts w:ascii="宋体" w:hAnsi="宋体" w:cs="宋体"/>
          <w:color w:val="auto"/>
          <w:sz w:val="28"/>
          <w:szCs w:val="28"/>
        </w:rPr>
      </w:pPr>
      <w:r>
        <w:rPr>
          <w:rFonts w:hint="eastAsia" w:ascii="宋体" w:hAnsi="宋体" w:cs="宋体"/>
          <w:color w:val="auto"/>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7C4FE3FB">
      <w:pPr>
        <w:adjustRightInd w:val="0"/>
        <w:snapToGrid w:val="0"/>
        <w:spacing w:line="460" w:lineRule="exact"/>
        <w:ind w:firstLine="555"/>
        <w:rPr>
          <w:rFonts w:ascii="宋体" w:hAnsi="宋体" w:cs="宋体"/>
          <w:color w:val="auto"/>
          <w:sz w:val="28"/>
          <w:szCs w:val="28"/>
        </w:rPr>
      </w:pPr>
      <w:r>
        <w:rPr>
          <w:rFonts w:hint="eastAsia" w:ascii="宋体" w:hAnsi="宋体" w:cs="宋体"/>
          <w:color w:val="auto"/>
          <w:sz w:val="28"/>
          <w:szCs w:val="28"/>
        </w:rPr>
        <w:t>评委在认真审阅响应文件的基础上，根据各响应文件的响应程度独立评判，不得统一打分。</w:t>
      </w:r>
    </w:p>
    <w:p w14:paraId="57135E41">
      <w:pPr>
        <w:adjustRightInd w:val="0"/>
        <w:snapToGrid w:val="0"/>
        <w:spacing w:line="460" w:lineRule="exact"/>
        <w:ind w:firstLine="555"/>
        <w:rPr>
          <w:rFonts w:ascii="宋体" w:hAnsi="宋体" w:cs="宋体"/>
          <w:color w:val="auto"/>
          <w:sz w:val="28"/>
          <w:szCs w:val="28"/>
        </w:rPr>
      </w:pPr>
      <w:r>
        <w:rPr>
          <w:rFonts w:hint="eastAsia" w:ascii="宋体" w:hAnsi="宋体" w:cs="宋体"/>
          <w:color w:val="auto"/>
          <w:sz w:val="28"/>
          <w:szCs w:val="28"/>
        </w:rPr>
        <w:t>技术商务部分评审结束后，再开启最后报价计算分值。总分值为100分，加分和减分因素除外。</w:t>
      </w:r>
    </w:p>
    <w:p w14:paraId="04BBE021">
      <w:pPr>
        <w:adjustRightInd w:val="0"/>
        <w:snapToGrid w:val="0"/>
        <w:spacing w:line="460" w:lineRule="exact"/>
        <w:ind w:firstLine="579" w:firstLineChars="206"/>
        <w:outlineLvl w:val="2"/>
        <w:rPr>
          <w:rFonts w:ascii="宋体" w:hAnsi="宋体" w:cs="宋体"/>
          <w:b/>
          <w:color w:val="auto"/>
          <w:sz w:val="28"/>
          <w:szCs w:val="28"/>
        </w:rPr>
      </w:pPr>
      <w:r>
        <w:rPr>
          <w:rFonts w:hint="eastAsia" w:ascii="宋体" w:hAnsi="宋体" w:cs="宋体"/>
          <w:b/>
          <w:color w:val="auto"/>
          <w:sz w:val="28"/>
          <w:szCs w:val="28"/>
        </w:rPr>
        <w:t>（一）采购人（代表）对供应商资格进行审查。</w:t>
      </w:r>
    </w:p>
    <w:p w14:paraId="7A6331A6">
      <w:pPr>
        <w:adjustRightInd w:val="0"/>
        <w:snapToGrid w:val="0"/>
        <w:spacing w:line="460" w:lineRule="exact"/>
        <w:ind w:firstLine="576" w:firstLineChars="206"/>
        <w:rPr>
          <w:rFonts w:ascii="宋体" w:hAnsi="宋体" w:cs="宋体"/>
          <w:color w:val="auto"/>
          <w:kern w:val="0"/>
          <w:sz w:val="28"/>
          <w:szCs w:val="28"/>
        </w:rPr>
      </w:pPr>
      <w:r>
        <w:rPr>
          <w:rFonts w:hint="eastAsia" w:ascii="宋体" w:hAnsi="宋体" w:cs="宋体"/>
          <w:color w:val="auto"/>
          <w:kern w:val="0"/>
          <w:sz w:val="28"/>
          <w:szCs w:val="28"/>
        </w:rPr>
        <w:t>供应商资格不合格的，其响应文件判定为无效响应文件。</w:t>
      </w:r>
    </w:p>
    <w:p w14:paraId="2637B391">
      <w:pPr>
        <w:adjustRightInd w:val="0"/>
        <w:snapToGrid w:val="0"/>
        <w:spacing w:line="460" w:lineRule="exact"/>
        <w:ind w:firstLine="579" w:firstLineChars="206"/>
        <w:outlineLvl w:val="2"/>
        <w:rPr>
          <w:rFonts w:ascii="宋体" w:hAnsi="宋体" w:cs="宋体"/>
          <w:b/>
          <w:color w:val="auto"/>
          <w:sz w:val="28"/>
          <w:szCs w:val="28"/>
        </w:rPr>
      </w:pPr>
      <w:r>
        <w:rPr>
          <w:rFonts w:hint="eastAsia" w:ascii="宋体" w:hAnsi="宋体" w:cs="宋体"/>
          <w:b/>
          <w:color w:val="auto"/>
          <w:sz w:val="28"/>
          <w:szCs w:val="28"/>
        </w:rPr>
        <w:t>（二）磋商小组对符合资格供应商的响应文件进行符合性审查。</w:t>
      </w:r>
    </w:p>
    <w:p w14:paraId="1C9A56B7">
      <w:pPr>
        <w:adjustRightInd w:val="0"/>
        <w:snapToGrid w:val="0"/>
        <w:spacing w:line="460" w:lineRule="exact"/>
        <w:ind w:firstLine="576" w:firstLineChars="206"/>
        <w:rPr>
          <w:rFonts w:ascii="宋体" w:hAnsi="宋体" w:cs="宋体"/>
          <w:color w:val="auto"/>
          <w:kern w:val="0"/>
          <w:sz w:val="28"/>
          <w:szCs w:val="28"/>
        </w:rPr>
      </w:pPr>
      <w:r>
        <w:rPr>
          <w:rFonts w:hint="eastAsia" w:ascii="宋体" w:hAnsi="宋体" w:cs="宋体"/>
          <w:color w:val="auto"/>
          <w:kern w:val="0"/>
          <w:sz w:val="28"/>
          <w:szCs w:val="28"/>
        </w:rPr>
        <w:t xml:space="preserve">未通过符合性审查的响应文件，将被判为不满足磋商文件实质性要求。 </w:t>
      </w:r>
    </w:p>
    <w:p w14:paraId="5BD4FAE3">
      <w:pPr>
        <w:adjustRightInd w:val="0"/>
        <w:snapToGrid w:val="0"/>
        <w:spacing w:line="460" w:lineRule="exact"/>
        <w:ind w:firstLine="560" w:firstLineChars="200"/>
        <w:jc w:val="left"/>
        <w:outlineLvl w:val="2"/>
        <w:rPr>
          <w:rFonts w:ascii="宋体" w:hAnsi="宋体" w:cs="宋体"/>
          <w:color w:val="auto"/>
          <w:sz w:val="28"/>
          <w:szCs w:val="28"/>
          <w:lang w:val="zh-CN"/>
        </w:rPr>
      </w:pPr>
      <w:r>
        <w:rPr>
          <w:rFonts w:hint="eastAsia" w:ascii="宋体" w:hAnsi="宋体" w:cs="宋体"/>
          <w:color w:val="auto"/>
          <w:sz w:val="28"/>
          <w:szCs w:val="28"/>
          <w:lang w:val="zh-CN"/>
        </w:rPr>
        <w:t>（三）商务技术分：</w:t>
      </w:r>
      <w:r>
        <w:rPr>
          <w:rFonts w:hint="eastAsia" w:ascii="宋体" w:hAnsi="宋体" w:cs="宋体"/>
          <w:color w:val="auto"/>
          <w:sz w:val="28"/>
          <w:szCs w:val="28"/>
        </w:rPr>
        <w:t>70</w:t>
      </w:r>
      <w:r>
        <w:rPr>
          <w:rFonts w:hint="eastAsia" w:ascii="宋体" w:hAnsi="宋体" w:cs="宋体"/>
          <w:color w:val="auto"/>
          <w:sz w:val="28"/>
          <w:szCs w:val="28"/>
          <w:lang w:val="zh-CN"/>
        </w:rPr>
        <w:t>分</w:t>
      </w:r>
    </w:p>
    <w:p w14:paraId="701C066A">
      <w:pPr>
        <w:adjustRightInd w:val="0"/>
        <w:snapToGrid w:val="0"/>
        <w:spacing w:line="4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各供应商得分为磋商小组成员评分的算术平均分，分值保留小数点后两位。</w:t>
      </w:r>
    </w:p>
    <w:tbl>
      <w:tblPr>
        <w:tblStyle w:val="31"/>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468"/>
        <w:gridCol w:w="7240"/>
        <w:gridCol w:w="844"/>
      </w:tblGrid>
      <w:tr w14:paraId="2856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jc w:val="center"/>
        </w:trPr>
        <w:tc>
          <w:tcPr>
            <w:tcW w:w="697" w:type="dxa"/>
            <w:tcBorders>
              <w:top w:val="single" w:color="auto" w:sz="4" w:space="0"/>
              <w:left w:val="single" w:color="auto" w:sz="4" w:space="0"/>
              <w:bottom w:val="single" w:color="auto" w:sz="4" w:space="0"/>
              <w:right w:val="single" w:color="auto" w:sz="4" w:space="0"/>
            </w:tcBorders>
            <w:vAlign w:val="center"/>
          </w:tcPr>
          <w:p w14:paraId="1DBF8C1C">
            <w:pPr>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14DC5AFA">
            <w:pPr>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评分因素</w:t>
            </w:r>
          </w:p>
        </w:tc>
        <w:tc>
          <w:tcPr>
            <w:tcW w:w="7240" w:type="dxa"/>
            <w:tcBorders>
              <w:top w:val="single" w:color="auto" w:sz="4" w:space="0"/>
              <w:left w:val="single" w:color="auto" w:sz="4" w:space="0"/>
              <w:bottom w:val="single" w:color="auto" w:sz="4" w:space="0"/>
              <w:right w:val="single" w:color="auto" w:sz="4" w:space="0"/>
            </w:tcBorders>
            <w:vAlign w:val="center"/>
          </w:tcPr>
          <w:p w14:paraId="2A01ECF2">
            <w:pPr>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评审标准</w:t>
            </w:r>
          </w:p>
        </w:tc>
        <w:tc>
          <w:tcPr>
            <w:tcW w:w="844" w:type="dxa"/>
            <w:tcBorders>
              <w:top w:val="single" w:color="auto" w:sz="4" w:space="0"/>
              <w:left w:val="single" w:color="auto" w:sz="4" w:space="0"/>
              <w:bottom w:val="single" w:color="auto" w:sz="4" w:space="0"/>
              <w:right w:val="single" w:color="auto" w:sz="4" w:space="0"/>
            </w:tcBorders>
            <w:vAlign w:val="center"/>
          </w:tcPr>
          <w:p w14:paraId="5A6676D8">
            <w:pPr>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25C2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blHeader/>
          <w:jc w:val="center"/>
        </w:trPr>
        <w:tc>
          <w:tcPr>
            <w:tcW w:w="697" w:type="dxa"/>
            <w:tcBorders>
              <w:top w:val="single" w:color="auto" w:sz="4" w:space="0"/>
              <w:left w:val="single" w:color="auto" w:sz="4" w:space="0"/>
              <w:right w:val="single" w:color="auto" w:sz="4" w:space="0"/>
            </w:tcBorders>
            <w:vAlign w:val="center"/>
          </w:tcPr>
          <w:p w14:paraId="3250DB95">
            <w:pPr>
              <w:spacing w:line="36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1468" w:type="dxa"/>
            <w:tcBorders>
              <w:top w:val="single" w:color="auto" w:sz="4" w:space="0"/>
              <w:left w:val="single" w:color="auto" w:sz="4" w:space="0"/>
              <w:right w:val="single" w:color="auto" w:sz="4" w:space="0"/>
            </w:tcBorders>
            <w:vAlign w:val="center"/>
          </w:tcPr>
          <w:p w14:paraId="262FF72E">
            <w:pPr>
              <w:spacing w:line="360" w:lineRule="exact"/>
              <w:jc w:val="center"/>
              <w:rPr>
                <w:rFonts w:ascii="宋体" w:hAnsi="宋体" w:cs="宋体"/>
                <w:bCs/>
                <w:color w:val="auto"/>
                <w:kern w:val="0"/>
                <w:szCs w:val="21"/>
                <w:highlight w:val="none"/>
              </w:rPr>
            </w:pPr>
            <w:r>
              <w:rPr>
                <w:rFonts w:hint="eastAsia" w:ascii="宋体" w:hAnsi="宋体" w:cs="宋体"/>
                <w:bCs/>
                <w:color w:val="auto"/>
                <w:szCs w:val="21"/>
                <w:highlight w:val="none"/>
              </w:rPr>
              <w:t>功能技术参数响应情况（</w:t>
            </w:r>
            <w:r>
              <w:rPr>
                <w:rFonts w:hint="eastAsia" w:ascii="宋体" w:hAnsi="宋体" w:cs="宋体"/>
                <w:bCs/>
                <w:color w:val="auto"/>
                <w:szCs w:val="21"/>
                <w:highlight w:val="none"/>
                <w:lang w:val="en-US" w:eastAsia="zh-CN"/>
              </w:rPr>
              <w:t>40</w:t>
            </w:r>
            <w:r>
              <w:rPr>
                <w:rFonts w:hint="eastAsia" w:ascii="宋体" w:hAnsi="宋体" w:cs="宋体"/>
                <w:bCs/>
                <w:color w:val="auto"/>
                <w:szCs w:val="21"/>
                <w:highlight w:val="none"/>
              </w:rPr>
              <w:t>分）</w:t>
            </w:r>
          </w:p>
        </w:tc>
        <w:tc>
          <w:tcPr>
            <w:tcW w:w="7240" w:type="dxa"/>
            <w:tcBorders>
              <w:top w:val="single" w:color="auto" w:sz="4" w:space="0"/>
              <w:left w:val="single" w:color="auto" w:sz="4" w:space="0"/>
              <w:bottom w:val="single" w:color="auto" w:sz="4" w:space="0"/>
              <w:right w:val="single" w:color="auto" w:sz="4" w:space="0"/>
            </w:tcBorders>
            <w:vAlign w:val="center"/>
          </w:tcPr>
          <w:p w14:paraId="2CC238A6">
            <w:pPr>
              <w:spacing w:line="360" w:lineRule="exac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全部响应即满足采购文件功能技术参数要求的得</w:t>
            </w:r>
            <w:r>
              <w:rPr>
                <w:rFonts w:hint="eastAsia" w:ascii="宋体" w:hAnsi="宋体" w:cs="宋体"/>
                <w:bCs/>
                <w:color w:val="auto"/>
                <w:szCs w:val="21"/>
                <w:highlight w:val="none"/>
                <w:lang w:val="en-US" w:eastAsia="zh-CN"/>
              </w:rPr>
              <w:t>40</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带</w:t>
            </w:r>
            <w:r>
              <w:rPr>
                <w:rFonts w:hint="eastAsia" w:ascii="宋体" w:hAnsi="宋体" w:cs="宋体"/>
                <w:color w:val="auto"/>
                <w:szCs w:val="21"/>
                <w:highlight w:val="none"/>
              </w:rPr>
              <w:t>★</w:t>
            </w:r>
            <w:r>
              <w:rPr>
                <w:rFonts w:hint="eastAsia" w:ascii="宋体" w:hAnsi="宋体" w:cs="宋体"/>
                <w:bCs/>
                <w:color w:val="auto"/>
                <w:szCs w:val="21"/>
                <w:highlight w:val="none"/>
              </w:rPr>
              <w:t>（即重要参数）的参数</w:t>
            </w:r>
            <w:r>
              <w:rPr>
                <w:rFonts w:hint="eastAsia" w:ascii="宋体" w:hAnsi="宋体" w:cs="宋体"/>
                <w:bCs/>
                <w:color w:val="auto"/>
                <w:szCs w:val="21"/>
                <w:highlight w:val="none"/>
                <w:lang w:val="en-US" w:eastAsia="zh-CN"/>
              </w:rPr>
              <w:t>必须完全响应，否则为无效标</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带</w:t>
            </w:r>
            <w:r>
              <w:rPr>
                <w:rFonts w:hint="default" w:ascii="Times New Roman Regular" w:hAnsi="Times New Roman Regular" w:eastAsia="宋体" w:cs="Times New Roman Regular"/>
                <w:b w:val="0"/>
                <w:bCs w:val="0"/>
                <w:color w:val="auto"/>
                <w:sz w:val="21"/>
                <w:szCs w:val="21"/>
                <w:highlight w:val="none"/>
              </w:rPr>
              <w:t>△</w:t>
            </w:r>
            <w:r>
              <w:rPr>
                <w:rFonts w:hint="eastAsia" w:ascii="宋体" w:hAnsi="宋体" w:cs="宋体"/>
                <w:bCs/>
                <w:color w:val="auto"/>
                <w:szCs w:val="21"/>
                <w:highlight w:val="none"/>
              </w:rPr>
              <w:t>参数有负偏离的每项扣</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一般参数有负偏离的每项扣</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扣完为止（投标供应商需</w:t>
            </w:r>
            <w:r>
              <w:rPr>
                <w:rFonts w:hint="eastAsia" w:ascii="宋体" w:hAnsi="宋体" w:eastAsia="宋体" w:cs="宋体"/>
                <w:bCs/>
                <w:color w:val="auto"/>
                <w:szCs w:val="21"/>
                <w:highlight w:val="none"/>
              </w:rPr>
              <w:t>按照本采购文件第三</w:t>
            </w:r>
            <w:r>
              <w:rPr>
                <w:rFonts w:hint="eastAsia" w:ascii="宋体" w:hAnsi="宋体" w:eastAsia="宋体" w:cs="宋体"/>
                <w:bCs/>
                <w:color w:val="auto"/>
                <w:szCs w:val="21"/>
                <w:highlight w:val="none"/>
                <w:lang w:val="en-US" w:eastAsia="zh-CN"/>
              </w:rPr>
              <w:t>部分</w:t>
            </w:r>
            <w:r>
              <w:rPr>
                <w:rFonts w:hint="eastAsia" w:ascii="宋体" w:hAnsi="宋体" w:eastAsia="宋体" w:cs="宋体"/>
                <w:bCs/>
                <w:color w:val="auto"/>
                <w:szCs w:val="21"/>
                <w:highlight w:val="none"/>
              </w:rPr>
              <w:t>的项目需求，在偏离表中如实详细填列所投产品的参数，并按采购文件要求提供相应证明材料并在偏离表中标明所在页码，否则评标委员会有权做负偏离处理）</w:t>
            </w:r>
            <w:r>
              <w:rPr>
                <w:rFonts w:hint="eastAsia" w:ascii="宋体" w:hAnsi="宋体" w:cs="宋体"/>
                <w:bCs/>
                <w:color w:val="auto"/>
                <w:szCs w:val="21"/>
                <w:highlight w:val="none"/>
                <w:lang w:eastAsia="zh-CN"/>
              </w:rPr>
              <w:t>。</w:t>
            </w:r>
          </w:p>
        </w:tc>
        <w:tc>
          <w:tcPr>
            <w:tcW w:w="844" w:type="dxa"/>
            <w:tcBorders>
              <w:top w:val="single" w:color="auto" w:sz="4" w:space="0"/>
              <w:left w:val="single" w:color="auto" w:sz="4" w:space="0"/>
              <w:bottom w:val="single" w:color="auto" w:sz="4" w:space="0"/>
              <w:right w:val="single" w:color="auto" w:sz="4" w:space="0"/>
            </w:tcBorders>
            <w:vAlign w:val="center"/>
          </w:tcPr>
          <w:p w14:paraId="7F0227F4">
            <w:pPr>
              <w:spacing w:line="360" w:lineRule="exact"/>
              <w:jc w:val="center"/>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40</w:t>
            </w:r>
          </w:p>
        </w:tc>
      </w:tr>
      <w:tr w14:paraId="6621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blHeader/>
          <w:jc w:val="center"/>
        </w:trPr>
        <w:tc>
          <w:tcPr>
            <w:tcW w:w="697" w:type="dxa"/>
            <w:tcBorders>
              <w:top w:val="single" w:color="auto" w:sz="4" w:space="0"/>
              <w:left w:val="single" w:color="auto" w:sz="4" w:space="0"/>
              <w:right w:val="single" w:color="auto" w:sz="4" w:space="0"/>
            </w:tcBorders>
            <w:vAlign w:val="center"/>
          </w:tcPr>
          <w:p w14:paraId="23F5F89D">
            <w:pPr>
              <w:spacing w:line="36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1468" w:type="dxa"/>
            <w:tcBorders>
              <w:top w:val="single" w:color="auto" w:sz="4" w:space="0"/>
              <w:left w:val="single" w:color="auto" w:sz="4" w:space="0"/>
              <w:right w:val="single" w:color="auto" w:sz="4" w:space="0"/>
            </w:tcBorders>
            <w:vAlign w:val="center"/>
          </w:tcPr>
          <w:p w14:paraId="59A71CB4">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设备到货、安装、调试方案（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tc>
        <w:tc>
          <w:tcPr>
            <w:tcW w:w="7240" w:type="dxa"/>
            <w:tcBorders>
              <w:top w:val="single" w:color="auto" w:sz="4" w:space="0"/>
              <w:left w:val="single" w:color="auto" w:sz="4" w:space="0"/>
              <w:bottom w:val="single" w:color="auto" w:sz="4" w:space="0"/>
              <w:right w:val="single" w:color="auto" w:sz="4" w:space="0"/>
            </w:tcBorders>
            <w:vAlign w:val="center"/>
          </w:tcPr>
          <w:p w14:paraId="7DED1595">
            <w:pPr>
              <w:spacing w:line="360" w:lineRule="exact"/>
              <w:rPr>
                <w:rFonts w:ascii="宋体" w:hAnsi="宋体" w:cs="宋体"/>
                <w:bCs/>
                <w:color w:val="auto"/>
                <w:szCs w:val="21"/>
                <w:highlight w:val="none"/>
              </w:rPr>
            </w:pPr>
            <w:r>
              <w:rPr>
                <w:rFonts w:hint="eastAsia" w:ascii="宋体" w:hAnsi="宋体" w:cs="宋体"/>
                <w:bCs/>
                <w:color w:val="auto"/>
                <w:szCs w:val="21"/>
                <w:highlight w:val="none"/>
              </w:rPr>
              <w:t>横向比较投标供应商设备到货运输、安装、调试方案。方案完整详实、科学合理、具备针对性且切实可行、满足采购人实际需求的得</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分；方案基本完整、较为科学合理，基本满足采购人实际需求的得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分；方案完整性、合理性、针对性、可行性有所欠缺，与采购人实际需求存在差距得1分。其余情况不得分。</w:t>
            </w:r>
          </w:p>
        </w:tc>
        <w:tc>
          <w:tcPr>
            <w:tcW w:w="844" w:type="dxa"/>
            <w:tcBorders>
              <w:top w:val="single" w:color="auto" w:sz="4" w:space="0"/>
              <w:left w:val="single" w:color="auto" w:sz="4" w:space="0"/>
              <w:bottom w:val="single" w:color="auto" w:sz="4" w:space="0"/>
              <w:right w:val="single" w:color="auto" w:sz="4" w:space="0"/>
            </w:tcBorders>
            <w:vAlign w:val="center"/>
          </w:tcPr>
          <w:p w14:paraId="446E78AD">
            <w:pPr>
              <w:spacing w:line="360" w:lineRule="exact"/>
              <w:jc w:val="center"/>
              <w:rPr>
                <w:rFonts w:ascii="宋体" w:hAnsi="宋体" w:cs="宋体"/>
                <w:bCs/>
                <w:color w:val="auto"/>
                <w:kern w:val="0"/>
                <w:szCs w:val="21"/>
                <w:highlight w:val="none"/>
              </w:rPr>
            </w:pPr>
            <w:r>
              <w:rPr>
                <w:rFonts w:ascii="宋体" w:hAnsi="宋体" w:cs="宋体"/>
                <w:bCs/>
                <w:color w:val="auto"/>
                <w:kern w:val="0"/>
                <w:szCs w:val="21"/>
                <w:highlight w:val="none"/>
                <w:lang w:val="en-US"/>
              </w:rPr>
              <w:t>10</w:t>
            </w:r>
          </w:p>
        </w:tc>
      </w:tr>
      <w:tr w14:paraId="7616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blHeader/>
          <w:jc w:val="center"/>
        </w:trPr>
        <w:tc>
          <w:tcPr>
            <w:tcW w:w="697" w:type="dxa"/>
            <w:tcBorders>
              <w:top w:val="single" w:color="auto" w:sz="4" w:space="0"/>
              <w:left w:val="single" w:color="auto" w:sz="4" w:space="0"/>
              <w:right w:val="single" w:color="auto" w:sz="4" w:space="0"/>
            </w:tcBorders>
            <w:vAlign w:val="center"/>
          </w:tcPr>
          <w:p w14:paraId="210CFFF7">
            <w:pPr>
              <w:spacing w:line="36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1468" w:type="dxa"/>
            <w:tcBorders>
              <w:top w:val="single" w:color="auto" w:sz="4" w:space="0"/>
              <w:left w:val="single" w:color="auto" w:sz="4" w:space="0"/>
              <w:right w:val="single" w:color="auto" w:sz="4" w:space="0"/>
            </w:tcBorders>
            <w:vAlign w:val="center"/>
          </w:tcPr>
          <w:p w14:paraId="477F1D60">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人员培训方案（5分）</w:t>
            </w:r>
          </w:p>
        </w:tc>
        <w:tc>
          <w:tcPr>
            <w:tcW w:w="7240" w:type="dxa"/>
            <w:tcBorders>
              <w:top w:val="single" w:color="auto" w:sz="4" w:space="0"/>
              <w:left w:val="single" w:color="auto" w:sz="4" w:space="0"/>
              <w:bottom w:val="single" w:color="auto" w:sz="4" w:space="0"/>
              <w:right w:val="single" w:color="auto" w:sz="4" w:space="0"/>
            </w:tcBorders>
            <w:vAlign w:val="center"/>
          </w:tcPr>
          <w:p w14:paraId="21414599">
            <w:pPr>
              <w:spacing w:line="360" w:lineRule="exact"/>
              <w:rPr>
                <w:rFonts w:ascii="宋体" w:hAnsi="宋体" w:cs="宋体"/>
                <w:bCs/>
                <w:color w:val="auto"/>
                <w:szCs w:val="21"/>
                <w:highlight w:val="none"/>
              </w:rPr>
            </w:pPr>
            <w:r>
              <w:rPr>
                <w:rFonts w:hint="eastAsia" w:ascii="宋体" w:hAnsi="宋体" w:cs="宋体"/>
                <w:bCs/>
                <w:color w:val="auto"/>
                <w:szCs w:val="21"/>
                <w:highlight w:val="none"/>
              </w:rPr>
              <w:t>横向比较投标供应商提供人员操作培训、维修保养培训、以及相关科研教育等进阶培训、学习会议方案。方案完整详实、科学合理、具备针对性且切实可行、满足采购人实际需求的得5分；方案基本完整、较为科学合理，基本满足采购人实际需求的得3分；方案完整性、合理性、针对性、可行性有所欠缺，与采购人实际需求存在差距得1分。其余情况不得分。</w:t>
            </w:r>
          </w:p>
        </w:tc>
        <w:tc>
          <w:tcPr>
            <w:tcW w:w="844" w:type="dxa"/>
            <w:tcBorders>
              <w:top w:val="single" w:color="auto" w:sz="4" w:space="0"/>
              <w:left w:val="single" w:color="auto" w:sz="4" w:space="0"/>
              <w:bottom w:val="single" w:color="auto" w:sz="4" w:space="0"/>
              <w:right w:val="single" w:color="auto" w:sz="4" w:space="0"/>
            </w:tcBorders>
            <w:vAlign w:val="center"/>
          </w:tcPr>
          <w:p w14:paraId="169F9A28">
            <w:pPr>
              <w:spacing w:line="36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5</w:t>
            </w:r>
          </w:p>
        </w:tc>
      </w:tr>
      <w:tr w14:paraId="6A0C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697" w:type="dxa"/>
            <w:tcBorders>
              <w:top w:val="single" w:color="auto" w:sz="4" w:space="0"/>
              <w:left w:val="single" w:color="auto" w:sz="4" w:space="0"/>
              <w:bottom w:val="single" w:color="auto" w:sz="4" w:space="0"/>
              <w:right w:val="single" w:color="auto" w:sz="4" w:space="0"/>
            </w:tcBorders>
            <w:vAlign w:val="center"/>
          </w:tcPr>
          <w:p w14:paraId="516EB0B9">
            <w:pPr>
              <w:spacing w:line="36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1468" w:type="dxa"/>
            <w:tcBorders>
              <w:top w:val="single" w:color="auto" w:sz="4" w:space="0"/>
              <w:left w:val="single" w:color="auto" w:sz="4" w:space="0"/>
              <w:bottom w:val="single" w:color="auto" w:sz="4" w:space="0"/>
              <w:right w:val="single" w:color="auto" w:sz="4" w:space="0"/>
            </w:tcBorders>
            <w:vAlign w:val="center"/>
          </w:tcPr>
          <w:p w14:paraId="2DC445EB">
            <w:pPr>
              <w:spacing w:line="36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售后服务实施方案</w:t>
            </w:r>
          </w:p>
          <w:p w14:paraId="0248DB26">
            <w:pPr>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分）</w:t>
            </w:r>
          </w:p>
        </w:tc>
        <w:tc>
          <w:tcPr>
            <w:tcW w:w="7240" w:type="dxa"/>
            <w:tcBorders>
              <w:top w:val="single" w:color="auto" w:sz="4" w:space="0"/>
              <w:left w:val="single" w:color="auto" w:sz="4" w:space="0"/>
              <w:bottom w:val="single" w:color="auto" w:sz="4" w:space="0"/>
              <w:right w:val="single" w:color="auto" w:sz="4" w:space="0"/>
            </w:tcBorders>
            <w:vAlign w:val="center"/>
          </w:tcPr>
          <w:p w14:paraId="0C314334">
            <w:pPr>
              <w:spacing w:line="360" w:lineRule="exact"/>
              <w:rPr>
                <w:rFonts w:ascii="宋体" w:hAnsi="宋体" w:cs="宋体"/>
                <w:bCs/>
                <w:color w:val="auto"/>
                <w:szCs w:val="21"/>
                <w:highlight w:val="none"/>
                <w:lang w:val="en-GB"/>
              </w:rPr>
            </w:pPr>
            <w:r>
              <w:rPr>
                <w:rFonts w:hint="eastAsia" w:ascii="宋体" w:hAnsi="宋体" w:cs="宋体"/>
                <w:bCs/>
                <w:color w:val="auto"/>
                <w:szCs w:val="21"/>
                <w:highlight w:val="none"/>
                <w:lang w:val="en-GB"/>
              </w:rPr>
              <w:t>根据投标</w:t>
            </w:r>
            <w:r>
              <w:rPr>
                <w:rFonts w:hint="eastAsia" w:ascii="宋体" w:hAnsi="宋体" w:cs="宋体"/>
                <w:bCs/>
                <w:color w:val="auto"/>
                <w:szCs w:val="21"/>
                <w:highlight w:val="none"/>
              </w:rPr>
              <w:t>供应商</w:t>
            </w:r>
            <w:r>
              <w:rPr>
                <w:rFonts w:hint="eastAsia" w:ascii="宋体" w:hAnsi="宋体" w:cs="宋体"/>
                <w:bCs/>
                <w:color w:val="auto"/>
                <w:szCs w:val="21"/>
                <w:highlight w:val="none"/>
                <w:lang w:val="en-GB"/>
              </w:rPr>
              <w:t>质保期内售后服务（响应时间，回访巡检方案、故障解决措施、技术人员保障、备品配件价格等）、本地化服务方案（服务网点、维修网点设置情况以及技术人员安排情况）等服务内容。方案完整详实、科学合理、具备针对性且切实可行、满足采购人实际需求的得</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lang w:val="en-GB"/>
              </w:rPr>
              <w:t>分；方案基本完整、较为科学合理，基本满足采购人实际需求的得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val="en-GB"/>
              </w:rPr>
              <w:t>分；方案完整性、合理性、针对性、可行性有所欠缺，与采购人实际需求存在差距得1分。其余情况不得分。</w:t>
            </w:r>
          </w:p>
        </w:tc>
        <w:tc>
          <w:tcPr>
            <w:tcW w:w="844" w:type="dxa"/>
            <w:tcBorders>
              <w:top w:val="single" w:color="auto" w:sz="4" w:space="0"/>
              <w:left w:val="single" w:color="auto" w:sz="4" w:space="0"/>
              <w:bottom w:val="single" w:color="auto" w:sz="4" w:space="0"/>
              <w:right w:val="single" w:color="auto" w:sz="4" w:space="0"/>
            </w:tcBorders>
            <w:vAlign w:val="center"/>
          </w:tcPr>
          <w:p w14:paraId="5110915E">
            <w:pPr>
              <w:spacing w:line="360" w:lineRule="exact"/>
              <w:jc w:val="center"/>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10</w:t>
            </w:r>
          </w:p>
        </w:tc>
      </w:tr>
      <w:tr w14:paraId="5602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blHeader/>
          <w:jc w:val="center"/>
        </w:trPr>
        <w:tc>
          <w:tcPr>
            <w:tcW w:w="697" w:type="dxa"/>
            <w:tcBorders>
              <w:top w:val="single" w:color="auto" w:sz="4" w:space="0"/>
              <w:left w:val="single" w:color="auto" w:sz="4" w:space="0"/>
              <w:bottom w:val="single" w:color="auto" w:sz="4" w:space="0"/>
              <w:right w:val="single" w:color="auto" w:sz="4" w:space="0"/>
            </w:tcBorders>
            <w:vAlign w:val="center"/>
          </w:tcPr>
          <w:p w14:paraId="02DF116C">
            <w:pPr>
              <w:spacing w:line="36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1468" w:type="dxa"/>
            <w:tcBorders>
              <w:top w:val="single" w:color="auto" w:sz="4" w:space="0"/>
              <w:left w:val="single" w:color="auto" w:sz="4" w:space="0"/>
              <w:bottom w:val="single" w:color="auto" w:sz="4" w:space="0"/>
              <w:right w:val="single" w:color="auto" w:sz="4" w:space="0"/>
            </w:tcBorders>
            <w:vAlign w:val="center"/>
          </w:tcPr>
          <w:p w14:paraId="28C6B0A2">
            <w:pPr>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投标货物的业绩（5分）</w:t>
            </w:r>
          </w:p>
        </w:tc>
        <w:tc>
          <w:tcPr>
            <w:tcW w:w="7240" w:type="dxa"/>
            <w:tcBorders>
              <w:top w:val="single" w:color="auto" w:sz="4" w:space="0"/>
              <w:left w:val="single" w:color="auto" w:sz="4" w:space="0"/>
              <w:bottom w:val="single" w:color="auto" w:sz="4" w:space="0"/>
              <w:right w:val="single" w:color="auto" w:sz="4" w:space="0"/>
            </w:tcBorders>
            <w:vAlign w:val="center"/>
          </w:tcPr>
          <w:p w14:paraId="52FE6502">
            <w:pPr>
              <w:spacing w:line="360" w:lineRule="exact"/>
              <w:rPr>
                <w:rFonts w:ascii="宋体" w:hAnsi="宋体" w:cs="宋体"/>
                <w:bCs/>
                <w:color w:val="auto"/>
                <w:szCs w:val="21"/>
                <w:highlight w:val="none"/>
                <w:lang w:val="en-GB"/>
              </w:rPr>
            </w:pPr>
            <w:r>
              <w:rPr>
                <w:rFonts w:hint="eastAsia" w:ascii="宋体" w:hAnsi="宋体" w:cs="宋体"/>
                <w:bCs/>
                <w:color w:val="auto"/>
                <w:kern w:val="0"/>
                <w:szCs w:val="21"/>
                <w:highlight w:val="none"/>
              </w:rPr>
              <w:t>202</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年1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月1日以来（以合同签订时间为准），投标供应商具有与本次投标设备</w:t>
            </w:r>
            <w:r>
              <w:rPr>
                <w:rFonts w:hint="eastAsia" w:ascii="宋体" w:hAnsi="宋体" w:cs="宋体"/>
                <w:bCs/>
                <w:color w:val="auto"/>
                <w:kern w:val="0"/>
                <w:szCs w:val="21"/>
                <w:highlight w:val="none"/>
                <w:lang w:val="en-US" w:eastAsia="zh-CN"/>
              </w:rPr>
              <w:t>相类似设备</w:t>
            </w:r>
            <w:r>
              <w:rPr>
                <w:rFonts w:hint="eastAsia" w:ascii="宋体" w:hAnsi="宋体" w:cs="宋体"/>
                <w:bCs/>
                <w:color w:val="auto"/>
                <w:kern w:val="0"/>
                <w:szCs w:val="21"/>
                <w:highlight w:val="none"/>
              </w:rPr>
              <w:t>的业绩，以合同复印件为准。有一份得1分，最多得5分。</w:t>
            </w:r>
          </w:p>
        </w:tc>
        <w:tc>
          <w:tcPr>
            <w:tcW w:w="844" w:type="dxa"/>
            <w:tcBorders>
              <w:top w:val="single" w:color="auto" w:sz="4" w:space="0"/>
              <w:left w:val="single" w:color="auto" w:sz="4" w:space="0"/>
              <w:bottom w:val="single" w:color="auto" w:sz="4" w:space="0"/>
              <w:right w:val="single" w:color="auto" w:sz="4" w:space="0"/>
            </w:tcBorders>
            <w:vAlign w:val="center"/>
          </w:tcPr>
          <w:p w14:paraId="67F43243">
            <w:pPr>
              <w:spacing w:line="36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5</w:t>
            </w:r>
          </w:p>
        </w:tc>
      </w:tr>
    </w:tbl>
    <w:p w14:paraId="49F587F5">
      <w:pPr>
        <w:spacing w:line="460" w:lineRule="exact"/>
        <w:ind w:firstLine="562" w:firstLineChars="200"/>
        <w:outlineLvl w:val="2"/>
        <w:rPr>
          <w:rFonts w:ascii="宋体" w:hAnsi="宋体" w:cs="宋体"/>
          <w:color w:val="auto"/>
          <w:sz w:val="28"/>
          <w:szCs w:val="28"/>
        </w:rPr>
      </w:pPr>
      <w:r>
        <w:rPr>
          <w:rFonts w:hint="eastAsia" w:ascii="宋体" w:hAnsi="宋体" w:cs="宋体"/>
          <w:b/>
          <w:color w:val="auto"/>
          <w:sz w:val="28"/>
          <w:szCs w:val="28"/>
        </w:rPr>
        <w:t>（四）</w:t>
      </w:r>
      <w:r>
        <w:rPr>
          <w:rFonts w:hint="eastAsia" w:ascii="宋体" w:hAnsi="宋体" w:cs="宋体"/>
          <w:b/>
          <w:color w:val="auto"/>
          <w:sz w:val="28"/>
          <w:szCs w:val="28"/>
          <w:lang w:val="zh-CN"/>
        </w:rPr>
        <w:t>价格分</w:t>
      </w:r>
      <w:r>
        <w:rPr>
          <w:rFonts w:hint="eastAsia" w:ascii="宋体" w:hAnsi="宋体" w:cs="宋体"/>
          <w:b/>
          <w:color w:val="auto"/>
          <w:sz w:val="28"/>
          <w:szCs w:val="28"/>
        </w:rPr>
        <w:t>：</w:t>
      </w:r>
      <w:r>
        <w:rPr>
          <w:rFonts w:hint="eastAsia" w:ascii="宋体" w:hAnsi="宋体" w:cs="宋体"/>
          <w:color w:val="auto"/>
          <w:sz w:val="28"/>
          <w:szCs w:val="28"/>
        </w:rPr>
        <w:t>30</w:t>
      </w:r>
      <w:r>
        <w:rPr>
          <w:rFonts w:hint="eastAsia" w:ascii="宋体" w:hAnsi="宋体" w:cs="宋体"/>
          <w:color w:val="auto"/>
          <w:sz w:val="28"/>
          <w:szCs w:val="28"/>
          <w:lang w:val="zh-CN"/>
        </w:rPr>
        <w:t>分</w:t>
      </w:r>
    </w:p>
    <w:p w14:paraId="0B8AF8EB">
      <w:pPr>
        <w:spacing w:line="460" w:lineRule="exact"/>
        <w:ind w:firstLine="560" w:firstLineChars="200"/>
        <w:outlineLvl w:val="2"/>
        <w:rPr>
          <w:rFonts w:ascii="宋体" w:hAnsi="宋体" w:cs="宋体"/>
          <w:color w:val="auto"/>
          <w:sz w:val="28"/>
          <w:szCs w:val="28"/>
        </w:rPr>
      </w:pPr>
      <w:r>
        <w:rPr>
          <w:rFonts w:hint="eastAsia" w:ascii="宋体" w:hAnsi="宋体" w:cs="宋体"/>
          <w:color w:val="auto"/>
          <w:sz w:val="28"/>
          <w:szCs w:val="28"/>
        </w:rPr>
        <w:t>价格分</w:t>
      </w:r>
      <w:r>
        <w:rPr>
          <w:rFonts w:hint="eastAsia" w:ascii="宋体" w:hAnsi="宋体" w:cs="宋体"/>
          <w:color w:val="auto"/>
          <w:sz w:val="28"/>
          <w:szCs w:val="28"/>
          <w:lang w:val="zh-CN"/>
        </w:rPr>
        <w:t>统一</w:t>
      </w:r>
      <w:r>
        <w:rPr>
          <w:rFonts w:hint="eastAsia" w:ascii="宋体" w:hAnsi="宋体" w:cs="宋体"/>
          <w:color w:val="auto"/>
          <w:sz w:val="28"/>
          <w:szCs w:val="28"/>
        </w:rPr>
        <w:t>采用低价优先法计算，即满足磋商文件要求且最后报价最低的供应商的价格为磋商基准价，其价格分为满分。其他供应商的价格分统一按照下列公式计算：</w:t>
      </w:r>
    </w:p>
    <w:p w14:paraId="77395398">
      <w:pPr>
        <w:spacing w:line="4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磋商报价得分=（磋商基准价/最后磋商报价）×价格权值×100</w:t>
      </w:r>
    </w:p>
    <w:p w14:paraId="3DDA4E57">
      <w:pPr>
        <w:spacing w:line="460" w:lineRule="exact"/>
        <w:ind w:firstLine="560"/>
        <w:rPr>
          <w:rFonts w:ascii="宋体" w:hAnsi="宋体" w:cs="宋体"/>
          <w:color w:val="auto"/>
          <w:sz w:val="28"/>
          <w:szCs w:val="28"/>
        </w:rPr>
      </w:pPr>
      <w:r>
        <w:rPr>
          <w:rFonts w:hint="eastAsia" w:ascii="宋体" w:hAnsi="宋体" w:cs="宋体"/>
          <w:color w:val="auto"/>
          <w:sz w:val="28"/>
          <w:szCs w:val="28"/>
        </w:rPr>
        <w:t>磋商小组认为供应商的报价明显低于其他通过符合性审查供应商的报价，有可能影响服务质量或者不能诚信履约的，应当要求其在30分钟内提供书面说明，必要时提交相关证明材料；供应商不能证明其报价合理性的，磋商小组应当将其作为无效响应处理。</w:t>
      </w:r>
    </w:p>
    <w:p w14:paraId="024C0FF9">
      <w:pPr>
        <w:adjustRightInd w:val="0"/>
        <w:snapToGrid w:val="0"/>
        <w:spacing w:line="460" w:lineRule="exact"/>
        <w:ind w:firstLine="570"/>
        <w:outlineLvl w:val="2"/>
        <w:rPr>
          <w:rFonts w:ascii="宋体" w:hAnsi="宋体" w:cs="宋体"/>
          <w:bCs/>
          <w:color w:val="auto"/>
          <w:sz w:val="28"/>
          <w:szCs w:val="28"/>
        </w:rPr>
      </w:pPr>
      <w:r>
        <w:rPr>
          <w:rFonts w:hint="eastAsia" w:ascii="宋体" w:hAnsi="宋体" w:cs="宋体"/>
          <w:b/>
          <w:color w:val="auto"/>
          <w:sz w:val="28"/>
          <w:szCs w:val="28"/>
        </w:rPr>
        <w:t>（五）成交供应商的确定</w:t>
      </w:r>
    </w:p>
    <w:p w14:paraId="237A6D9B">
      <w:pPr>
        <w:adjustRightInd w:val="0"/>
        <w:snapToGrid w:val="0"/>
        <w:spacing w:line="460" w:lineRule="exact"/>
        <w:ind w:firstLine="570"/>
        <w:rPr>
          <w:rFonts w:ascii="宋体" w:hAnsi="宋体" w:cs="宋体"/>
          <w:color w:val="auto"/>
          <w:sz w:val="28"/>
          <w:szCs w:val="28"/>
        </w:rPr>
      </w:pPr>
      <w:r>
        <w:rPr>
          <w:rFonts w:hint="eastAsia" w:ascii="宋体" w:hAnsi="宋体" w:cs="宋体"/>
          <w:color w:val="auto"/>
          <w:sz w:val="28"/>
          <w:szCs w:val="28"/>
        </w:rPr>
        <w:t>磋商小组汇总各评委评分后，按照得分从高到低的顺序推荐三名成交候选人，并编写评审报告。</w:t>
      </w:r>
    </w:p>
    <w:p w14:paraId="5B16AF2F">
      <w:pPr>
        <w:adjustRightInd w:val="0"/>
        <w:snapToGrid w:val="0"/>
        <w:spacing w:line="460" w:lineRule="exact"/>
        <w:ind w:firstLine="570"/>
        <w:rPr>
          <w:rFonts w:ascii="宋体" w:hAnsi="宋体" w:cs="宋体"/>
          <w:color w:val="auto"/>
          <w:sz w:val="28"/>
          <w:szCs w:val="28"/>
        </w:rPr>
      </w:pPr>
      <w:r>
        <w:rPr>
          <w:rFonts w:hint="eastAsia" w:ascii="宋体" w:hAnsi="宋体" w:cs="宋体"/>
          <w:color w:val="auto"/>
          <w:sz w:val="28"/>
          <w:szCs w:val="28"/>
        </w:rPr>
        <w:t>采购人委托磋商小组直接确定排名第一的成交候选人为成交供应商。</w:t>
      </w:r>
    </w:p>
    <w:p w14:paraId="07074AF5">
      <w:pPr>
        <w:adjustRightInd w:val="0"/>
        <w:snapToGrid w:val="0"/>
        <w:spacing w:line="460" w:lineRule="exact"/>
        <w:ind w:firstLine="562" w:firstLineChars="200"/>
        <w:outlineLvl w:val="2"/>
        <w:rPr>
          <w:rFonts w:ascii="宋体" w:hAnsi="宋体" w:cs="宋体"/>
          <w:b/>
          <w:color w:val="auto"/>
          <w:sz w:val="28"/>
          <w:szCs w:val="28"/>
        </w:rPr>
      </w:pPr>
      <w:r>
        <w:rPr>
          <w:rFonts w:hint="eastAsia" w:ascii="宋体" w:hAnsi="宋体" w:cs="宋体"/>
          <w:b/>
          <w:color w:val="auto"/>
          <w:sz w:val="28"/>
          <w:szCs w:val="28"/>
        </w:rPr>
        <w:t>（六）通告成交结果</w:t>
      </w:r>
    </w:p>
    <w:p w14:paraId="424DF10A">
      <w:pPr>
        <w:adjustRightInd w:val="0"/>
        <w:snapToGrid w:val="0"/>
        <w:spacing w:line="460" w:lineRule="exact"/>
        <w:ind w:firstLine="570"/>
        <w:rPr>
          <w:rFonts w:ascii="宋体" w:hAnsi="宋体" w:cs="宋体"/>
          <w:color w:val="auto"/>
          <w:sz w:val="28"/>
          <w:szCs w:val="28"/>
        </w:rPr>
      </w:pPr>
      <w:r>
        <w:rPr>
          <w:rFonts w:hint="eastAsia" w:ascii="宋体" w:hAnsi="宋体" w:cs="宋体"/>
          <w:color w:val="auto"/>
          <w:sz w:val="28"/>
          <w:szCs w:val="28"/>
        </w:rPr>
        <w:t>自确定成交供应商之日起2个工作日内，在江苏省南通卫生高等职业技术学校网站或南通市卫生健康委员会网站通告成交结果，通告期限为1个工作日。</w:t>
      </w:r>
    </w:p>
    <w:p w14:paraId="5F28AB04">
      <w:pPr>
        <w:adjustRightInd w:val="0"/>
        <w:snapToGrid w:val="0"/>
        <w:spacing w:line="460" w:lineRule="exact"/>
        <w:ind w:firstLine="562" w:firstLineChars="200"/>
        <w:outlineLvl w:val="2"/>
        <w:rPr>
          <w:rFonts w:ascii="宋体" w:hAnsi="宋体" w:cs="宋体"/>
          <w:b/>
          <w:bCs/>
          <w:color w:val="auto"/>
          <w:sz w:val="28"/>
          <w:szCs w:val="28"/>
        </w:rPr>
      </w:pPr>
      <w:r>
        <w:rPr>
          <w:rFonts w:hint="eastAsia" w:ascii="宋体" w:hAnsi="宋体" w:cs="宋体"/>
          <w:b/>
          <w:color w:val="auto"/>
          <w:sz w:val="28"/>
          <w:szCs w:val="28"/>
        </w:rPr>
        <w:t>（七）</w:t>
      </w:r>
      <w:r>
        <w:rPr>
          <w:rFonts w:hint="eastAsia" w:ascii="宋体" w:hAnsi="宋体" w:cs="宋体"/>
          <w:b/>
          <w:bCs/>
          <w:color w:val="auto"/>
          <w:sz w:val="28"/>
          <w:szCs w:val="28"/>
        </w:rPr>
        <w:t>发放成交通知书</w:t>
      </w:r>
    </w:p>
    <w:p w14:paraId="07BF018B">
      <w:pPr>
        <w:adjustRightInd w:val="0"/>
        <w:snapToGrid w:val="0"/>
        <w:spacing w:line="460" w:lineRule="exact"/>
        <w:ind w:firstLine="560" w:firstLineChars="200"/>
        <w:rPr>
          <w:rFonts w:ascii="宋体" w:hAnsi="宋体" w:cs="宋体"/>
          <w:bCs/>
          <w:color w:val="auto"/>
          <w:sz w:val="28"/>
          <w:szCs w:val="28"/>
        </w:rPr>
      </w:pPr>
      <w:r>
        <w:rPr>
          <w:rFonts w:hint="eastAsia" w:ascii="宋体" w:hAnsi="宋体" w:cs="宋体"/>
          <w:color w:val="auto"/>
          <w:sz w:val="28"/>
          <w:szCs w:val="28"/>
        </w:rPr>
        <w:t>通告成交结果的同时，采购代理机构</w:t>
      </w:r>
      <w:r>
        <w:rPr>
          <w:rFonts w:hint="eastAsia" w:ascii="宋体" w:hAnsi="宋体" w:cs="宋体"/>
          <w:bCs/>
          <w:color w:val="auto"/>
          <w:sz w:val="28"/>
          <w:szCs w:val="28"/>
        </w:rPr>
        <w:t>向成交供应商发放成交通知书。联系电话：0513-55887688。</w:t>
      </w:r>
    </w:p>
    <w:p w14:paraId="0A3F992F">
      <w:pPr>
        <w:adjustRightInd w:val="0"/>
        <w:snapToGrid w:val="0"/>
        <w:spacing w:line="460" w:lineRule="exact"/>
        <w:ind w:firstLine="570"/>
        <w:rPr>
          <w:rFonts w:ascii="宋体" w:hAnsi="宋体" w:cs="宋体"/>
          <w:color w:val="auto"/>
          <w:sz w:val="28"/>
          <w:szCs w:val="28"/>
        </w:rPr>
      </w:pPr>
      <w:r>
        <w:rPr>
          <w:rFonts w:hint="eastAsia" w:ascii="宋体" w:hAnsi="宋体" w:cs="宋体"/>
          <w:color w:val="auto"/>
          <w:sz w:val="28"/>
          <w:szCs w:val="28"/>
        </w:rPr>
        <w:t>成交通知书发出后，采购人不得违法改变成交结果，成交供应商无正当理由不得放弃成交。</w:t>
      </w:r>
    </w:p>
    <w:p w14:paraId="6ABDFA87">
      <w:pPr>
        <w:snapToGrid w:val="0"/>
        <w:spacing w:line="460" w:lineRule="exact"/>
        <w:ind w:firstLine="562" w:firstLineChars="200"/>
        <w:rPr>
          <w:rFonts w:ascii="宋体" w:hAnsi="宋体" w:cs="宋体"/>
          <w:b/>
          <w:color w:val="auto"/>
          <w:sz w:val="28"/>
          <w:szCs w:val="28"/>
        </w:rPr>
      </w:pPr>
      <w:r>
        <w:rPr>
          <w:rFonts w:hint="eastAsia" w:ascii="宋体" w:hAnsi="宋体" w:cs="宋体"/>
          <w:b/>
          <w:color w:val="auto"/>
          <w:sz w:val="28"/>
          <w:szCs w:val="28"/>
        </w:rPr>
        <w:t>（八）其他</w:t>
      </w:r>
    </w:p>
    <w:p w14:paraId="651DDB2A">
      <w:pPr>
        <w:adjustRightInd w:val="0"/>
        <w:snapToGrid w:val="0"/>
        <w:spacing w:line="460" w:lineRule="exact"/>
        <w:ind w:firstLine="570"/>
        <w:rPr>
          <w:rFonts w:ascii="宋体" w:hAnsi="宋体" w:cs="宋体"/>
          <w:color w:val="auto"/>
          <w:sz w:val="28"/>
          <w:szCs w:val="28"/>
        </w:rPr>
      </w:pPr>
      <w:r>
        <w:rPr>
          <w:rFonts w:hint="eastAsia" w:ascii="宋体" w:hAnsi="宋体" w:cs="宋体"/>
          <w:color w:val="auto"/>
          <w:sz w:val="28"/>
          <w:szCs w:val="28"/>
        </w:rPr>
        <w:t>当中标候选人无正当理由放弃中标，被查实存在影响中标结果的违法行为等情形，采购人有权按照相关法律法规的规定对其采取惩戒措施，包含但不限于列入采购失信人黑名单等措施。</w:t>
      </w:r>
    </w:p>
    <w:p w14:paraId="41301631">
      <w:pPr>
        <w:adjustRightInd w:val="0"/>
        <w:snapToGrid w:val="0"/>
        <w:spacing w:line="460" w:lineRule="exact"/>
        <w:ind w:firstLine="570"/>
        <w:rPr>
          <w:rFonts w:ascii="宋体" w:hAnsi="宋体" w:cs="宋体"/>
          <w:color w:val="auto"/>
          <w:sz w:val="28"/>
          <w:szCs w:val="28"/>
        </w:rPr>
      </w:pPr>
      <w:r>
        <w:rPr>
          <w:rFonts w:hint="eastAsia" w:ascii="宋体" w:hAnsi="宋体" w:cs="宋体"/>
          <w:color w:val="auto"/>
          <w:sz w:val="28"/>
          <w:szCs w:val="28"/>
        </w:rPr>
        <w:t>当中标候选人放弃中标、因不可抗力不能履行合同，或者被查实存在影响中标结果的违法行为等情形，不符合中标条件的，采购人重新招标。</w:t>
      </w:r>
    </w:p>
    <w:p w14:paraId="30D34191">
      <w:pPr>
        <w:adjustRightInd w:val="0"/>
        <w:snapToGrid w:val="0"/>
        <w:spacing w:line="360" w:lineRule="auto"/>
        <w:jc w:val="center"/>
        <w:outlineLvl w:val="0"/>
        <w:rPr>
          <w:rFonts w:ascii="宋体" w:hAnsi="宋体" w:cs="宋体"/>
          <w:b/>
          <w:color w:val="auto"/>
          <w:sz w:val="28"/>
          <w:szCs w:val="28"/>
        </w:rPr>
      </w:pPr>
      <w:r>
        <w:rPr>
          <w:rFonts w:hint="eastAsia" w:ascii="宋体" w:hAnsi="宋体" w:cs="宋体"/>
          <w:b/>
          <w:color w:val="auto"/>
          <w:sz w:val="36"/>
          <w:szCs w:val="36"/>
        </w:rPr>
        <w:br w:type="page"/>
      </w:r>
      <w:r>
        <w:rPr>
          <w:rFonts w:hint="eastAsia" w:ascii="宋体" w:hAnsi="宋体" w:cs="宋体"/>
          <w:bCs/>
          <w:color w:val="auto"/>
          <w:sz w:val="36"/>
          <w:szCs w:val="36"/>
        </w:rPr>
        <w:t>第五部分 响应文件组成</w:t>
      </w:r>
    </w:p>
    <w:p w14:paraId="289BEB30">
      <w:pPr>
        <w:adjustRightInd w:val="0"/>
        <w:snapToGrid w:val="0"/>
        <w:spacing w:line="460" w:lineRule="exact"/>
        <w:ind w:firstLine="562" w:firstLineChars="200"/>
        <w:jc w:val="left"/>
        <w:rPr>
          <w:rFonts w:ascii="宋体" w:hAnsi="宋体" w:cs="宋体"/>
          <w:b/>
          <w:color w:val="auto"/>
          <w:sz w:val="28"/>
          <w:szCs w:val="28"/>
        </w:rPr>
      </w:pPr>
      <w:r>
        <w:rPr>
          <w:rFonts w:hint="eastAsia" w:ascii="宋体" w:hAnsi="宋体" w:cs="宋体"/>
          <w:b/>
          <w:color w:val="auto"/>
          <w:sz w:val="28"/>
          <w:szCs w:val="28"/>
        </w:rPr>
        <w:t>响应文件由资格审查文件、商务技术文件、价格文件、电子响应文件四部分组成。</w:t>
      </w:r>
    </w:p>
    <w:p w14:paraId="630B6D61">
      <w:pPr>
        <w:adjustRightInd w:val="0"/>
        <w:snapToGrid w:val="0"/>
        <w:spacing w:line="460" w:lineRule="exact"/>
        <w:ind w:firstLine="562" w:firstLineChars="200"/>
        <w:outlineLvl w:val="1"/>
        <w:rPr>
          <w:rFonts w:ascii="宋体" w:hAnsi="宋体" w:cs="宋体"/>
          <w:b/>
          <w:bCs/>
          <w:color w:val="auto"/>
          <w:kern w:val="0"/>
          <w:sz w:val="28"/>
          <w:szCs w:val="28"/>
          <w:lang w:val="zh-CN"/>
        </w:rPr>
      </w:pPr>
      <w:r>
        <w:rPr>
          <w:rFonts w:hint="eastAsia" w:ascii="宋体" w:hAnsi="宋体" w:cs="宋体"/>
          <w:b/>
          <w:bCs/>
          <w:color w:val="auto"/>
          <w:kern w:val="0"/>
          <w:sz w:val="28"/>
          <w:szCs w:val="28"/>
          <w:lang w:val="zh-CN"/>
        </w:rPr>
        <w:t>一、资格审查文件（不能出现商务技术文件、价格文件）</w:t>
      </w:r>
    </w:p>
    <w:p w14:paraId="372360CD">
      <w:pPr>
        <w:adjustRightInd w:val="0"/>
        <w:snapToGrid w:val="0"/>
        <w:spacing w:line="460" w:lineRule="exact"/>
        <w:ind w:firstLine="560" w:firstLineChars="200"/>
        <w:rPr>
          <w:rFonts w:ascii="宋体" w:hAnsi="宋体" w:cs="宋体"/>
          <w:color w:val="auto"/>
          <w:kern w:val="0"/>
          <w:sz w:val="28"/>
          <w:szCs w:val="28"/>
          <w:lang w:val="zh-CN"/>
        </w:rPr>
      </w:pPr>
      <w:r>
        <w:rPr>
          <w:rFonts w:hint="eastAsia" w:ascii="宋体" w:hAnsi="宋体" w:cs="宋体"/>
          <w:color w:val="auto"/>
          <w:kern w:val="0"/>
          <w:sz w:val="28"/>
          <w:szCs w:val="28"/>
          <w:lang w:val="zh-CN"/>
        </w:rPr>
        <w:t>1.</w:t>
      </w:r>
      <w:r>
        <w:rPr>
          <w:rFonts w:hint="eastAsia" w:ascii="宋体" w:hAnsi="宋体" w:cs="宋体"/>
          <w:color w:val="auto"/>
          <w:kern w:val="0"/>
          <w:sz w:val="28"/>
          <w:szCs w:val="28"/>
        </w:rPr>
        <w:t>供应商符合本项目供应商资格要求的承诺函</w:t>
      </w:r>
      <w:r>
        <w:rPr>
          <w:rFonts w:hint="eastAsia" w:ascii="宋体" w:hAnsi="宋体" w:cs="宋体"/>
          <w:color w:val="auto"/>
          <w:kern w:val="0"/>
          <w:sz w:val="28"/>
          <w:szCs w:val="28"/>
          <w:lang w:val="zh-CN"/>
        </w:rPr>
        <w:t>（格式见附件1）；</w:t>
      </w:r>
    </w:p>
    <w:p w14:paraId="4962ECA4">
      <w:pPr>
        <w:adjustRightInd w:val="0"/>
        <w:snapToGrid w:val="0"/>
        <w:spacing w:line="460" w:lineRule="exact"/>
        <w:ind w:firstLine="560" w:firstLineChars="200"/>
        <w:rPr>
          <w:rFonts w:ascii="宋体" w:hAnsi="宋体" w:cs="宋体"/>
          <w:color w:val="auto"/>
          <w:kern w:val="0"/>
          <w:sz w:val="28"/>
          <w:szCs w:val="28"/>
          <w:lang w:val="zh-CN"/>
        </w:rPr>
      </w:pPr>
      <w:r>
        <w:rPr>
          <w:rFonts w:hint="eastAsia" w:ascii="宋体" w:hAnsi="宋体" w:cs="宋体"/>
          <w:color w:val="auto"/>
          <w:kern w:val="0"/>
          <w:sz w:val="28"/>
          <w:szCs w:val="28"/>
          <w:lang w:val="zh-CN"/>
        </w:rPr>
        <w:t>2.法定代表人身份证明书（格式见附件2）；</w:t>
      </w:r>
    </w:p>
    <w:p w14:paraId="33439A14">
      <w:pPr>
        <w:adjustRightInd w:val="0"/>
        <w:snapToGrid w:val="0"/>
        <w:spacing w:line="460" w:lineRule="exact"/>
        <w:ind w:firstLine="560" w:firstLineChars="200"/>
        <w:rPr>
          <w:rFonts w:ascii="宋体" w:hAnsi="宋体" w:cs="宋体"/>
          <w:color w:val="auto"/>
          <w:kern w:val="0"/>
          <w:sz w:val="28"/>
          <w:szCs w:val="28"/>
          <w:lang w:val="zh-CN"/>
        </w:rPr>
      </w:pPr>
      <w:r>
        <w:rPr>
          <w:rFonts w:hint="eastAsia" w:ascii="宋体" w:hAnsi="宋体" w:cs="宋体"/>
          <w:color w:val="auto"/>
          <w:kern w:val="0"/>
          <w:sz w:val="28"/>
          <w:szCs w:val="28"/>
          <w:lang w:val="zh-CN"/>
        </w:rPr>
        <w:t>3.法定代表人授权委托书原件，磋商代表本人身份证复印件（格式见附件3）；</w:t>
      </w:r>
    </w:p>
    <w:p w14:paraId="3C2E9EAE">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zh-CN"/>
        </w:rPr>
        <w:t>4.提供营业执照副本复印件并加盖公章。</w:t>
      </w:r>
    </w:p>
    <w:p w14:paraId="3DAD5A35">
      <w:pPr>
        <w:adjustRightInd w:val="0"/>
        <w:snapToGrid w:val="0"/>
        <w:spacing w:line="460" w:lineRule="exact"/>
        <w:ind w:firstLine="562" w:firstLineChars="200"/>
        <w:outlineLvl w:val="1"/>
        <w:rPr>
          <w:rFonts w:ascii="宋体" w:hAnsi="宋体" w:cs="宋体"/>
          <w:b/>
          <w:bCs/>
          <w:color w:val="auto"/>
          <w:kern w:val="0"/>
          <w:sz w:val="28"/>
          <w:szCs w:val="28"/>
          <w:lang w:val="zh-CN"/>
        </w:rPr>
      </w:pPr>
      <w:r>
        <w:rPr>
          <w:rFonts w:hint="eastAsia" w:ascii="宋体" w:hAnsi="宋体" w:cs="宋体"/>
          <w:b/>
          <w:bCs/>
          <w:color w:val="auto"/>
          <w:kern w:val="0"/>
          <w:sz w:val="28"/>
          <w:szCs w:val="28"/>
          <w:lang w:val="zh-CN"/>
        </w:rPr>
        <w:t>二、商务技术文件（不能出现价格文件）</w:t>
      </w:r>
    </w:p>
    <w:p w14:paraId="00992F44">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zh-CN"/>
        </w:rPr>
        <w:t>1.</w:t>
      </w:r>
      <w:r>
        <w:rPr>
          <w:rFonts w:hint="eastAsia" w:ascii="宋体" w:hAnsi="宋体" w:cs="宋体"/>
          <w:color w:val="auto"/>
          <w:kern w:val="0"/>
          <w:sz w:val="28"/>
          <w:szCs w:val="28"/>
        </w:rPr>
        <w:t>技术部分正负偏离表（格式见附件4）</w:t>
      </w:r>
    </w:p>
    <w:p w14:paraId="622A39AD">
      <w:pPr>
        <w:adjustRightInd w:val="0"/>
        <w:snapToGrid w:val="0"/>
        <w:spacing w:line="460" w:lineRule="exact"/>
        <w:ind w:firstLine="560" w:firstLineChars="200"/>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rPr>
        <w:t>2.设备安装后保证5年内的零配件</w:t>
      </w:r>
      <w:r>
        <w:rPr>
          <w:rFonts w:hint="eastAsia" w:ascii="宋体" w:hAnsi="宋体" w:cs="宋体"/>
          <w:color w:val="auto"/>
          <w:kern w:val="0"/>
          <w:sz w:val="28"/>
          <w:szCs w:val="28"/>
          <w:lang w:val="en-US" w:eastAsia="zh-CN"/>
        </w:rPr>
        <w:t>供应承诺函（格式自拟）；</w:t>
      </w:r>
    </w:p>
    <w:p w14:paraId="01988254">
      <w:pPr>
        <w:adjustRightInd w:val="0"/>
        <w:snapToGrid w:val="0"/>
        <w:spacing w:line="460" w:lineRule="exact"/>
        <w:ind w:firstLine="560" w:firstLineChars="200"/>
        <w:rPr>
          <w:rFonts w:ascii="宋体" w:hAnsi="宋体" w:cs="宋体"/>
          <w:color w:val="auto"/>
          <w:kern w:val="0"/>
          <w:sz w:val="28"/>
          <w:szCs w:val="28"/>
          <w:lang w:val="zh-CN"/>
        </w:rPr>
      </w:pP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lang w:val="zh-CN"/>
        </w:rPr>
        <w:t>为方便评委评审，请供应商按评审办法中所涉及的事项顺序进行编制，可以补充相关材料；</w:t>
      </w:r>
    </w:p>
    <w:p w14:paraId="03A1E992">
      <w:pPr>
        <w:adjustRightInd w:val="0"/>
        <w:snapToGrid w:val="0"/>
        <w:spacing w:line="460" w:lineRule="exact"/>
        <w:ind w:firstLine="560" w:firstLineChars="200"/>
        <w:rPr>
          <w:rFonts w:ascii="宋体" w:hAnsi="宋体" w:cs="宋体"/>
          <w:bCs/>
          <w:color w:val="auto"/>
          <w:kern w:val="0"/>
          <w:sz w:val="28"/>
          <w:szCs w:val="28"/>
          <w:lang w:val="zh-CN"/>
        </w:rPr>
      </w:pP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lang w:val="zh-CN"/>
        </w:rPr>
        <w:t>.评审办法中未涉及的事项，供应商认为需要提交的其他资料。</w:t>
      </w:r>
    </w:p>
    <w:p w14:paraId="4868660C">
      <w:pPr>
        <w:adjustRightInd w:val="0"/>
        <w:snapToGrid w:val="0"/>
        <w:spacing w:line="460" w:lineRule="exact"/>
        <w:ind w:firstLine="562" w:firstLineChars="200"/>
        <w:outlineLvl w:val="1"/>
        <w:rPr>
          <w:rFonts w:ascii="宋体" w:hAnsi="宋体" w:cs="宋体"/>
          <w:b/>
          <w:bCs/>
          <w:color w:val="auto"/>
          <w:kern w:val="0"/>
          <w:sz w:val="28"/>
          <w:szCs w:val="28"/>
        </w:rPr>
      </w:pPr>
      <w:r>
        <w:rPr>
          <w:rFonts w:hint="eastAsia" w:ascii="宋体" w:hAnsi="宋体" w:cs="宋体"/>
          <w:b/>
          <w:bCs/>
          <w:color w:val="auto"/>
          <w:kern w:val="0"/>
          <w:sz w:val="28"/>
          <w:szCs w:val="28"/>
          <w:lang w:val="zh-CN"/>
        </w:rPr>
        <w:t>三、价格文件</w:t>
      </w:r>
    </w:p>
    <w:p w14:paraId="044FEDC2">
      <w:pPr>
        <w:adjustRightInd w:val="0"/>
        <w:snapToGrid w:val="0"/>
        <w:spacing w:line="460" w:lineRule="exact"/>
        <w:ind w:firstLine="560" w:firstLineChars="200"/>
        <w:outlineLvl w:val="1"/>
        <w:rPr>
          <w:rFonts w:ascii="宋体" w:hAnsi="宋体" w:cs="宋体"/>
          <w:color w:val="auto"/>
          <w:kern w:val="0"/>
          <w:sz w:val="28"/>
          <w:szCs w:val="28"/>
          <w:lang w:val="zh-CN"/>
        </w:rPr>
      </w:pPr>
      <w:r>
        <w:rPr>
          <w:rFonts w:hint="eastAsia" w:ascii="宋体" w:hAnsi="宋体" w:cs="宋体"/>
          <w:color w:val="auto"/>
          <w:kern w:val="0"/>
          <w:sz w:val="28"/>
          <w:szCs w:val="28"/>
          <w:lang w:val="zh-CN"/>
        </w:rPr>
        <w:t>1.报价总表（格式见附件</w:t>
      </w:r>
      <w:r>
        <w:rPr>
          <w:rFonts w:hint="eastAsia" w:ascii="宋体" w:hAnsi="宋体" w:cs="宋体"/>
          <w:color w:val="auto"/>
          <w:kern w:val="0"/>
          <w:sz w:val="28"/>
          <w:szCs w:val="28"/>
        </w:rPr>
        <w:t>5</w:t>
      </w:r>
      <w:r>
        <w:rPr>
          <w:rFonts w:hint="eastAsia" w:ascii="宋体" w:hAnsi="宋体" w:cs="宋体"/>
          <w:color w:val="auto"/>
          <w:kern w:val="0"/>
          <w:sz w:val="28"/>
          <w:szCs w:val="28"/>
          <w:lang w:val="zh-CN"/>
        </w:rPr>
        <w:t xml:space="preserve">）； </w:t>
      </w:r>
    </w:p>
    <w:p w14:paraId="0795AD84">
      <w:pPr>
        <w:spacing w:line="440" w:lineRule="exact"/>
        <w:ind w:firstLine="560"/>
        <w:rPr>
          <w:rFonts w:ascii="宋体" w:hAnsi="宋体" w:cs="宋体"/>
          <w:color w:val="auto"/>
          <w:kern w:val="0"/>
          <w:sz w:val="28"/>
          <w:szCs w:val="28"/>
        </w:rPr>
      </w:pPr>
      <w:r>
        <w:rPr>
          <w:rFonts w:hint="eastAsia" w:ascii="宋体" w:hAnsi="宋体" w:cs="宋体"/>
          <w:color w:val="auto"/>
          <w:kern w:val="0"/>
          <w:sz w:val="28"/>
          <w:szCs w:val="28"/>
          <w:lang w:val="zh-CN"/>
        </w:rPr>
        <w:t>2.</w:t>
      </w:r>
      <w:r>
        <w:rPr>
          <w:rFonts w:hint="eastAsia" w:ascii="宋体" w:hAnsi="宋体" w:cs="宋体"/>
          <w:color w:val="auto"/>
          <w:kern w:val="0"/>
          <w:sz w:val="28"/>
          <w:szCs w:val="28"/>
        </w:rPr>
        <w:t>报价明细表（格式见附件6）；</w:t>
      </w:r>
    </w:p>
    <w:p w14:paraId="19FDE0BA">
      <w:pPr>
        <w:spacing w:line="440" w:lineRule="exact"/>
        <w:ind w:firstLine="560"/>
        <w:rPr>
          <w:rFonts w:ascii="宋体" w:hAnsi="宋体" w:cs="宋体"/>
          <w:color w:val="auto"/>
          <w:kern w:val="0"/>
          <w:sz w:val="28"/>
          <w:szCs w:val="28"/>
          <w:lang w:val="zh-CN"/>
        </w:rPr>
      </w:pPr>
      <w:r>
        <w:rPr>
          <w:rFonts w:hint="eastAsia" w:ascii="宋体" w:hAnsi="宋体" w:cs="宋体"/>
          <w:color w:val="auto"/>
          <w:kern w:val="0"/>
          <w:sz w:val="28"/>
          <w:szCs w:val="28"/>
        </w:rPr>
        <w:t>3.</w:t>
      </w:r>
      <w:r>
        <w:rPr>
          <w:rFonts w:hint="eastAsia" w:ascii="宋体" w:hAnsi="宋体" w:cs="宋体"/>
          <w:color w:val="auto"/>
          <w:sz w:val="28"/>
          <w:szCs w:val="28"/>
          <w:lang w:val="zh-CN"/>
        </w:rPr>
        <w:t>供应商信用承诺书</w:t>
      </w:r>
      <w:r>
        <w:rPr>
          <w:rFonts w:hint="eastAsia" w:ascii="宋体" w:hAnsi="宋体" w:cs="宋体"/>
          <w:color w:val="auto"/>
          <w:sz w:val="28"/>
          <w:szCs w:val="28"/>
        </w:rPr>
        <w:t>（</w:t>
      </w:r>
      <w:r>
        <w:rPr>
          <w:rFonts w:hint="eastAsia" w:ascii="宋体" w:hAnsi="宋体" w:cs="宋体"/>
          <w:color w:val="auto"/>
          <w:sz w:val="28"/>
          <w:szCs w:val="28"/>
          <w:lang w:val="zh-CN"/>
        </w:rPr>
        <w:t>格式见附件</w:t>
      </w:r>
      <w:r>
        <w:rPr>
          <w:rFonts w:hint="eastAsia" w:ascii="宋体" w:hAnsi="宋体" w:cs="宋体"/>
          <w:color w:val="auto"/>
          <w:sz w:val="28"/>
          <w:szCs w:val="28"/>
        </w:rPr>
        <w:t>7）</w:t>
      </w:r>
    </w:p>
    <w:p w14:paraId="197C1622">
      <w:pPr>
        <w:adjustRightInd w:val="0"/>
        <w:snapToGrid w:val="0"/>
        <w:spacing w:line="460" w:lineRule="exact"/>
        <w:ind w:firstLine="562" w:firstLineChars="200"/>
        <w:outlineLvl w:val="1"/>
        <w:rPr>
          <w:rFonts w:ascii="宋体" w:hAnsi="宋体" w:cs="宋体"/>
          <w:color w:val="auto"/>
          <w:kern w:val="0"/>
          <w:sz w:val="28"/>
          <w:szCs w:val="28"/>
        </w:rPr>
      </w:pPr>
      <w:r>
        <w:rPr>
          <w:rFonts w:hint="eastAsia" w:ascii="宋体" w:hAnsi="宋体" w:cs="宋体"/>
          <w:b/>
          <w:bCs/>
          <w:color w:val="auto"/>
          <w:kern w:val="0"/>
          <w:sz w:val="28"/>
          <w:szCs w:val="28"/>
        </w:rPr>
        <w:t>四、电子响应文件（一份）</w:t>
      </w:r>
    </w:p>
    <w:p w14:paraId="3F0FCC5C">
      <w:pPr>
        <w:adjustRightInd w:val="0"/>
        <w:snapToGrid w:val="0"/>
        <w:spacing w:line="460" w:lineRule="exact"/>
        <w:ind w:firstLine="560" w:firstLineChars="200"/>
        <w:rPr>
          <w:rFonts w:ascii="宋体" w:hAnsi="宋体" w:cs="宋体"/>
          <w:color w:val="auto"/>
          <w:kern w:val="0"/>
          <w:sz w:val="28"/>
          <w:szCs w:val="28"/>
          <w:lang w:val="zh-CN"/>
        </w:rPr>
      </w:pPr>
      <w:r>
        <w:rPr>
          <w:rFonts w:hint="eastAsia" w:ascii="宋体" w:hAnsi="宋体" w:cs="宋体"/>
          <w:color w:val="auto"/>
          <w:kern w:val="0"/>
          <w:sz w:val="28"/>
          <w:szCs w:val="28"/>
        </w:rPr>
        <w:t>电子响应文件的内容为“资格审查文件、商务技术文件、价格文件”的打印盖章后的响应文件的扫描件（资格审查文件、商务技术文件、价格文件需分别逐页连续扫描为三个独立的PDF文件）。</w:t>
      </w:r>
    </w:p>
    <w:p w14:paraId="28D16F2A">
      <w:pPr>
        <w:snapToGrid w:val="0"/>
        <w:spacing w:line="360" w:lineRule="auto"/>
        <w:ind w:firstLine="540" w:firstLineChars="192"/>
        <w:contextualSpacing/>
        <w:rPr>
          <w:rFonts w:ascii="宋体" w:hAnsi="宋体" w:cs="宋体"/>
          <w:b/>
          <w:color w:val="auto"/>
          <w:kern w:val="0"/>
          <w:sz w:val="28"/>
          <w:szCs w:val="28"/>
        </w:rPr>
      </w:pPr>
    </w:p>
    <w:p w14:paraId="56EEED71">
      <w:pPr>
        <w:snapToGrid w:val="0"/>
        <w:spacing w:line="360" w:lineRule="auto"/>
        <w:contextualSpacing/>
        <w:rPr>
          <w:rFonts w:ascii="宋体" w:hAnsi="宋体" w:cs="宋体"/>
          <w:color w:val="auto"/>
          <w:kern w:val="0"/>
          <w:sz w:val="32"/>
          <w:szCs w:val="32"/>
          <w:lang w:val="zh-CN"/>
        </w:rPr>
      </w:pPr>
    </w:p>
    <w:p w14:paraId="52C05D99">
      <w:pPr>
        <w:snapToGrid w:val="0"/>
        <w:spacing w:line="360" w:lineRule="auto"/>
        <w:contextualSpacing/>
        <w:rPr>
          <w:rFonts w:ascii="宋体" w:hAnsi="宋体" w:cs="宋体"/>
          <w:color w:val="auto"/>
          <w:kern w:val="0"/>
          <w:sz w:val="32"/>
          <w:szCs w:val="32"/>
          <w:lang w:val="zh-CN"/>
        </w:rPr>
      </w:pPr>
    </w:p>
    <w:p w14:paraId="0C7DFF40">
      <w:pPr>
        <w:snapToGrid w:val="0"/>
        <w:spacing w:line="360" w:lineRule="auto"/>
        <w:contextualSpacing/>
        <w:rPr>
          <w:rFonts w:ascii="宋体" w:hAnsi="宋体" w:cs="宋体"/>
          <w:color w:val="auto"/>
          <w:kern w:val="0"/>
          <w:sz w:val="32"/>
          <w:szCs w:val="32"/>
          <w:lang w:val="zh-CN"/>
        </w:rPr>
      </w:pPr>
    </w:p>
    <w:p w14:paraId="1460A14C">
      <w:pPr>
        <w:snapToGrid w:val="0"/>
        <w:spacing w:line="360" w:lineRule="auto"/>
        <w:contextualSpacing/>
        <w:rPr>
          <w:rFonts w:ascii="宋体" w:hAnsi="宋体" w:cs="宋体"/>
          <w:color w:val="auto"/>
          <w:kern w:val="0"/>
          <w:sz w:val="32"/>
          <w:szCs w:val="32"/>
          <w:lang w:val="zh-CN"/>
        </w:rPr>
      </w:pPr>
    </w:p>
    <w:p w14:paraId="2BCFF6F4">
      <w:pPr>
        <w:snapToGrid w:val="0"/>
        <w:spacing w:line="360" w:lineRule="auto"/>
        <w:contextualSpacing/>
        <w:rPr>
          <w:rFonts w:ascii="宋体" w:hAnsi="宋体" w:cs="宋体"/>
          <w:color w:val="auto"/>
          <w:kern w:val="0"/>
          <w:sz w:val="32"/>
          <w:szCs w:val="32"/>
          <w:lang w:val="zh-CN"/>
        </w:rPr>
      </w:pPr>
    </w:p>
    <w:p w14:paraId="545083FD">
      <w:pPr>
        <w:snapToGrid w:val="0"/>
        <w:spacing w:line="360" w:lineRule="auto"/>
        <w:contextualSpacing/>
        <w:rPr>
          <w:rFonts w:ascii="宋体" w:hAnsi="宋体" w:cs="宋体"/>
          <w:b/>
          <w:color w:val="auto"/>
          <w:sz w:val="30"/>
          <w:szCs w:val="30"/>
        </w:rPr>
      </w:pPr>
      <w:r>
        <w:rPr>
          <w:rFonts w:hint="eastAsia" w:ascii="宋体" w:hAnsi="宋体" w:cs="宋体"/>
          <w:color w:val="auto"/>
          <w:kern w:val="0"/>
          <w:sz w:val="32"/>
          <w:szCs w:val="32"/>
          <w:lang w:val="zh-CN"/>
        </w:rPr>
        <w:t>附件1</w:t>
      </w:r>
    </w:p>
    <w:p w14:paraId="2957111A">
      <w:pPr>
        <w:spacing w:line="360" w:lineRule="auto"/>
        <w:jc w:val="center"/>
        <w:rPr>
          <w:rFonts w:ascii="宋体" w:hAnsi="宋体" w:cs="宋体"/>
          <w:b/>
          <w:color w:val="auto"/>
          <w:sz w:val="30"/>
          <w:szCs w:val="30"/>
        </w:rPr>
      </w:pPr>
      <w:r>
        <w:rPr>
          <w:rFonts w:hint="eastAsia" w:ascii="宋体" w:hAnsi="宋体" w:cs="宋体"/>
          <w:b/>
          <w:color w:val="auto"/>
          <w:sz w:val="30"/>
          <w:szCs w:val="30"/>
        </w:rPr>
        <w:t>供应商符合本项目供应商资格要求的承诺函</w:t>
      </w:r>
    </w:p>
    <w:p w14:paraId="35CE3A15">
      <w:pPr>
        <w:spacing w:line="360" w:lineRule="auto"/>
        <w:rPr>
          <w:rFonts w:ascii="宋体" w:hAnsi="宋体" w:cs="宋体"/>
          <w:b/>
          <w:bCs/>
          <w:color w:val="auto"/>
          <w:sz w:val="44"/>
          <w:szCs w:val="44"/>
        </w:rPr>
      </w:pPr>
      <w:r>
        <w:rPr>
          <w:rFonts w:hint="eastAsia" w:ascii="宋体" w:hAnsi="宋体" w:cs="宋体"/>
          <w:b/>
          <w:bCs/>
          <w:color w:val="auto"/>
          <w:sz w:val="24"/>
          <w:szCs w:val="21"/>
        </w:rPr>
        <w:t xml:space="preserve">                       </w:t>
      </w:r>
      <w:r>
        <w:rPr>
          <w:rFonts w:hint="eastAsia" w:ascii="宋体" w:hAnsi="宋体" w:cs="宋体"/>
          <w:b/>
          <w:bCs/>
          <w:color w:val="auto"/>
          <w:sz w:val="44"/>
          <w:szCs w:val="44"/>
        </w:rPr>
        <w:t xml:space="preserve">   </w:t>
      </w:r>
    </w:p>
    <w:p w14:paraId="7360E43C">
      <w:pPr>
        <w:spacing w:line="360" w:lineRule="auto"/>
        <w:ind w:firstLine="480" w:firstLineChars="200"/>
        <w:rPr>
          <w:rFonts w:ascii="宋体" w:hAnsi="宋体" w:cs="宋体"/>
          <w:b/>
          <w:bCs/>
          <w:color w:val="auto"/>
          <w:sz w:val="24"/>
        </w:rPr>
      </w:pPr>
      <w:r>
        <w:rPr>
          <w:rFonts w:hint="eastAsia" w:ascii="宋体" w:hAnsi="宋体" w:cs="宋体"/>
          <w:bCs/>
          <w:color w:val="auto"/>
          <w:sz w:val="24"/>
        </w:rPr>
        <w:t>我单位参加</w:t>
      </w:r>
      <w:r>
        <w:rPr>
          <w:rFonts w:hint="eastAsia" w:ascii="宋体" w:hAnsi="宋体" w:cs="宋体"/>
          <w:bCs/>
          <w:color w:val="auto"/>
          <w:sz w:val="24"/>
          <w:szCs w:val="21"/>
          <w:u w:val="single"/>
        </w:rPr>
        <w:t>________________ _</w:t>
      </w:r>
      <w:r>
        <w:rPr>
          <w:rFonts w:hint="eastAsia" w:ascii="宋体" w:hAnsi="宋体" w:cs="宋体"/>
          <w:bCs/>
          <w:color w:val="auto"/>
          <w:sz w:val="24"/>
          <w:szCs w:val="21"/>
        </w:rPr>
        <w:t>（项目名称），</w:t>
      </w:r>
      <w:r>
        <w:rPr>
          <w:rFonts w:hint="eastAsia" w:ascii="宋体" w:hAnsi="宋体" w:cs="宋体"/>
          <w:bCs/>
          <w:color w:val="auto"/>
          <w:sz w:val="24"/>
          <w:szCs w:val="21"/>
          <w:u w:val="single"/>
        </w:rPr>
        <w:t>_______ __________</w:t>
      </w:r>
      <w:r>
        <w:rPr>
          <w:rFonts w:hint="eastAsia" w:ascii="宋体" w:hAnsi="宋体" w:cs="宋体"/>
          <w:bCs/>
          <w:color w:val="auto"/>
          <w:sz w:val="24"/>
          <w:szCs w:val="21"/>
        </w:rPr>
        <w:t>（项目编号）投标活动。针对本项目供应商资格要求做出如下承诺：</w:t>
      </w:r>
    </w:p>
    <w:p w14:paraId="48B36845">
      <w:pPr>
        <w:spacing w:line="360" w:lineRule="auto"/>
        <w:ind w:firstLine="480" w:firstLineChars="200"/>
        <w:rPr>
          <w:rFonts w:ascii="宋体" w:hAnsi="宋体" w:cs="宋体"/>
          <w:color w:val="auto"/>
          <w:sz w:val="24"/>
        </w:rPr>
      </w:pPr>
      <w:r>
        <w:rPr>
          <w:rFonts w:hint="eastAsia" w:ascii="宋体" w:hAnsi="宋体" w:cs="宋体"/>
          <w:bCs/>
          <w:color w:val="auto"/>
          <w:sz w:val="24"/>
          <w:szCs w:val="21"/>
        </w:rPr>
        <w:t>1.我单位具有独立承担民事责任的能力；</w:t>
      </w:r>
    </w:p>
    <w:p w14:paraId="3128751B">
      <w:pPr>
        <w:spacing w:line="360" w:lineRule="auto"/>
        <w:ind w:firstLine="480" w:firstLineChars="200"/>
        <w:rPr>
          <w:rFonts w:ascii="宋体" w:hAnsi="宋体" w:cs="宋体"/>
          <w:color w:val="auto"/>
          <w:sz w:val="24"/>
        </w:rPr>
      </w:pPr>
      <w:r>
        <w:rPr>
          <w:rFonts w:hint="eastAsia" w:ascii="宋体" w:hAnsi="宋体" w:cs="宋体"/>
          <w:color w:val="auto"/>
          <w:sz w:val="24"/>
        </w:rPr>
        <w:t>2.我单位具有良好的商业信誉和健全的财务会计制度；</w:t>
      </w:r>
    </w:p>
    <w:p w14:paraId="5CD5BE9D">
      <w:pPr>
        <w:spacing w:line="360" w:lineRule="auto"/>
        <w:ind w:firstLine="480" w:firstLineChars="200"/>
        <w:rPr>
          <w:rFonts w:ascii="宋体" w:hAnsi="宋体" w:cs="宋体"/>
          <w:color w:val="auto"/>
          <w:sz w:val="24"/>
        </w:rPr>
      </w:pPr>
      <w:r>
        <w:rPr>
          <w:rFonts w:hint="eastAsia" w:ascii="宋体" w:hAnsi="宋体" w:cs="宋体"/>
          <w:color w:val="auto"/>
          <w:sz w:val="24"/>
        </w:rPr>
        <w:t>3.我单位具有履行合同所必需的设备和专业技术能力；</w:t>
      </w:r>
    </w:p>
    <w:p w14:paraId="58A8E923">
      <w:pPr>
        <w:spacing w:line="360" w:lineRule="auto"/>
        <w:ind w:firstLine="480" w:firstLineChars="200"/>
        <w:rPr>
          <w:rFonts w:ascii="宋体" w:hAnsi="宋体" w:cs="宋体"/>
          <w:color w:val="auto"/>
          <w:sz w:val="24"/>
        </w:rPr>
      </w:pPr>
      <w:r>
        <w:rPr>
          <w:rFonts w:hint="eastAsia" w:ascii="宋体" w:hAnsi="宋体" w:cs="宋体"/>
          <w:color w:val="auto"/>
          <w:sz w:val="24"/>
        </w:rPr>
        <w:t>4.我单位有依法缴纳税收和社会保障资金的良好记录；</w:t>
      </w:r>
    </w:p>
    <w:p w14:paraId="668EB565">
      <w:pPr>
        <w:spacing w:line="360" w:lineRule="auto"/>
        <w:ind w:firstLine="480" w:firstLineChars="200"/>
        <w:rPr>
          <w:rFonts w:ascii="宋体" w:hAnsi="宋体" w:cs="宋体"/>
          <w:color w:val="auto"/>
          <w:sz w:val="24"/>
        </w:rPr>
      </w:pPr>
      <w:r>
        <w:rPr>
          <w:rFonts w:hint="eastAsia" w:ascii="宋体" w:hAnsi="宋体" w:cs="宋体"/>
          <w:color w:val="auto"/>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69141432">
      <w:pPr>
        <w:spacing w:line="360" w:lineRule="auto"/>
        <w:ind w:firstLine="480" w:firstLineChars="200"/>
        <w:rPr>
          <w:rFonts w:ascii="宋体" w:hAnsi="宋体" w:cs="宋体"/>
          <w:color w:val="auto"/>
          <w:sz w:val="24"/>
        </w:rPr>
      </w:pPr>
      <w:r>
        <w:rPr>
          <w:rFonts w:hint="eastAsia" w:ascii="宋体" w:hAnsi="宋体" w:cs="宋体"/>
          <w:color w:val="auto"/>
          <w:sz w:val="24"/>
        </w:rPr>
        <w:t>6.我单位满足法律、行政法规规定的其他条件。</w:t>
      </w:r>
    </w:p>
    <w:p w14:paraId="551530B4">
      <w:pPr>
        <w:spacing w:line="360" w:lineRule="auto"/>
        <w:ind w:firstLine="480" w:firstLineChars="200"/>
        <w:rPr>
          <w:rFonts w:ascii="宋体" w:hAnsi="宋体" w:cs="宋体"/>
          <w:color w:val="auto"/>
          <w:sz w:val="24"/>
        </w:rPr>
      </w:pPr>
    </w:p>
    <w:p w14:paraId="08ECDEBE">
      <w:pPr>
        <w:spacing w:line="360" w:lineRule="auto"/>
        <w:ind w:firstLine="480" w:firstLineChars="200"/>
        <w:rPr>
          <w:rFonts w:ascii="宋体" w:hAnsi="宋体" w:cs="宋体"/>
          <w:color w:val="auto"/>
          <w:sz w:val="24"/>
        </w:rPr>
      </w:pPr>
    </w:p>
    <w:p w14:paraId="4A9EDA79">
      <w:pPr>
        <w:spacing w:line="360" w:lineRule="auto"/>
        <w:ind w:firstLine="480" w:firstLineChars="200"/>
        <w:rPr>
          <w:rFonts w:ascii="宋体" w:hAnsi="宋体" w:cs="宋体"/>
          <w:bCs/>
          <w:color w:val="auto"/>
          <w:sz w:val="24"/>
          <w:szCs w:val="21"/>
        </w:rPr>
      </w:pPr>
    </w:p>
    <w:p w14:paraId="67FFD4A5">
      <w:pPr>
        <w:spacing w:line="360" w:lineRule="auto"/>
        <w:ind w:firstLine="480" w:firstLineChars="200"/>
        <w:rPr>
          <w:rFonts w:ascii="宋体" w:hAnsi="宋体" w:cs="宋体"/>
          <w:bCs/>
          <w:color w:val="auto"/>
          <w:sz w:val="24"/>
          <w:szCs w:val="21"/>
        </w:rPr>
      </w:pPr>
    </w:p>
    <w:p w14:paraId="388C2737">
      <w:pPr>
        <w:spacing w:line="360" w:lineRule="auto"/>
        <w:ind w:firstLine="480" w:firstLineChars="200"/>
        <w:rPr>
          <w:rFonts w:ascii="宋体" w:hAnsi="宋体" w:cs="宋体"/>
          <w:bCs/>
          <w:color w:val="auto"/>
          <w:sz w:val="24"/>
          <w:szCs w:val="21"/>
        </w:rPr>
      </w:pPr>
    </w:p>
    <w:p w14:paraId="79DD792E">
      <w:pPr>
        <w:spacing w:line="360" w:lineRule="auto"/>
        <w:ind w:firstLine="480" w:firstLineChars="200"/>
        <w:jc w:val="center"/>
        <w:rPr>
          <w:rFonts w:ascii="宋体" w:hAnsi="宋体" w:cs="宋体"/>
          <w:bCs/>
          <w:color w:val="auto"/>
          <w:sz w:val="24"/>
          <w:szCs w:val="21"/>
        </w:rPr>
      </w:pPr>
      <w:r>
        <w:rPr>
          <w:rFonts w:hint="eastAsia" w:ascii="宋体" w:hAnsi="宋体" w:cs="宋体"/>
          <w:bCs/>
          <w:color w:val="auto"/>
          <w:sz w:val="24"/>
          <w:szCs w:val="21"/>
        </w:rPr>
        <w:t xml:space="preserve">                                             承诺人名称（公章）：</w:t>
      </w:r>
    </w:p>
    <w:p w14:paraId="00CC2A4E">
      <w:pPr>
        <w:spacing w:line="360" w:lineRule="auto"/>
        <w:ind w:firstLine="480" w:firstLineChars="200"/>
        <w:jc w:val="right"/>
        <w:rPr>
          <w:rFonts w:ascii="宋体" w:hAnsi="宋体" w:cs="宋体"/>
          <w:bCs/>
          <w:color w:val="auto"/>
          <w:sz w:val="24"/>
          <w:szCs w:val="21"/>
        </w:rPr>
      </w:pPr>
    </w:p>
    <w:p w14:paraId="510B3291">
      <w:pPr>
        <w:spacing w:line="360" w:lineRule="auto"/>
        <w:ind w:firstLine="480" w:firstLineChars="200"/>
        <w:jc w:val="right"/>
        <w:rPr>
          <w:rFonts w:ascii="宋体" w:hAnsi="宋体" w:cs="宋体"/>
          <w:bCs/>
          <w:color w:val="auto"/>
          <w:sz w:val="24"/>
          <w:szCs w:val="21"/>
        </w:rPr>
      </w:pPr>
    </w:p>
    <w:p w14:paraId="5259CCE8">
      <w:pPr>
        <w:spacing w:line="360" w:lineRule="auto"/>
        <w:ind w:firstLine="480" w:firstLineChars="200"/>
        <w:jc w:val="right"/>
        <w:rPr>
          <w:rFonts w:ascii="宋体" w:hAnsi="宋体" w:cs="宋体"/>
          <w:bCs/>
          <w:color w:val="auto"/>
          <w:sz w:val="24"/>
          <w:szCs w:val="21"/>
        </w:rPr>
      </w:pPr>
      <w:r>
        <w:rPr>
          <w:rFonts w:hint="eastAsia" w:ascii="宋体" w:hAnsi="宋体" w:cs="宋体"/>
          <w:bCs/>
          <w:color w:val="auto"/>
          <w:sz w:val="24"/>
          <w:szCs w:val="21"/>
        </w:rPr>
        <w:t xml:space="preserve">    </w:t>
      </w:r>
    </w:p>
    <w:p w14:paraId="5A55E9A8">
      <w:pPr>
        <w:spacing w:line="360" w:lineRule="auto"/>
        <w:ind w:firstLine="480" w:firstLineChars="200"/>
        <w:jc w:val="right"/>
        <w:rPr>
          <w:rFonts w:ascii="宋体" w:hAnsi="宋体" w:cs="宋体"/>
          <w:bCs/>
          <w:color w:val="auto"/>
          <w:sz w:val="24"/>
          <w:szCs w:val="21"/>
        </w:rPr>
      </w:pPr>
      <w:r>
        <w:rPr>
          <w:rFonts w:hint="eastAsia" w:ascii="宋体" w:hAnsi="宋体" w:cs="宋体"/>
          <w:bCs/>
          <w:color w:val="auto"/>
          <w:sz w:val="24"/>
          <w:szCs w:val="21"/>
        </w:rPr>
        <w:t xml:space="preserve">                                 日期：</w:t>
      </w:r>
      <w:r>
        <w:rPr>
          <w:rFonts w:hint="eastAsia" w:ascii="宋体" w:hAnsi="宋体" w:cs="宋体"/>
          <w:bCs/>
          <w:color w:val="auto"/>
          <w:sz w:val="24"/>
          <w:szCs w:val="21"/>
          <w:u w:val="single"/>
        </w:rPr>
        <w:t>______</w:t>
      </w:r>
      <w:r>
        <w:rPr>
          <w:rFonts w:hint="eastAsia" w:ascii="宋体" w:hAnsi="宋体" w:cs="宋体"/>
          <w:bCs/>
          <w:color w:val="auto"/>
          <w:sz w:val="24"/>
          <w:szCs w:val="21"/>
        </w:rPr>
        <w:t>年</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月</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日</w:t>
      </w:r>
    </w:p>
    <w:p w14:paraId="1D0DB885">
      <w:pPr>
        <w:snapToGrid w:val="0"/>
        <w:spacing w:line="360" w:lineRule="auto"/>
        <w:ind w:firstLine="540" w:firstLineChars="192"/>
        <w:contextualSpacing/>
        <w:rPr>
          <w:rFonts w:ascii="宋体" w:hAnsi="宋体" w:cs="宋体"/>
          <w:b/>
          <w:color w:val="auto"/>
          <w:kern w:val="0"/>
          <w:sz w:val="28"/>
          <w:szCs w:val="28"/>
        </w:rPr>
      </w:pPr>
    </w:p>
    <w:p w14:paraId="526EB66B">
      <w:pPr>
        <w:snapToGrid w:val="0"/>
        <w:spacing w:line="360" w:lineRule="auto"/>
        <w:ind w:firstLine="540" w:firstLineChars="192"/>
        <w:contextualSpacing/>
        <w:rPr>
          <w:rFonts w:ascii="宋体" w:hAnsi="宋体" w:cs="宋体"/>
          <w:b/>
          <w:color w:val="auto"/>
          <w:kern w:val="0"/>
          <w:sz w:val="28"/>
          <w:szCs w:val="28"/>
        </w:rPr>
      </w:pPr>
    </w:p>
    <w:p w14:paraId="478DF1EB">
      <w:pPr>
        <w:snapToGrid w:val="0"/>
        <w:spacing w:line="360" w:lineRule="auto"/>
        <w:contextualSpacing/>
        <w:rPr>
          <w:rFonts w:ascii="宋体" w:hAnsi="宋体" w:cs="宋体"/>
          <w:color w:val="auto"/>
          <w:kern w:val="0"/>
          <w:sz w:val="32"/>
          <w:szCs w:val="32"/>
          <w:lang w:val="zh-CN"/>
        </w:rPr>
      </w:pPr>
      <w:r>
        <w:rPr>
          <w:rFonts w:hint="eastAsia" w:ascii="宋体" w:hAnsi="宋体" w:cs="宋体"/>
          <w:color w:val="auto"/>
          <w:kern w:val="0"/>
          <w:sz w:val="32"/>
          <w:szCs w:val="32"/>
          <w:lang w:val="zh-CN"/>
        </w:rPr>
        <w:br w:type="page"/>
      </w:r>
      <w:r>
        <w:rPr>
          <w:rFonts w:hint="eastAsia" w:ascii="宋体" w:hAnsi="宋体" w:cs="宋体"/>
          <w:color w:val="auto"/>
          <w:kern w:val="0"/>
          <w:sz w:val="32"/>
          <w:szCs w:val="32"/>
          <w:lang w:val="zh-CN"/>
        </w:rPr>
        <w:t>附件2</w:t>
      </w:r>
    </w:p>
    <w:p w14:paraId="0FBAB033">
      <w:pPr>
        <w:spacing w:line="360" w:lineRule="auto"/>
        <w:jc w:val="center"/>
        <w:rPr>
          <w:rFonts w:ascii="宋体" w:hAnsi="宋体" w:cs="宋体"/>
          <w:b/>
          <w:bCs/>
          <w:color w:val="auto"/>
          <w:sz w:val="32"/>
          <w:szCs w:val="32"/>
        </w:rPr>
      </w:pPr>
    </w:p>
    <w:p w14:paraId="6BF9B58F">
      <w:pPr>
        <w:spacing w:line="360" w:lineRule="auto"/>
        <w:jc w:val="center"/>
        <w:rPr>
          <w:rFonts w:ascii="宋体" w:hAnsi="宋体" w:cs="宋体"/>
          <w:b/>
          <w:bCs/>
          <w:color w:val="auto"/>
          <w:sz w:val="32"/>
          <w:szCs w:val="32"/>
        </w:rPr>
      </w:pPr>
    </w:p>
    <w:p w14:paraId="50051A76">
      <w:pPr>
        <w:spacing w:line="360" w:lineRule="auto"/>
        <w:jc w:val="center"/>
        <w:rPr>
          <w:rFonts w:ascii="宋体" w:hAnsi="宋体" w:cs="宋体"/>
          <w:b/>
          <w:bCs/>
          <w:color w:val="auto"/>
          <w:sz w:val="32"/>
          <w:szCs w:val="32"/>
        </w:rPr>
      </w:pPr>
    </w:p>
    <w:p w14:paraId="631928B3">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法定代表人身份证明</w:t>
      </w:r>
    </w:p>
    <w:p w14:paraId="1E622168">
      <w:pPr>
        <w:spacing w:line="360" w:lineRule="auto"/>
        <w:rPr>
          <w:rFonts w:ascii="宋体" w:hAnsi="宋体" w:cs="宋体"/>
          <w:color w:val="auto"/>
          <w:sz w:val="24"/>
        </w:rPr>
      </w:pPr>
    </w:p>
    <w:p w14:paraId="26491CB8">
      <w:pPr>
        <w:spacing w:line="360" w:lineRule="auto"/>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先生/女士： 现任我单位</w:t>
      </w:r>
      <w:r>
        <w:rPr>
          <w:rFonts w:hint="eastAsia" w:ascii="宋体" w:hAnsi="宋体" w:cs="宋体"/>
          <w:color w:val="auto"/>
          <w:sz w:val="24"/>
          <w:u w:val="single"/>
        </w:rPr>
        <w:t xml:space="preserve">        </w:t>
      </w:r>
      <w:r>
        <w:rPr>
          <w:rFonts w:hint="eastAsia" w:ascii="宋体" w:hAnsi="宋体" w:cs="宋体"/>
          <w:color w:val="auto"/>
          <w:sz w:val="24"/>
        </w:rPr>
        <w:t>职务，为法定代表人，特此证明。</w:t>
      </w:r>
    </w:p>
    <w:p w14:paraId="0ACBB496">
      <w:pPr>
        <w:spacing w:line="360" w:lineRule="auto"/>
        <w:ind w:firstLine="480"/>
        <w:rPr>
          <w:rFonts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2FDA7863">
      <w:pPr>
        <w:spacing w:line="360" w:lineRule="auto"/>
        <w:ind w:firstLine="480"/>
        <w:rPr>
          <w:rFonts w:ascii="宋体" w:hAnsi="宋体" w:cs="宋体"/>
          <w:color w:val="auto"/>
          <w:sz w:val="24"/>
        </w:rPr>
      </w:pPr>
    </w:p>
    <w:p w14:paraId="2EA33C08">
      <w:pPr>
        <w:spacing w:line="360" w:lineRule="auto"/>
        <w:rPr>
          <w:rFonts w:ascii="宋体" w:hAnsi="宋体" w:cs="宋体"/>
          <w:b/>
          <w:color w:val="auto"/>
          <w:sz w:val="24"/>
        </w:rPr>
      </w:pPr>
      <w:r>
        <w:rPr>
          <w:rFonts w:hint="eastAsia" w:ascii="宋体" w:hAnsi="宋体" w:cs="宋体"/>
          <w:b/>
          <w:color w:val="auto"/>
          <w:sz w:val="24"/>
        </w:rPr>
        <w:t>注：提供法定代表人的身份证复印件盖公章</w:t>
      </w:r>
    </w:p>
    <w:p w14:paraId="2595B192">
      <w:pPr>
        <w:spacing w:line="360" w:lineRule="auto"/>
        <w:ind w:firstLine="480" w:firstLineChars="200"/>
        <w:rPr>
          <w:rFonts w:ascii="宋体" w:hAnsi="宋体" w:cs="宋体"/>
          <w:color w:val="auto"/>
          <w:sz w:val="24"/>
        </w:rPr>
      </w:pPr>
    </w:p>
    <w:p w14:paraId="47ECF9FD">
      <w:pPr>
        <w:spacing w:line="360" w:lineRule="auto"/>
        <w:rPr>
          <w:rFonts w:ascii="宋体" w:hAnsi="宋体" w:cs="宋体"/>
          <w:color w:val="auto"/>
        </w:rPr>
      </w:pPr>
    </w:p>
    <w:p w14:paraId="3014A5AD">
      <w:pPr>
        <w:snapToGrid w:val="0"/>
        <w:spacing w:line="360" w:lineRule="auto"/>
        <w:ind w:firstLine="540" w:firstLineChars="192"/>
        <w:contextualSpacing/>
        <w:rPr>
          <w:rFonts w:ascii="宋体" w:hAnsi="宋体" w:cs="宋体"/>
          <w:b/>
          <w:color w:val="auto"/>
          <w:kern w:val="0"/>
          <w:sz w:val="28"/>
          <w:szCs w:val="28"/>
        </w:rPr>
      </w:pPr>
    </w:p>
    <w:p w14:paraId="327B0A3B">
      <w:pPr>
        <w:snapToGrid w:val="0"/>
        <w:spacing w:line="360" w:lineRule="auto"/>
        <w:ind w:firstLine="540" w:firstLineChars="192"/>
        <w:contextualSpacing/>
        <w:rPr>
          <w:rFonts w:ascii="宋体" w:hAnsi="宋体" w:cs="宋体"/>
          <w:b/>
          <w:color w:val="auto"/>
          <w:kern w:val="0"/>
          <w:sz w:val="28"/>
          <w:szCs w:val="28"/>
          <w:lang w:val="zh-CN"/>
        </w:rPr>
      </w:pPr>
    </w:p>
    <w:p w14:paraId="1DDEE62E">
      <w:pPr>
        <w:snapToGrid w:val="0"/>
        <w:spacing w:line="360" w:lineRule="auto"/>
        <w:ind w:firstLine="540" w:firstLineChars="192"/>
        <w:contextualSpacing/>
        <w:rPr>
          <w:rFonts w:ascii="宋体" w:hAnsi="宋体" w:cs="宋体"/>
          <w:b/>
          <w:color w:val="auto"/>
          <w:kern w:val="0"/>
          <w:sz w:val="28"/>
          <w:szCs w:val="28"/>
          <w:lang w:val="zh-CN"/>
        </w:rPr>
      </w:pPr>
    </w:p>
    <w:p w14:paraId="137AADAC">
      <w:pPr>
        <w:snapToGrid w:val="0"/>
        <w:spacing w:line="360" w:lineRule="auto"/>
        <w:ind w:firstLine="540" w:firstLineChars="192"/>
        <w:contextualSpacing/>
        <w:rPr>
          <w:rFonts w:ascii="宋体" w:hAnsi="宋体" w:cs="宋体"/>
          <w:b/>
          <w:color w:val="auto"/>
          <w:kern w:val="0"/>
          <w:sz w:val="28"/>
          <w:szCs w:val="28"/>
          <w:lang w:val="zh-CN"/>
        </w:rPr>
      </w:pPr>
    </w:p>
    <w:p w14:paraId="03090646">
      <w:pPr>
        <w:snapToGrid w:val="0"/>
        <w:spacing w:line="360" w:lineRule="auto"/>
        <w:ind w:firstLine="540" w:firstLineChars="192"/>
        <w:contextualSpacing/>
        <w:rPr>
          <w:rFonts w:ascii="宋体" w:hAnsi="宋体" w:cs="宋体"/>
          <w:b/>
          <w:color w:val="auto"/>
          <w:kern w:val="0"/>
          <w:sz w:val="28"/>
          <w:szCs w:val="28"/>
          <w:lang w:val="zh-CN"/>
        </w:rPr>
      </w:pPr>
    </w:p>
    <w:p w14:paraId="5920117B">
      <w:pPr>
        <w:snapToGrid w:val="0"/>
        <w:spacing w:line="360" w:lineRule="auto"/>
        <w:ind w:firstLine="540" w:firstLineChars="192"/>
        <w:contextualSpacing/>
        <w:rPr>
          <w:rFonts w:ascii="宋体" w:hAnsi="宋体" w:cs="宋体"/>
          <w:b/>
          <w:color w:val="auto"/>
          <w:kern w:val="0"/>
          <w:sz w:val="28"/>
          <w:szCs w:val="28"/>
          <w:lang w:val="zh-CN"/>
        </w:rPr>
      </w:pPr>
    </w:p>
    <w:p w14:paraId="509298E2">
      <w:pPr>
        <w:snapToGrid w:val="0"/>
        <w:spacing w:line="360" w:lineRule="auto"/>
        <w:ind w:firstLine="540" w:firstLineChars="192"/>
        <w:contextualSpacing/>
        <w:rPr>
          <w:rFonts w:ascii="宋体" w:hAnsi="宋体" w:cs="宋体"/>
          <w:b/>
          <w:color w:val="auto"/>
          <w:kern w:val="0"/>
          <w:sz w:val="28"/>
          <w:szCs w:val="28"/>
          <w:lang w:val="zh-CN"/>
        </w:rPr>
      </w:pPr>
    </w:p>
    <w:p w14:paraId="0BAECB2C">
      <w:pPr>
        <w:snapToGrid w:val="0"/>
        <w:spacing w:line="360" w:lineRule="auto"/>
        <w:ind w:firstLine="540" w:firstLineChars="192"/>
        <w:contextualSpacing/>
        <w:rPr>
          <w:rFonts w:ascii="宋体" w:hAnsi="宋体" w:cs="宋体"/>
          <w:b/>
          <w:color w:val="auto"/>
          <w:kern w:val="0"/>
          <w:sz w:val="28"/>
          <w:szCs w:val="28"/>
          <w:lang w:val="zh-CN"/>
        </w:rPr>
      </w:pPr>
    </w:p>
    <w:p w14:paraId="6BDF8785">
      <w:pPr>
        <w:snapToGrid w:val="0"/>
        <w:spacing w:line="360" w:lineRule="auto"/>
        <w:ind w:firstLine="540" w:firstLineChars="192"/>
        <w:contextualSpacing/>
        <w:rPr>
          <w:rFonts w:ascii="宋体" w:hAnsi="宋体" w:cs="宋体"/>
          <w:b/>
          <w:color w:val="auto"/>
          <w:kern w:val="0"/>
          <w:sz w:val="28"/>
          <w:szCs w:val="28"/>
          <w:lang w:val="zh-CN"/>
        </w:rPr>
      </w:pPr>
    </w:p>
    <w:p w14:paraId="45A417F7">
      <w:pPr>
        <w:snapToGrid w:val="0"/>
        <w:spacing w:line="360" w:lineRule="auto"/>
        <w:ind w:firstLine="540" w:firstLineChars="192"/>
        <w:contextualSpacing/>
        <w:rPr>
          <w:rFonts w:ascii="宋体" w:hAnsi="宋体" w:cs="宋体"/>
          <w:b/>
          <w:color w:val="auto"/>
          <w:kern w:val="0"/>
          <w:sz w:val="28"/>
          <w:szCs w:val="28"/>
          <w:lang w:val="zh-CN"/>
        </w:rPr>
      </w:pPr>
    </w:p>
    <w:p w14:paraId="71CBAAA8">
      <w:pPr>
        <w:snapToGrid w:val="0"/>
        <w:spacing w:line="360" w:lineRule="auto"/>
        <w:contextualSpacing/>
        <w:rPr>
          <w:rFonts w:ascii="宋体" w:hAnsi="宋体" w:cs="宋体"/>
          <w:color w:val="auto"/>
          <w:kern w:val="0"/>
          <w:sz w:val="32"/>
          <w:szCs w:val="32"/>
          <w:lang w:val="zh-CN"/>
        </w:rPr>
      </w:pPr>
      <w:r>
        <w:rPr>
          <w:rFonts w:hint="eastAsia" w:ascii="宋体" w:hAnsi="宋体" w:cs="宋体"/>
          <w:color w:val="auto"/>
          <w:kern w:val="0"/>
          <w:sz w:val="32"/>
          <w:szCs w:val="32"/>
          <w:lang w:val="zh-CN"/>
        </w:rPr>
        <w:br w:type="page"/>
      </w:r>
      <w:r>
        <w:rPr>
          <w:rFonts w:hint="eastAsia" w:ascii="宋体" w:hAnsi="宋体" w:cs="宋体"/>
          <w:color w:val="auto"/>
          <w:kern w:val="0"/>
          <w:sz w:val="32"/>
          <w:szCs w:val="32"/>
          <w:lang w:val="zh-CN"/>
        </w:rPr>
        <w:t>附件3</w:t>
      </w:r>
    </w:p>
    <w:p w14:paraId="444460D3">
      <w:pPr>
        <w:spacing w:line="360" w:lineRule="auto"/>
        <w:jc w:val="center"/>
        <w:rPr>
          <w:rFonts w:ascii="宋体" w:hAnsi="宋体" w:cs="宋体"/>
          <w:color w:val="auto"/>
          <w:sz w:val="32"/>
          <w:szCs w:val="32"/>
        </w:rPr>
      </w:pPr>
    </w:p>
    <w:p w14:paraId="34C62A1F">
      <w:pPr>
        <w:spacing w:line="360" w:lineRule="auto"/>
        <w:ind w:firstLine="560" w:firstLineChars="200"/>
        <w:jc w:val="center"/>
        <w:rPr>
          <w:rFonts w:ascii="宋体" w:hAnsi="宋体" w:cs="宋体"/>
          <w:color w:val="auto"/>
          <w:sz w:val="28"/>
          <w:szCs w:val="28"/>
        </w:rPr>
      </w:pPr>
      <w:r>
        <w:rPr>
          <w:rFonts w:hint="eastAsia" w:ascii="宋体" w:hAnsi="宋体" w:cs="宋体"/>
          <w:color w:val="auto"/>
          <w:sz w:val="28"/>
          <w:szCs w:val="28"/>
        </w:rPr>
        <w:t>法定代表人授权委托书</w:t>
      </w:r>
    </w:p>
    <w:p w14:paraId="7D74DEAF">
      <w:pPr>
        <w:spacing w:line="360" w:lineRule="auto"/>
        <w:ind w:firstLine="560" w:firstLineChars="200"/>
        <w:rPr>
          <w:rFonts w:ascii="宋体" w:hAnsi="宋体" w:cs="宋体"/>
          <w:color w:val="auto"/>
          <w:sz w:val="28"/>
          <w:szCs w:val="28"/>
        </w:rPr>
      </w:pPr>
    </w:p>
    <w:p w14:paraId="790DBE3D">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本人------（姓名）系————（授权单位名称）的法定代表人，现委托-------（姓名）（身份证号——————）为我方代理人，以我方名义全权处理与本次采购项目（编号：----------）有关的一切事务，其法律后果由我方承担。</w:t>
      </w:r>
    </w:p>
    <w:p w14:paraId="1D50982D">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本授权书于---年---月---日起生效。代理人无转委托权。</w:t>
      </w:r>
    </w:p>
    <w:p w14:paraId="76C946A0">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代理人(被授权人):------</w:t>
      </w:r>
    </w:p>
    <w:p w14:paraId="65400DBD">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授权单位名称（盖章）：-----</w:t>
      </w:r>
    </w:p>
    <w:p w14:paraId="7045C6C7">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授权单位法定代表人（签字或盖章）：-----</w:t>
      </w:r>
    </w:p>
    <w:p w14:paraId="65FDB113">
      <w:pPr>
        <w:spacing w:line="360" w:lineRule="auto"/>
        <w:ind w:firstLine="560" w:firstLineChars="200"/>
        <w:jc w:val="right"/>
        <w:rPr>
          <w:rFonts w:ascii="宋体" w:hAnsi="宋体" w:cs="宋体"/>
          <w:color w:val="auto"/>
          <w:sz w:val="28"/>
          <w:szCs w:val="28"/>
        </w:rPr>
      </w:pPr>
    </w:p>
    <w:p w14:paraId="065F2275">
      <w:pPr>
        <w:spacing w:line="360" w:lineRule="auto"/>
        <w:ind w:firstLine="560" w:firstLineChars="200"/>
        <w:jc w:val="right"/>
        <w:rPr>
          <w:rFonts w:ascii="宋体" w:hAnsi="宋体" w:cs="宋体"/>
          <w:color w:val="auto"/>
          <w:sz w:val="28"/>
          <w:szCs w:val="28"/>
        </w:rPr>
      </w:pPr>
      <w:r>
        <w:rPr>
          <w:rFonts w:hint="eastAsia" w:ascii="宋体" w:hAnsi="宋体" w:cs="宋体"/>
          <w:color w:val="auto"/>
          <w:sz w:val="28"/>
          <w:szCs w:val="28"/>
        </w:rPr>
        <w:t>XXXX年XX月XX日</w:t>
      </w:r>
    </w:p>
    <w:p w14:paraId="075C92B5">
      <w:pPr>
        <w:snapToGrid w:val="0"/>
        <w:spacing w:line="360" w:lineRule="auto"/>
        <w:ind w:firstLine="562" w:firstLineChars="200"/>
        <w:contextualSpacing/>
        <w:rPr>
          <w:rFonts w:ascii="宋体" w:hAnsi="宋体" w:cs="宋体"/>
          <w:b/>
          <w:color w:val="auto"/>
          <w:kern w:val="0"/>
          <w:sz w:val="28"/>
          <w:szCs w:val="28"/>
        </w:rPr>
      </w:pPr>
    </w:p>
    <w:p w14:paraId="3568F4FE">
      <w:pPr>
        <w:snapToGrid w:val="0"/>
        <w:spacing w:line="360" w:lineRule="auto"/>
        <w:ind w:firstLine="562" w:firstLineChars="200"/>
        <w:contextualSpacing/>
        <w:rPr>
          <w:rFonts w:ascii="宋体" w:hAnsi="宋体" w:cs="宋体"/>
          <w:b/>
          <w:color w:val="auto"/>
          <w:kern w:val="0"/>
          <w:sz w:val="28"/>
          <w:szCs w:val="28"/>
        </w:rPr>
      </w:pPr>
      <w:r>
        <w:rPr>
          <w:rFonts w:hint="eastAsia" w:ascii="宋体" w:hAnsi="宋体" w:cs="宋体"/>
          <w:b/>
          <w:color w:val="auto"/>
          <w:kern w:val="0"/>
          <w:sz w:val="28"/>
          <w:szCs w:val="28"/>
        </w:rPr>
        <w:t>注：提供投标代表本人身份证复印件盖公章</w:t>
      </w:r>
    </w:p>
    <w:p w14:paraId="7AA09B78">
      <w:pPr>
        <w:snapToGrid w:val="0"/>
        <w:spacing w:line="360" w:lineRule="auto"/>
        <w:ind w:firstLine="562" w:firstLineChars="200"/>
        <w:contextualSpacing/>
        <w:rPr>
          <w:rFonts w:ascii="宋体" w:hAnsi="宋体" w:cs="宋体"/>
          <w:b/>
          <w:color w:val="auto"/>
          <w:kern w:val="0"/>
          <w:sz w:val="28"/>
          <w:szCs w:val="28"/>
        </w:rPr>
      </w:pPr>
    </w:p>
    <w:p w14:paraId="0291B41B">
      <w:pPr>
        <w:snapToGrid w:val="0"/>
        <w:spacing w:line="360" w:lineRule="auto"/>
        <w:ind w:firstLine="540" w:firstLineChars="192"/>
        <w:contextualSpacing/>
        <w:rPr>
          <w:rFonts w:ascii="宋体" w:hAnsi="宋体" w:cs="宋体"/>
          <w:b/>
          <w:color w:val="auto"/>
          <w:kern w:val="0"/>
          <w:sz w:val="28"/>
          <w:szCs w:val="28"/>
        </w:rPr>
      </w:pPr>
    </w:p>
    <w:p w14:paraId="69F64E1C">
      <w:pPr>
        <w:snapToGrid w:val="0"/>
        <w:spacing w:line="360" w:lineRule="auto"/>
        <w:ind w:firstLine="540" w:firstLineChars="192"/>
        <w:contextualSpacing/>
        <w:rPr>
          <w:rFonts w:ascii="宋体" w:hAnsi="宋体" w:cs="宋体"/>
          <w:b/>
          <w:color w:val="auto"/>
          <w:kern w:val="0"/>
          <w:sz w:val="28"/>
          <w:szCs w:val="28"/>
        </w:rPr>
      </w:pPr>
    </w:p>
    <w:p w14:paraId="5043F706">
      <w:pPr>
        <w:snapToGrid w:val="0"/>
        <w:spacing w:line="360" w:lineRule="auto"/>
        <w:ind w:firstLine="540" w:firstLineChars="192"/>
        <w:contextualSpacing/>
        <w:rPr>
          <w:rFonts w:ascii="宋体" w:hAnsi="宋体" w:cs="宋体"/>
          <w:b/>
          <w:color w:val="auto"/>
          <w:kern w:val="0"/>
          <w:sz w:val="28"/>
          <w:szCs w:val="28"/>
        </w:rPr>
      </w:pPr>
    </w:p>
    <w:p w14:paraId="5EED21F2">
      <w:pPr>
        <w:pStyle w:val="30"/>
        <w:ind w:firstLine="562"/>
        <w:rPr>
          <w:rFonts w:ascii="宋体" w:hAnsi="宋体" w:cs="宋体"/>
          <w:b/>
          <w:color w:val="auto"/>
          <w:kern w:val="0"/>
          <w:sz w:val="28"/>
          <w:szCs w:val="28"/>
        </w:rPr>
      </w:pPr>
    </w:p>
    <w:p w14:paraId="20FEE2A6">
      <w:pPr>
        <w:pStyle w:val="30"/>
        <w:ind w:firstLine="562"/>
        <w:rPr>
          <w:rFonts w:ascii="宋体" w:hAnsi="宋体" w:cs="宋体"/>
          <w:b/>
          <w:color w:val="auto"/>
          <w:kern w:val="0"/>
          <w:sz w:val="28"/>
          <w:szCs w:val="28"/>
        </w:rPr>
      </w:pPr>
    </w:p>
    <w:p w14:paraId="5BF26440">
      <w:pPr>
        <w:snapToGrid w:val="0"/>
        <w:spacing w:line="360" w:lineRule="auto"/>
        <w:ind w:firstLine="540" w:firstLineChars="192"/>
        <w:contextualSpacing/>
        <w:rPr>
          <w:rFonts w:ascii="宋体" w:hAnsi="宋体" w:cs="宋体"/>
          <w:b/>
          <w:color w:val="auto"/>
          <w:kern w:val="0"/>
          <w:sz w:val="28"/>
          <w:szCs w:val="28"/>
        </w:rPr>
      </w:pPr>
    </w:p>
    <w:p w14:paraId="2CB589A6">
      <w:pPr>
        <w:snapToGrid w:val="0"/>
        <w:spacing w:line="360" w:lineRule="auto"/>
        <w:ind w:firstLine="540" w:firstLineChars="192"/>
        <w:contextualSpacing/>
        <w:rPr>
          <w:rFonts w:ascii="宋体" w:hAnsi="宋体" w:cs="宋体"/>
          <w:b/>
          <w:color w:val="auto"/>
          <w:kern w:val="0"/>
          <w:sz w:val="28"/>
          <w:szCs w:val="28"/>
        </w:rPr>
      </w:pPr>
    </w:p>
    <w:p w14:paraId="071E3256">
      <w:pPr>
        <w:snapToGrid w:val="0"/>
        <w:spacing w:line="360" w:lineRule="auto"/>
        <w:ind w:firstLine="540" w:firstLineChars="192"/>
        <w:contextualSpacing/>
        <w:rPr>
          <w:rFonts w:ascii="宋体" w:hAnsi="宋体" w:cs="宋体"/>
          <w:b/>
          <w:color w:val="auto"/>
          <w:kern w:val="0"/>
          <w:sz w:val="28"/>
          <w:szCs w:val="28"/>
        </w:rPr>
      </w:pPr>
    </w:p>
    <w:p w14:paraId="0D66CC57">
      <w:pPr>
        <w:spacing w:line="400" w:lineRule="exact"/>
        <w:contextualSpacing/>
        <w:rPr>
          <w:rFonts w:ascii="宋体" w:hAnsi="宋体" w:cs="宋体"/>
          <w:color w:val="auto"/>
          <w:sz w:val="32"/>
          <w:szCs w:val="32"/>
        </w:rPr>
      </w:pPr>
      <w:r>
        <w:rPr>
          <w:rFonts w:hint="eastAsia" w:ascii="宋体" w:hAnsi="宋体" w:cs="宋体"/>
          <w:color w:val="auto"/>
          <w:kern w:val="0"/>
          <w:sz w:val="32"/>
          <w:szCs w:val="32"/>
        </w:rPr>
        <w:br w:type="page"/>
      </w:r>
      <w:r>
        <w:rPr>
          <w:rFonts w:hint="eastAsia" w:ascii="宋体" w:hAnsi="宋体" w:cs="宋体"/>
          <w:color w:val="auto"/>
          <w:sz w:val="32"/>
          <w:szCs w:val="32"/>
        </w:rPr>
        <w:t>附件4</w:t>
      </w:r>
    </w:p>
    <w:p w14:paraId="3699266E">
      <w:pPr>
        <w:pStyle w:val="74"/>
        <w:snapToGrid w:val="0"/>
        <w:spacing w:line="300" w:lineRule="auto"/>
        <w:ind w:firstLine="0" w:firstLineChars="0"/>
        <w:contextualSpacing/>
        <w:jc w:val="center"/>
        <w:rPr>
          <w:rFonts w:ascii="宋体" w:eastAsia="宋体" w:cs="宋体"/>
          <w:b/>
          <w:color w:val="auto"/>
          <w:sz w:val="30"/>
          <w:szCs w:val="30"/>
        </w:rPr>
      </w:pPr>
      <w:r>
        <w:rPr>
          <w:rFonts w:hint="eastAsia" w:ascii="宋体" w:eastAsia="宋体" w:cs="宋体"/>
          <w:b/>
          <w:color w:val="auto"/>
          <w:sz w:val="30"/>
          <w:szCs w:val="30"/>
        </w:rPr>
        <w:t>技术部分正负偏离表</w:t>
      </w:r>
    </w:p>
    <w:p w14:paraId="770AF9C5">
      <w:pPr>
        <w:ind w:firstLine="560" w:firstLineChars="200"/>
        <w:jc w:val="center"/>
        <w:rPr>
          <w:rFonts w:ascii="宋体" w:hAnsi="宋体" w:cs="宋体"/>
          <w:color w:val="auto"/>
          <w:sz w:val="28"/>
          <w:szCs w:val="28"/>
        </w:rPr>
      </w:pPr>
      <w:r>
        <w:rPr>
          <w:rFonts w:hint="eastAsia" w:ascii="宋体" w:hAnsi="宋体" w:cs="宋体"/>
          <w:color w:val="auto"/>
          <w:sz w:val="28"/>
          <w:szCs w:val="28"/>
        </w:rPr>
        <w:t>（由响应人据实提交，表格不够自行添加）</w:t>
      </w:r>
    </w:p>
    <w:p w14:paraId="5F56D914">
      <w:pPr>
        <w:pStyle w:val="10"/>
        <w:tabs>
          <w:tab w:val="left" w:pos="5250"/>
        </w:tabs>
        <w:rPr>
          <w:rFonts w:ascii="宋体" w:hAnsi="宋体" w:cs="宋体"/>
          <w:color w:val="auto"/>
          <w:sz w:val="24"/>
          <w:u w:val="single"/>
        </w:rPr>
      </w:pP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6AC96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0BBDA39C">
            <w:pPr>
              <w:spacing w:line="340" w:lineRule="exact"/>
              <w:jc w:val="center"/>
              <w:rPr>
                <w:rFonts w:ascii="宋体" w:hAnsi="宋体" w:cs="宋体"/>
                <w:color w:val="auto"/>
                <w:sz w:val="24"/>
              </w:rPr>
            </w:pPr>
            <w:r>
              <w:rPr>
                <w:rFonts w:hint="eastAsia" w:ascii="宋体" w:hAnsi="宋体" w:cs="宋体"/>
                <w:color w:val="auto"/>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55C41DEA">
            <w:pPr>
              <w:spacing w:line="340" w:lineRule="exact"/>
              <w:jc w:val="center"/>
              <w:rPr>
                <w:rFonts w:ascii="宋体" w:hAnsi="宋体" w:cs="宋体"/>
                <w:color w:val="auto"/>
                <w:sz w:val="24"/>
              </w:rPr>
            </w:pPr>
            <w:r>
              <w:rPr>
                <w:rFonts w:hint="eastAsia" w:ascii="宋体" w:hAnsi="宋体" w:cs="宋体"/>
                <w:color w:val="auto"/>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0DFF40C9">
            <w:pPr>
              <w:spacing w:line="340" w:lineRule="exact"/>
              <w:jc w:val="center"/>
              <w:rPr>
                <w:rFonts w:ascii="宋体" w:hAnsi="宋体" w:cs="宋体"/>
                <w:color w:val="auto"/>
                <w:sz w:val="24"/>
              </w:rPr>
            </w:pPr>
            <w:r>
              <w:rPr>
                <w:rFonts w:hint="eastAsia" w:ascii="宋体" w:hAnsi="宋体" w:cs="宋体"/>
                <w:color w:val="auto"/>
                <w:sz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13DC5833">
            <w:pPr>
              <w:spacing w:line="340" w:lineRule="exact"/>
              <w:jc w:val="center"/>
              <w:rPr>
                <w:rFonts w:ascii="宋体" w:hAnsi="宋体" w:cs="宋体"/>
                <w:color w:val="auto"/>
                <w:sz w:val="24"/>
              </w:rPr>
            </w:pPr>
            <w:r>
              <w:rPr>
                <w:rFonts w:hint="eastAsia" w:ascii="宋体" w:hAnsi="宋体" w:cs="宋体"/>
                <w:color w:val="auto"/>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14:paraId="03FEBACF">
            <w:pPr>
              <w:spacing w:line="340" w:lineRule="exact"/>
              <w:jc w:val="center"/>
              <w:rPr>
                <w:rFonts w:ascii="宋体" w:hAnsi="宋体" w:cs="宋体"/>
                <w:color w:val="auto"/>
                <w:szCs w:val="21"/>
              </w:rPr>
            </w:pPr>
          </w:p>
          <w:p w14:paraId="1BCF59E1">
            <w:pPr>
              <w:spacing w:line="340" w:lineRule="exact"/>
              <w:jc w:val="center"/>
              <w:rPr>
                <w:rFonts w:ascii="宋体" w:hAnsi="宋体" w:cs="宋体"/>
                <w:color w:val="auto"/>
                <w:sz w:val="24"/>
              </w:rPr>
            </w:pPr>
            <w:r>
              <w:rPr>
                <w:rFonts w:hint="eastAsia" w:ascii="宋体" w:hAnsi="宋体" w:cs="宋体"/>
                <w:color w:val="auto"/>
                <w:szCs w:val="21"/>
              </w:rPr>
              <w:t>偏离说明</w:t>
            </w:r>
          </w:p>
        </w:tc>
      </w:tr>
      <w:tr w14:paraId="3ABDA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649" w:type="dxa"/>
            <w:tcBorders>
              <w:top w:val="single" w:color="auto" w:sz="6" w:space="0"/>
              <w:left w:val="single" w:color="auto" w:sz="12" w:space="0"/>
              <w:bottom w:val="single" w:color="auto" w:sz="6" w:space="0"/>
              <w:right w:val="single" w:color="auto" w:sz="6" w:space="0"/>
            </w:tcBorders>
          </w:tcPr>
          <w:p w14:paraId="08E8A76A">
            <w:pPr>
              <w:spacing w:line="340" w:lineRule="exact"/>
              <w:jc w:val="center"/>
              <w:rPr>
                <w:rFonts w:ascii="宋体" w:hAnsi="宋体" w:cs="宋体"/>
                <w:color w:val="auto"/>
                <w:sz w:val="24"/>
              </w:rPr>
            </w:pPr>
            <w:r>
              <w:rPr>
                <w:rFonts w:hint="eastAsia" w:ascii="宋体" w:hAnsi="宋体" w:cs="宋体"/>
                <w:color w:val="auto"/>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51C8B11C">
            <w:pPr>
              <w:spacing w:line="340" w:lineRule="exact"/>
              <w:rPr>
                <w:rFonts w:ascii="宋体" w:hAnsi="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58BF04A4">
            <w:pPr>
              <w:spacing w:line="340" w:lineRule="exact"/>
              <w:jc w:val="center"/>
              <w:rPr>
                <w:rFonts w:ascii="宋体" w:hAnsi="宋体" w:cs="宋体"/>
                <w:color w:val="auto"/>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52CAF697">
            <w:pPr>
              <w:spacing w:line="340" w:lineRule="exact"/>
              <w:rPr>
                <w:rFonts w:ascii="宋体" w:hAnsi="宋体" w:cs="宋体"/>
                <w:color w:val="auto"/>
                <w:szCs w:val="21"/>
              </w:rPr>
            </w:pPr>
          </w:p>
        </w:tc>
        <w:tc>
          <w:tcPr>
            <w:tcW w:w="1417" w:type="dxa"/>
            <w:tcBorders>
              <w:top w:val="single" w:color="auto" w:sz="6" w:space="0"/>
              <w:left w:val="single" w:color="auto" w:sz="6" w:space="0"/>
              <w:bottom w:val="single" w:color="auto" w:sz="6" w:space="0"/>
              <w:right w:val="single" w:color="auto" w:sz="12" w:space="0"/>
            </w:tcBorders>
          </w:tcPr>
          <w:p w14:paraId="54A15F91">
            <w:pPr>
              <w:spacing w:line="340" w:lineRule="exact"/>
              <w:rPr>
                <w:rFonts w:ascii="宋体" w:hAnsi="宋体" w:cs="宋体"/>
                <w:color w:val="auto"/>
                <w:szCs w:val="21"/>
              </w:rPr>
            </w:pPr>
          </w:p>
        </w:tc>
      </w:tr>
      <w:tr w14:paraId="449E4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49" w:type="dxa"/>
            <w:tcBorders>
              <w:top w:val="single" w:color="auto" w:sz="6" w:space="0"/>
              <w:left w:val="single" w:color="auto" w:sz="12" w:space="0"/>
              <w:bottom w:val="single" w:color="auto" w:sz="6" w:space="0"/>
              <w:right w:val="single" w:color="auto" w:sz="6" w:space="0"/>
            </w:tcBorders>
          </w:tcPr>
          <w:p w14:paraId="1A075019">
            <w:pPr>
              <w:spacing w:line="340" w:lineRule="exact"/>
              <w:jc w:val="center"/>
              <w:rPr>
                <w:rFonts w:ascii="宋体" w:hAnsi="宋体" w:cs="宋体"/>
                <w:color w:val="auto"/>
                <w:sz w:val="24"/>
              </w:rPr>
            </w:pPr>
            <w:r>
              <w:rPr>
                <w:rFonts w:hint="eastAsia" w:ascii="宋体" w:hAnsi="宋体" w:cs="宋体"/>
                <w:color w:val="auto"/>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3B8756A0">
            <w:pPr>
              <w:spacing w:line="340" w:lineRule="exact"/>
              <w:jc w:val="center"/>
              <w:rPr>
                <w:rFonts w:ascii="宋体" w:hAnsi="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653275E0">
            <w:pPr>
              <w:spacing w:line="340" w:lineRule="exact"/>
              <w:jc w:val="center"/>
              <w:rPr>
                <w:rFonts w:ascii="宋体" w:hAnsi="宋体" w:cs="宋体"/>
                <w:color w:val="auto"/>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3078E78E">
            <w:pPr>
              <w:spacing w:line="340" w:lineRule="exact"/>
              <w:rPr>
                <w:rFonts w:ascii="宋体" w:hAnsi="宋体" w:cs="宋体"/>
                <w:color w:val="auto"/>
                <w:szCs w:val="21"/>
              </w:rPr>
            </w:pPr>
          </w:p>
        </w:tc>
        <w:tc>
          <w:tcPr>
            <w:tcW w:w="1417" w:type="dxa"/>
            <w:tcBorders>
              <w:top w:val="single" w:color="auto" w:sz="6" w:space="0"/>
              <w:left w:val="single" w:color="auto" w:sz="6" w:space="0"/>
              <w:bottom w:val="single" w:color="auto" w:sz="6" w:space="0"/>
              <w:right w:val="single" w:color="auto" w:sz="12" w:space="0"/>
            </w:tcBorders>
          </w:tcPr>
          <w:p w14:paraId="6EAFDD74">
            <w:pPr>
              <w:spacing w:line="340" w:lineRule="exact"/>
              <w:rPr>
                <w:rFonts w:ascii="宋体" w:hAnsi="宋体" w:cs="宋体"/>
                <w:color w:val="auto"/>
                <w:szCs w:val="21"/>
              </w:rPr>
            </w:pPr>
          </w:p>
        </w:tc>
      </w:tr>
      <w:tr w14:paraId="3E8B8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49" w:type="dxa"/>
            <w:tcBorders>
              <w:top w:val="single" w:color="auto" w:sz="6" w:space="0"/>
              <w:left w:val="single" w:color="auto" w:sz="12" w:space="0"/>
              <w:bottom w:val="single" w:color="auto" w:sz="6" w:space="0"/>
              <w:right w:val="single" w:color="auto" w:sz="6" w:space="0"/>
            </w:tcBorders>
          </w:tcPr>
          <w:p w14:paraId="58F7F3B9">
            <w:pPr>
              <w:spacing w:line="340" w:lineRule="exact"/>
              <w:jc w:val="center"/>
              <w:rPr>
                <w:rFonts w:ascii="宋体" w:hAnsi="宋体" w:cs="宋体"/>
                <w:color w:val="auto"/>
                <w:sz w:val="24"/>
              </w:rPr>
            </w:pPr>
            <w:r>
              <w:rPr>
                <w:rFonts w:hint="eastAsia" w:ascii="宋体" w:hAnsi="宋体" w:cs="宋体"/>
                <w:color w:val="auto"/>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22725BCB">
            <w:pPr>
              <w:spacing w:line="340" w:lineRule="exact"/>
              <w:rPr>
                <w:rFonts w:ascii="宋体" w:hAnsi="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0CD847E7">
            <w:pPr>
              <w:spacing w:line="340" w:lineRule="exact"/>
              <w:ind w:firstLine="420" w:firstLineChars="200"/>
              <w:rPr>
                <w:rFonts w:ascii="宋体" w:hAnsi="宋体" w:cs="宋体"/>
                <w:color w:val="auto"/>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5B6FF8B1">
            <w:pPr>
              <w:spacing w:line="340" w:lineRule="exact"/>
              <w:rPr>
                <w:rFonts w:ascii="宋体" w:hAnsi="宋体" w:cs="宋体"/>
                <w:color w:val="auto"/>
                <w:szCs w:val="21"/>
              </w:rPr>
            </w:pPr>
          </w:p>
        </w:tc>
        <w:tc>
          <w:tcPr>
            <w:tcW w:w="1417" w:type="dxa"/>
            <w:tcBorders>
              <w:top w:val="single" w:color="auto" w:sz="6" w:space="0"/>
              <w:left w:val="single" w:color="auto" w:sz="6" w:space="0"/>
              <w:bottom w:val="single" w:color="auto" w:sz="6" w:space="0"/>
              <w:right w:val="single" w:color="auto" w:sz="12" w:space="0"/>
            </w:tcBorders>
          </w:tcPr>
          <w:p w14:paraId="181EBC9D">
            <w:pPr>
              <w:spacing w:line="340" w:lineRule="exact"/>
              <w:rPr>
                <w:rFonts w:ascii="宋体" w:hAnsi="宋体" w:cs="宋体"/>
                <w:color w:val="auto"/>
                <w:szCs w:val="21"/>
              </w:rPr>
            </w:pPr>
          </w:p>
        </w:tc>
      </w:tr>
      <w:tr w14:paraId="62C59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tcBorders>
              <w:top w:val="single" w:color="auto" w:sz="6" w:space="0"/>
              <w:left w:val="single" w:color="auto" w:sz="12" w:space="0"/>
              <w:bottom w:val="single" w:color="auto" w:sz="6" w:space="0"/>
              <w:right w:val="single" w:color="auto" w:sz="6" w:space="0"/>
            </w:tcBorders>
          </w:tcPr>
          <w:p w14:paraId="5B897E47">
            <w:pPr>
              <w:spacing w:line="340" w:lineRule="exact"/>
              <w:jc w:val="center"/>
              <w:rPr>
                <w:rFonts w:ascii="宋体" w:hAnsi="宋体" w:cs="宋体"/>
                <w:color w:val="auto"/>
                <w:sz w:val="24"/>
              </w:rPr>
            </w:pPr>
          </w:p>
        </w:tc>
        <w:tc>
          <w:tcPr>
            <w:tcW w:w="1263" w:type="dxa"/>
            <w:tcBorders>
              <w:top w:val="single" w:color="auto" w:sz="6" w:space="0"/>
              <w:left w:val="single" w:color="auto" w:sz="6" w:space="0"/>
              <w:bottom w:val="single" w:color="auto" w:sz="6" w:space="0"/>
              <w:right w:val="single" w:color="auto" w:sz="6" w:space="0"/>
            </w:tcBorders>
            <w:vAlign w:val="center"/>
          </w:tcPr>
          <w:p w14:paraId="42CBFA43">
            <w:pPr>
              <w:spacing w:line="340" w:lineRule="exact"/>
              <w:jc w:val="center"/>
              <w:rPr>
                <w:rFonts w:ascii="宋体" w:hAnsi="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052FCAD6">
            <w:pPr>
              <w:spacing w:line="340" w:lineRule="exact"/>
              <w:rPr>
                <w:rFonts w:ascii="宋体" w:hAnsi="宋体" w:cs="宋体"/>
                <w:color w:val="auto"/>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5DC671A3">
            <w:pPr>
              <w:spacing w:line="340" w:lineRule="exact"/>
              <w:rPr>
                <w:rFonts w:ascii="宋体" w:hAnsi="宋体" w:cs="宋体"/>
                <w:color w:val="auto"/>
                <w:szCs w:val="21"/>
              </w:rPr>
            </w:pPr>
          </w:p>
        </w:tc>
        <w:tc>
          <w:tcPr>
            <w:tcW w:w="1417" w:type="dxa"/>
            <w:tcBorders>
              <w:top w:val="single" w:color="auto" w:sz="6" w:space="0"/>
              <w:left w:val="single" w:color="auto" w:sz="6" w:space="0"/>
              <w:bottom w:val="single" w:color="auto" w:sz="6" w:space="0"/>
              <w:right w:val="single" w:color="auto" w:sz="12" w:space="0"/>
            </w:tcBorders>
          </w:tcPr>
          <w:p w14:paraId="7AD8D524">
            <w:pPr>
              <w:spacing w:line="340" w:lineRule="exact"/>
              <w:rPr>
                <w:rFonts w:ascii="宋体" w:hAnsi="宋体" w:cs="宋体"/>
                <w:color w:val="auto"/>
                <w:szCs w:val="21"/>
              </w:rPr>
            </w:pPr>
          </w:p>
        </w:tc>
      </w:tr>
    </w:tbl>
    <w:p w14:paraId="3D239D97">
      <w:pPr>
        <w:spacing w:line="260" w:lineRule="exact"/>
        <w:rPr>
          <w:rFonts w:ascii="宋体" w:hAnsi="宋体" w:cs="宋体"/>
          <w:color w:val="auto"/>
          <w:sz w:val="24"/>
          <w:u w:val="single"/>
        </w:rPr>
      </w:pPr>
    </w:p>
    <w:p w14:paraId="757FA804">
      <w:pPr>
        <w:pStyle w:val="16"/>
        <w:rPr>
          <w:rFonts w:hAnsi="宋体" w:cs="宋体"/>
          <w:b/>
          <w:color w:val="auto"/>
          <w:sz w:val="24"/>
          <w:szCs w:val="24"/>
        </w:rPr>
      </w:pPr>
      <w:r>
        <w:rPr>
          <w:rFonts w:hint="eastAsia" w:hAnsi="宋体" w:cs="宋体"/>
          <w:b/>
          <w:color w:val="auto"/>
          <w:sz w:val="24"/>
          <w:szCs w:val="24"/>
        </w:rPr>
        <w:t>注：</w:t>
      </w:r>
    </w:p>
    <w:p w14:paraId="33F82E25">
      <w:pPr>
        <w:pStyle w:val="10"/>
        <w:tabs>
          <w:tab w:val="left" w:pos="5250"/>
        </w:tabs>
        <w:ind w:firstLine="560" w:firstLineChars="200"/>
        <w:rPr>
          <w:rFonts w:ascii="宋体" w:hAnsi="宋体" w:cs="宋体"/>
          <w:color w:val="auto"/>
          <w:szCs w:val="28"/>
        </w:rPr>
      </w:pPr>
      <w:r>
        <w:rPr>
          <w:rFonts w:hint="eastAsia" w:ascii="宋体" w:hAnsi="宋体" w:cs="宋体"/>
          <w:color w:val="auto"/>
          <w:szCs w:val="28"/>
        </w:rPr>
        <w:t>1.供应商提交的响应文件中与招标文件第三部分“项目需求”中的商务部分的要求，应逐条填列在偏离表中。</w:t>
      </w:r>
    </w:p>
    <w:p w14:paraId="2D150937">
      <w:pPr>
        <w:pStyle w:val="10"/>
        <w:tabs>
          <w:tab w:val="left" w:pos="5250"/>
        </w:tabs>
        <w:ind w:firstLine="560" w:firstLineChars="200"/>
        <w:rPr>
          <w:rFonts w:ascii="宋体" w:hAnsi="宋体" w:cs="宋体"/>
          <w:color w:val="auto"/>
          <w:szCs w:val="28"/>
        </w:rPr>
      </w:pPr>
      <w:r>
        <w:rPr>
          <w:rFonts w:hint="eastAsia" w:ascii="宋体" w:hAnsi="宋体" w:cs="宋体"/>
          <w:color w:val="auto"/>
          <w:szCs w:val="28"/>
        </w:rPr>
        <w:t>2.“偏离说明”一栏选择“正偏离”、“负偏离”、“无偏离”进行填写。正偏离、负偏离、无偏离的确认，由评标小组认定。</w:t>
      </w:r>
    </w:p>
    <w:p w14:paraId="46D73B29">
      <w:pPr>
        <w:pStyle w:val="10"/>
        <w:tabs>
          <w:tab w:val="left" w:pos="5250"/>
        </w:tabs>
        <w:ind w:firstLine="560" w:firstLineChars="200"/>
        <w:rPr>
          <w:rFonts w:ascii="宋体" w:hAnsi="宋体" w:cs="宋体"/>
          <w:color w:val="auto"/>
          <w:szCs w:val="28"/>
        </w:rPr>
      </w:pPr>
      <w:r>
        <w:rPr>
          <w:rFonts w:hint="eastAsia" w:ascii="宋体" w:hAnsi="宋体" w:cs="宋体"/>
          <w:color w:val="auto"/>
          <w:szCs w:val="28"/>
        </w:rPr>
        <w:t>3.供应商若提供其他增值服务，可以在表中自行据实填写。</w:t>
      </w:r>
    </w:p>
    <w:p w14:paraId="173A86D1">
      <w:pPr>
        <w:pStyle w:val="10"/>
        <w:tabs>
          <w:tab w:val="left" w:pos="5250"/>
        </w:tabs>
        <w:ind w:firstLine="560" w:firstLineChars="200"/>
        <w:rPr>
          <w:rFonts w:ascii="宋体" w:hAnsi="宋体" w:cs="宋体"/>
          <w:color w:val="auto"/>
          <w:szCs w:val="28"/>
        </w:rPr>
      </w:pPr>
      <w:r>
        <w:rPr>
          <w:rFonts w:hint="eastAsia" w:ascii="宋体" w:hAnsi="宋体" w:cs="宋体"/>
          <w:color w:val="auto"/>
          <w:szCs w:val="28"/>
        </w:rPr>
        <w:t>4.若完全响应本项目需求且无偏离，投标时本表可空白盖章提供。</w:t>
      </w:r>
    </w:p>
    <w:p w14:paraId="44CAA2C9">
      <w:pPr>
        <w:pStyle w:val="10"/>
        <w:tabs>
          <w:tab w:val="left" w:pos="5250"/>
        </w:tabs>
        <w:rPr>
          <w:rFonts w:ascii="宋体" w:hAnsi="宋体" w:cs="宋体"/>
          <w:color w:val="auto"/>
          <w:szCs w:val="28"/>
        </w:rPr>
      </w:pPr>
    </w:p>
    <w:p w14:paraId="66303DFD">
      <w:pPr>
        <w:snapToGrid w:val="0"/>
        <w:spacing w:line="360" w:lineRule="auto"/>
        <w:ind w:firstLine="560" w:firstLineChars="200"/>
        <w:jc w:val="right"/>
        <w:rPr>
          <w:rFonts w:ascii="宋体" w:hAnsi="宋体" w:cs="宋体"/>
          <w:color w:val="auto"/>
          <w:sz w:val="28"/>
          <w:szCs w:val="28"/>
        </w:rPr>
      </w:pPr>
    </w:p>
    <w:p w14:paraId="2804BBB5">
      <w:pPr>
        <w:snapToGrid w:val="0"/>
        <w:spacing w:line="360" w:lineRule="auto"/>
        <w:ind w:firstLine="560" w:firstLineChars="200"/>
        <w:jc w:val="right"/>
        <w:rPr>
          <w:rFonts w:ascii="宋体" w:hAnsi="宋体" w:cs="宋体"/>
          <w:color w:val="auto"/>
          <w:sz w:val="28"/>
          <w:szCs w:val="28"/>
        </w:rPr>
      </w:pPr>
      <w:r>
        <w:rPr>
          <w:rFonts w:hint="eastAsia" w:ascii="宋体" w:hAnsi="宋体" w:cs="宋体"/>
          <w:color w:val="auto"/>
          <w:sz w:val="28"/>
          <w:szCs w:val="28"/>
        </w:rPr>
        <w:t>供应商名称（盖章）：</w:t>
      </w:r>
    </w:p>
    <w:p w14:paraId="7AF3816A">
      <w:pPr>
        <w:snapToGrid w:val="0"/>
        <w:spacing w:line="360" w:lineRule="auto"/>
        <w:ind w:firstLine="560" w:firstLineChars="200"/>
        <w:jc w:val="right"/>
        <w:rPr>
          <w:rFonts w:ascii="宋体" w:hAnsi="宋体" w:cs="宋体"/>
          <w:color w:val="auto"/>
          <w:sz w:val="28"/>
          <w:szCs w:val="28"/>
        </w:rPr>
      </w:pPr>
      <w:r>
        <w:rPr>
          <w:rFonts w:hint="eastAsia" w:ascii="宋体" w:hAnsi="宋体" w:cs="宋体"/>
          <w:color w:val="auto"/>
          <w:sz w:val="28"/>
          <w:szCs w:val="28"/>
        </w:rPr>
        <w:t>法定代表人或授权委托人（签字或盖章）：</w:t>
      </w:r>
    </w:p>
    <w:p w14:paraId="17586157">
      <w:pPr>
        <w:pStyle w:val="74"/>
        <w:widowControl/>
        <w:snapToGrid w:val="0"/>
        <w:spacing w:line="300" w:lineRule="auto"/>
        <w:ind w:firstLine="0" w:firstLineChars="0"/>
        <w:jc w:val="right"/>
        <w:rPr>
          <w:rFonts w:ascii="宋体" w:eastAsia="宋体" w:cs="宋体"/>
          <w:b/>
          <w:color w:val="auto"/>
          <w:sz w:val="28"/>
        </w:rPr>
      </w:pPr>
      <w:r>
        <w:rPr>
          <w:rFonts w:hint="eastAsia" w:ascii="宋体" w:eastAsia="宋体" w:cs="宋体"/>
          <w:color w:val="auto"/>
        </w:rPr>
        <w:t>日期：</w:t>
      </w:r>
    </w:p>
    <w:p w14:paraId="632D0D82">
      <w:pPr>
        <w:widowControl/>
        <w:spacing w:before="100" w:beforeAutospacing="1" w:after="100" w:afterAutospacing="1" w:line="360" w:lineRule="auto"/>
        <w:jc w:val="center"/>
        <w:rPr>
          <w:rFonts w:ascii="宋体" w:hAnsi="宋体" w:cs="宋体"/>
          <w:b/>
          <w:bCs/>
          <w:color w:val="auto"/>
          <w:kern w:val="0"/>
          <w:sz w:val="32"/>
          <w:szCs w:val="32"/>
        </w:rPr>
      </w:pPr>
    </w:p>
    <w:p w14:paraId="20B5A85A">
      <w:pPr>
        <w:widowControl/>
        <w:spacing w:before="100" w:beforeAutospacing="1" w:after="100" w:afterAutospacing="1" w:line="360" w:lineRule="auto"/>
        <w:jc w:val="center"/>
        <w:rPr>
          <w:rFonts w:ascii="宋体" w:hAnsi="宋体" w:cs="宋体"/>
          <w:b/>
          <w:bCs/>
          <w:color w:val="auto"/>
          <w:kern w:val="0"/>
          <w:sz w:val="32"/>
          <w:szCs w:val="32"/>
        </w:rPr>
      </w:pPr>
    </w:p>
    <w:p w14:paraId="7D4168A1">
      <w:pPr>
        <w:widowControl/>
        <w:spacing w:before="100" w:beforeAutospacing="1" w:after="100" w:afterAutospacing="1" w:line="360" w:lineRule="auto"/>
        <w:jc w:val="center"/>
        <w:rPr>
          <w:rFonts w:ascii="宋体" w:hAnsi="宋体" w:cs="宋体"/>
          <w:b/>
          <w:bCs/>
          <w:color w:val="auto"/>
          <w:kern w:val="0"/>
          <w:sz w:val="32"/>
          <w:szCs w:val="32"/>
        </w:rPr>
      </w:pPr>
    </w:p>
    <w:p w14:paraId="67C6A505">
      <w:pPr>
        <w:widowControl/>
        <w:spacing w:before="100" w:beforeAutospacing="1" w:after="100" w:afterAutospacing="1" w:line="360" w:lineRule="auto"/>
        <w:jc w:val="center"/>
        <w:rPr>
          <w:rFonts w:ascii="宋体" w:hAnsi="宋体" w:cs="宋体"/>
          <w:b/>
          <w:bCs/>
          <w:color w:val="auto"/>
          <w:kern w:val="0"/>
          <w:sz w:val="32"/>
          <w:szCs w:val="32"/>
        </w:rPr>
      </w:pPr>
    </w:p>
    <w:p w14:paraId="3F5BE58C">
      <w:pPr>
        <w:widowControl/>
        <w:spacing w:before="100" w:beforeAutospacing="1" w:after="100" w:afterAutospacing="1" w:line="360" w:lineRule="auto"/>
        <w:jc w:val="left"/>
        <w:rPr>
          <w:rFonts w:ascii="宋体" w:hAnsi="宋体" w:cs="宋体"/>
          <w:color w:val="auto"/>
          <w:sz w:val="32"/>
          <w:szCs w:val="32"/>
        </w:rPr>
      </w:pPr>
      <w:r>
        <w:rPr>
          <w:rFonts w:hint="eastAsia" w:ascii="宋体" w:hAnsi="宋体" w:cs="宋体"/>
          <w:color w:val="auto"/>
          <w:sz w:val="32"/>
          <w:szCs w:val="32"/>
        </w:rPr>
        <w:t>附件5</w:t>
      </w:r>
    </w:p>
    <w:p w14:paraId="2D428A69">
      <w:pPr>
        <w:widowControl/>
        <w:spacing w:before="100" w:beforeAutospacing="1" w:after="100" w:afterAutospacing="1" w:line="360" w:lineRule="auto"/>
        <w:jc w:val="center"/>
        <w:rPr>
          <w:rFonts w:ascii="宋体" w:hAnsi="宋体" w:cs="宋体"/>
          <w:color w:val="auto"/>
          <w:kern w:val="0"/>
          <w:sz w:val="32"/>
          <w:szCs w:val="32"/>
        </w:rPr>
      </w:pPr>
      <w:r>
        <w:rPr>
          <w:rFonts w:hint="eastAsia" w:ascii="宋体" w:hAnsi="宋体" w:cs="宋体"/>
          <w:b/>
          <w:bCs/>
          <w:color w:val="auto"/>
          <w:kern w:val="0"/>
          <w:sz w:val="32"/>
          <w:szCs w:val="32"/>
        </w:rPr>
        <w:t>报价总表</w:t>
      </w:r>
    </w:p>
    <w:p w14:paraId="45DF2D5F">
      <w:pPr>
        <w:spacing w:line="360" w:lineRule="auto"/>
        <w:rPr>
          <w:rFonts w:ascii="宋体" w:hAnsi="宋体" w:cs="宋体"/>
          <w:color w:val="auto"/>
          <w:kern w:val="0"/>
          <w:sz w:val="28"/>
          <w:szCs w:val="28"/>
          <w:u w:val="single"/>
        </w:rPr>
      </w:pPr>
      <w:r>
        <w:rPr>
          <w:rFonts w:hint="eastAsia" w:ascii="宋体" w:hAnsi="宋体" w:cs="宋体"/>
          <w:color w:val="auto"/>
          <w:kern w:val="0"/>
          <w:sz w:val="28"/>
          <w:szCs w:val="28"/>
        </w:rPr>
        <w:t>供应商全称（加盖公章）：</w:t>
      </w:r>
    </w:p>
    <w:p w14:paraId="4BE51CFB">
      <w:pPr>
        <w:spacing w:line="360" w:lineRule="auto"/>
        <w:rPr>
          <w:rFonts w:ascii="宋体" w:hAnsi="宋体" w:cs="宋体"/>
          <w:color w:val="auto"/>
          <w:kern w:val="0"/>
          <w:sz w:val="28"/>
          <w:szCs w:val="28"/>
          <w:u w:val="single"/>
        </w:rPr>
      </w:pPr>
      <w:r>
        <w:rPr>
          <w:rFonts w:hint="eastAsia" w:ascii="宋体" w:hAnsi="宋体" w:cs="宋体"/>
          <w:color w:val="auto"/>
          <w:kern w:val="0"/>
          <w:sz w:val="28"/>
          <w:szCs w:val="28"/>
        </w:rPr>
        <w:t>项目名称：</w:t>
      </w:r>
    </w:p>
    <w:p w14:paraId="4DE76DF2">
      <w:pPr>
        <w:spacing w:line="360" w:lineRule="auto"/>
        <w:rPr>
          <w:color w:val="auto"/>
        </w:rPr>
      </w:pPr>
      <w:r>
        <w:rPr>
          <w:rFonts w:hint="eastAsia" w:ascii="宋体" w:hAnsi="宋体" w:cs="宋体"/>
          <w:color w:val="auto"/>
          <w:kern w:val="0"/>
          <w:sz w:val="28"/>
          <w:szCs w:val="28"/>
        </w:rPr>
        <w:t>项目编号：</w:t>
      </w:r>
    </w:p>
    <w:tbl>
      <w:tblPr>
        <w:tblStyle w:val="31"/>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6"/>
        <w:gridCol w:w="4492"/>
      </w:tblGrid>
      <w:tr w14:paraId="2A9F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69" w:type="pct"/>
          </w:tcPr>
          <w:p w14:paraId="1148AA0E">
            <w:pPr>
              <w:spacing w:line="360" w:lineRule="auto"/>
              <w:jc w:val="center"/>
              <w:rPr>
                <w:rFonts w:ascii="宋体" w:hAnsi="宋体" w:cs="宋体"/>
                <w:color w:val="auto"/>
                <w:szCs w:val="22"/>
              </w:rPr>
            </w:pPr>
            <w:r>
              <w:rPr>
                <w:rFonts w:hint="eastAsia" w:ascii="宋体" w:hAnsi="宋体" w:cs="宋体"/>
                <w:color w:val="auto"/>
                <w:kern w:val="0"/>
                <w:sz w:val="28"/>
                <w:szCs w:val="28"/>
              </w:rPr>
              <w:t>磋商货物、服务名称</w:t>
            </w:r>
          </w:p>
        </w:tc>
        <w:tc>
          <w:tcPr>
            <w:tcW w:w="2630" w:type="pct"/>
          </w:tcPr>
          <w:p w14:paraId="57808F44">
            <w:pPr>
              <w:spacing w:line="360" w:lineRule="auto"/>
              <w:jc w:val="center"/>
              <w:rPr>
                <w:rFonts w:hint="eastAsia" w:ascii="宋体" w:hAnsi="宋体" w:eastAsia="宋体" w:cs="宋体"/>
                <w:color w:val="auto"/>
                <w:szCs w:val="22"/>
                <w:lang w:eastAsia="zh-CN"/>
              </w:rPr>
            </w:pPr>
            <w:r>
              <w:rPr>
                <w:rFonts w:hint="eastAsia" w:ascii="宋体" w:hAnsi="宋体" w:cs="宋体"/>
                <w:color w:val="auto"/>
                <w:kern w:val="0"/>
                <w:sz w:val="28"/>
                <w:szCs w:val="28"/>
              </w:rPr>
              <w:t>磋商总报价</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①+②</w:t>
            </w:r>
            <w:r>
              <w:rPr>
                <w:rFonts w:hint="eastAsia" w:ascii="宋体" w:hAnsi="宋体" w:cs="宋体"/>
                <w:color w:val="auto"/>
                <w:kern w:val="0"/>
                <w:sz w:val="28"/>
                <w:szCs w:val="28"/>
                <w:lang w:eastAsia="zh-CN"/>
              </w:rPr>
              <w:t>）</w:t>
            </w:r>
          </w:p>
        </w:tc>
      </w:tr>
      <w:tr w14:paraId="39F5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369" w:type="pct"/>
          </w:tcPr>
          <w:p w14:paraId="0B494161">
            <w:pPr>
              <w:spacing w:line="360" w:lineRule="auto"/>
              <w:jc w:val="left"/>
              <w:rPr>
                <w:rFonts w:ascii="宋体" w:hAnsi="宋体" w:cs="宋体"/>
                <w:color w:val="auto"/>
                <w:szCs w:val="22"/>
              </w:rPr>
            </w:pPr>
          </w:p>
        </w:tc>
        <w:tc>
          <w:tcPr>
            <w:tcW w:w="2630" w:type="pct"/>
            <w:vAlign w:val="center"/>
          </w:tcPr>
          <w:p w14:paraId="3D183734">
            <w:pPr>
              <w:spacing w:line="360" w:lineRule="auto"/>
              <w:rPr>
                <w:rFonts w:ascii="宋体" w:hAnsi="宋体" w:cs="宋体"/>
                <w:color w:val="auto"/>
                <w:kern w:val="0"/>
                <w:sz w:val="28"/>
                <w:szCs w:val="28"/>
              </w:rPr>
            </w:pPr>
            <w:r>
              <w:rPr>
                <w:rFonts w:hint="eastAsia" w:ascii="宋体" w:hAnsi="宋体" w:cs="宋体"/>
                <w:color w:val="auto"/>
                <w:kern w:val="0"/>
                <w:sz w:val="28"/>
                <w:szCs w:val="28"/>
              </w:rPr>
              <w:t>大写：</w:t>
            </w:r>
          </w:p>
          <w:p w14:paraId="4B411559">
            <w:pPr>
              <w:spacing w:line="360" w:lineRule="auto"/>
              <w:rPr>
                <w:rFonts w:ascii="宋体" w:hAnsi="宋体" w:cs="宋体"/>
                <w:color w:val="auto"/>
                <w:szCs w:val="22"/>
                <w:u w:val="single"/>
              </w:rPr>
            </w:pPr>
            <w:r>
              <w:rPr>
                <w:rFonts w:hint="eastAsia" w:ascii="宋体" w:hAnsi="宋体" w:cs="宋体"/>
                <w:color w:val="auto"/>
                <w:kern w:val="0"/>
                <w:sz w:val="28"/>
                <w:szCs w:val="28"/>
              </w:rPr>
              <w:t xml:space="preserve">小写：   </w:t>
            </w:r>
          </w:p>
        </w:tc>
      </w:tr>
    </w:tbl>
    <w:p w14:paraId="11D5C524">
      <w:pPr>
        <w:spacing w:line="360" w:lineRule="auto"/>
        <w:rPr>
          <w:rFonts w:ascii="宋体" w:hAnsi="宋体" w:cs="宋体"/>
          <w:color w:val="auto"/>
          <w:kern w:val="0"/>
          <w:sz w:val="28"/>
          <w:szCs w:val="28"/>
        </w:rPr>
      </w:pPr>
      <w:r>
        <w:rPr>
          <w:rFonts w:hint="eastAsia" w:ascii="宋体" w:hAnsi="宋体" w:cs="宋体"/>
          <w:color w:val="auto"/>
          <w:kern w:val="0"/>
          <w:sz w:val="28"/>
          <w:szCs w:val="28"/>
        </w:rPr>
        <w:t>日期：</w:t>
      </w:r>
    </w:p>
    <w:p w14:paraId="2A382C60">
      <w:pPr>
        <w:spacing w:line="360" w:lineRule="auto"/>
        <w:rPr>
          <w:rFonts w:ascii="宋体" w:hAnsi="宋体" w:cs="宋体"/>
          <w:color w:val="auto"/>
          <w:kern w:val="0"/>
          <w:sz w:val="28"/>
          <w:szCs w:val="28"/>
        </w:rPr>
      </w:pPr>
      <w:r>
        <w:rPr>
          <w:rFonts w:hint="eastAsia" w:ascii="宋体" w:hAnsi="宋体" w:cs="宋体"/>
          <w:color w:val="auto"/>
          <w:kern w:val="0"/>
          <w:sz w:val="28"/>
          <w:szCs w:val="28"/>
        </w:rPr>
        <w:t>填写说明：</w:t>
      </w:r>
    </w:p>
    <w:p w14:paraId="08965C0F">
      <w:pPr>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1.报价总表必须加盖供应商公章（复印件无效）。</w:t>
      </w:r>
    </w:p>
    <w:p w14:paraId="0E1E0867">
      <w:pPr>
        <w:snapToGrid w:val="0"/>
        <w:spacing w:line="360" w:lineRule="auto"/>
        <w:ind w:firstLine="540" w:firstLineChars="192"/>
        <w:contextualSpacing/>
        <w:rPr>
          <w:rFonts w:ascii="宋体" w:hAnsi="宋体" w:cs="宋体"/>
          <w:b/>
          <w:color w:val="auto"/>
          <w:kern w:val="0"/>
          <w:sz w:val="28"/>
          <w:szCs w:val="28"/>
        </w:rPr>
      </w:pPr>
    </w:p>
    <w:p w14:paraId="38E974DD">
      <w:pPr>
        <w:snapToGrid w:val="0"/>
        <w:spacing w:line="360" w:lineRule="auto"/>
        <w:ind w:firstLine="540" w:firstLineChars="192"/>
        <w:contextualSpacing/>
        <w:rPr>
          <w:rFonts w:ascii="宋体" w:hAnsi="宋体" w:cs="宋体"/>
          <w:b/>
          <w:color w:val="auto"/>
          <w:kern w:val="0"/>
          <w:sz w:val="28"/>
          <w:szCs w:val="28"/>
        </w:rPr>
      </w:pPr>
    </w:p>
    <w:p w14:paraId="1D59C9F6">
      <w:pPr>
        <w:snapToGrid w:val="0"/>
        <w:spacing w:line="360" w:lineRule="auto"/>
        <w:ind w:firstLine="540" w:firstLineChars="192"/>
        <w:contextualSpacing/>
        <w:rPr>
          <w:rFonts w:ascii="宋体" w:hAnsi="宋体" w:cs="宋体"/>
          <w:b/>
          <w:color w:val="auto"/>
          <w:kern w:val="0"/>
          <w:sz w:val="28"/>
          <w:szCs w:val="28"/>
        </w:rPr>
      </w:pPr>
    </w:p>
    <w:p w14:paraId="19D26396">
      <w:pPr>
        <w:spacing w:line="400" w:lineRule="exact"/>
        <w:contextualSpacing/>
        <w:rPr>
          <w:rFonts w:ascii="宋体" w:hAnsi="宋体" w:cs="宋体"/>
          <w:color w:val="auto"/>
          <w:sz w:val="28"/>
          <w:szCs w:val="28"/>
        </w:rPr>
      </w:pPr>
    </w:p>
    <w:p w14:paraId="1B0C4C50">
      <w:pPr>
        <w:spacing w:line="400" w:lineRule="exact"/>
        <w:contextualSpacing/>
        <w:rPr>
          <w:rFonts w:ascii="宋体" w:hAnsi="宋体" w:cs="宋体"/>
          <w:color w:val="auto"/>
          <w:sz w:val="28"/>
          <w:szCs w:val="28"/>
        </w:rPr>
      </w:pPr>
    </w:p>
    <w:p w14:paraId="3259C84E">
      <w:pPr>
        <w:spacing w:line="400" w:lineRule="exact"/>
        <w:contextualSpacing/>
        <w:rPr>
          <w:rFonts w:ascii="宋体" w:hAnsi="宋体" w:cs="宋体"/>
          <w:color w:val="auto"/>
          <w:sz w:val="28"/>
          <w:szCs w:val="28"/>
        </w:rPr>
      </w:pPr>
    </w:p>
    <w:p w14:paraId="692AF9D2">
      <w:pPr>
        <w:spacing w:line="400" w:lineRule="exact"/>
        <w:contextualSpacing/>
        <w:rPr>
          <w:rFonts w:ascii="宋体" w:hAnsi="宋体" w:cs="宋体"/>
          <w:color w:val="auto"/>
          <w:sz w:val="28"/>
          <w:szCs w:val="28"/>
        </w:rPr>
      </w:pPr>
    </w:p>
    <w:p w14:paraId="08449C82">
      <w:pPr>
        <w:spacing w:line="400" w:lineRule="exact"/>
        <w:contextualSpacing/>
        <w:rPr>
          <w:rFonts w:ascii="宋体" w:hAnsi="宋体" w:cs="宋体"/>
          <w:color w:val="auto"/>
          <w:sz w:val="28"/>
          <w:szCs w:val="28"/>
        </w:rPr>
      </w:pPr>
    </w:p>
    <w:p w14:paraId="0C81FA14">
      <w:pPr>
        <w:spacing w:line="400" w:lineRule="exact"/>
        <w:contextualSpacing/>
        <w:rPr>
          <w:rFonts w:ascii="宋体" w:hAnsi="宋体" w:cs="宋体"/>
          <w:color w:val="auto"/>
          <w:sz w:val="28"/>
          <w:szCs w:val="28"/>
        </w:rPr>
      </w:pPr>
    </w:p>
    <w:p w14:paraId="5D84A319">
      <w:pPr>
        <w:spacing w:line="400" w:lineRule="exact"/>
        <w:contextualSpacing/>
        <w:rPr>
          <w:rFonts w:ascii="宋体" w:hAnsi="宋体" w:cs="宋体"/>
          <w:color w:val="auto"/>
          <w:sz w:val="28"/>
          <w:szCs w:val="28"/>
        </w:rPr>
      </w:pPr>
    </w:p>
    <w:p w14:paraId="7285412E">
      <w:pPr>
        <w:spacing w:line="400" w:lineRule="exact"/>
        <w:contextualSpacing/>
        <w:rPr>
          <w:rFonts w:ascii="宋体" w:hAnsi="宋体" w:cs="宋体"/>
          <w:color w:val="auto"/>
          <w:sz w:val="28"/>
          <w:szCs w:val="28"/>
        </w:rPr>
      </w:pPr>
    </w:p>
    <w:p w14:paraId="336B2485">
      <w:pPr>
        <w:spacing w:line="400" w:lineRule="exact"/>
        <w:contextualSpacing/>
        <w:rPr>
          <w:rFonts w:ascii="宋体" w:hAnsi="宋体" w:cs="宋体"/>
          <w:color w:val="auto"/>
          <w:sz w:val="28"/>
          <w:szCs w:val="28"/>
        </w:rPr>
      </w:pPr>
    </w:p>
    <w:p w14:paraId="4F367C6F">
      <w:pPr>
        <w:spacing w:line="400" w:lineRule="exact"/>
        <w:contextualSpacing/>
        <w:rPr>
          <w:rFonts w:ascii="宋体" w:hAnsi="宋体" w:cs="宋体"/>
          <w:color w:val="auto"/>
          <w:sz w:val="28"/>
          <w:szCs w:val="28"/>
        </w:rPr>
      </w:pPr>
    </w:p>
    <w:p w14:paraId="55EE70B0">
      <w:pPr>
        <w:spacing w:line="400" w:lineRule="exact"/>
        <w:contextualSpacing/>
        <w:rPr>
          <w:rFonts w:ascii="宋体" w:hAnsi="宋体" w:cs="宋体"/>
          <w:color w:val="auto"/>
          <w:sz w:val="28"/>
          <w:szCs w:val="28"/>
        </w:rPr>
      </w:pPr>
    </w:p>
    <w:p w14:paraId="68921A6B">
      <w:pPr>
        <w:spacing w:line="400" w:lineRule="exact"/>
        <w:contextualSpacing/>
        <w:rPr>
          <w:rFonts w:ascii="宋体" w:hAnsi="宋体" w:cs="宋体"/>
          <w:color w:val="auto"/>
          <w:sz w:val="28"/>
          <w:szCs w:val="28"/>
        </w:rPr>
      </w:pPr>
    </w:p>
    <w:p w14:paraId="757E506F">
      <w:pPr>
        <w:spacing w:line="400" w:lineRule="exact"/>
        <w:contextualSpacing/>
        <w:rPr>
          <w:rFonts w:ascii="宋体" w:hAnsi="宋体" w:cs="宋体"/>
          <w:color w:val="auto"/>
          <w:sz w:val="28"/>
          <w:szCs w:val="28"/>
        </w:rPr>
      </w:pPr>
    </w:p>
    <w:p w14:paraId="75E7BDCF">
      <w:pPr>
        <w:spacing w:line="400" w:lineRule="exact"/>
        <w:contextualSpacing/>
        <w:rPr>
          <w:rFonts w:ascii="宋体" w:hAnsi="宋体" w:cs="宋体"/>
          <w:color w:val="auto"/>
          <w:sz w:val="28"/>
          <w:szCs w:val="28"/>
        </w:rPr>
      </w:pPr>
    </w:p>
    <w:p w14:paraId="7262C1B5">
      <w:pPr>
        <w:spacing w:line="400" w:lineRule="exact"/>
        <w:contextualSpacing/>
        <w:rPr>
          <w:rFonts w:ascii="宋体" w:hAnsi="宋体" w:cs="宋体"/>
          <w:color w:val="auto"/>
          <w:sz w:val="32"/>
          <w:szCs w:val="32"/>
        </w:rPr>
      </w:pPr>
      <w:r>
        <w:rPr>
          <w:rFonts w:hint="eastAsia" w:ascii="宋体" w:hAnsi="宋体" w:cs="宋体"/>
          <w:color w:val="auto"/>
          <w:sz w:val="28"/>
          <w:szCs w:val="28"/>
        </w:rPr>
        <w:t>附件6</w:t>
      </w:r>
    </w:p>
    <w:p w14:paraId="0D682745">
      <w:pPr>
        <w:spacing w:before="240" w:line="360" w:lineRule="auto"/>
        <w:jc w:val="center"/>
        <w:rPr>
          <w:rFonts w:ascii="宋体" w:hAnsi="宋体" w:cs="宋体"/>
          <w:b/>
          <w:color w:val="auto"/>
          <w:sz w:val="32"/>
          <w:szCs w:val="32"/>
        </w:rPr>
      </w:pPr>
      <w:r>
        <w:rPr>
          <w:rFonts w:hint="eastAsia" w:ascii="宋体" w:hAnsi="宋体" w:cs="宋体"/>
          <w:b/>
          <w:color w:val="auto"/>
          <w:sz w:val="32"/>
          <w:szCs w:val="32"/>
        </w:rPr>
        <w:t>报价明细表</w:t>
      </w:r>
    </w:p>
    <w:p w14:paraId="213EADAA">
      <w:pPr>
        <w:spacing w:line="360" w:lineRule="auto"/>
        <w:rPr>
          <w:rFonts w:ascii="宋体" w:hAnsi="宋体" w:cs="宋体"/>
          <w:color w:val="auto"/>
          <w:kern w:val="0"/>
          <w:sz w:val="28"/>
          <w:szCs w:val="28"/>
          <w:u w:val="single"/>
        </w:rPr>
      </w:pPr>
      <w:r>
        <w:rPr>
          <w:rFonts w:hint="eastAsia" w:ascii="宋体" w:hAnsi="宋体" w:cs="宋体"/>
          <w:color w:val="auto"/>
          <w:kern w:val="0"/>
          <w:sz w:val="28"/>
          <w:szCs w:val="28"/>
        </w:rPr>
        <w:t>供应商全称（加盖公章）：</w:t>
      </w:r>
    </w:p>
    <w:p w14:paraId="2F9829C4">
      <w:pPr>
        <w:spacing w:line="360" w:lineRule="auto"/>
        <w:rPr>
          <w:rFonts w:ascii="宋体" w:hAnsi="宋体" w:cs="宋体"/>
          <w:color w:val="auto"/>
          <w:kern w:val="0"/>
          <w:sz w:val="28"/>
          <w:szCs w:val="28"/>
          <w:u w:val="single"/>
        </w:rPr>
      </w:pPr>
      <w:r>
        <w:rPr>
          <w:rFonts w:hint="eastAsia" w:ascii="宋体" w:hAnsi="宋体" w:cs="宋体"/>
          <w:color w:val="auto"/>
          <w:kern w:val="0"/>
          <w:sz w:val="28"/>
          <w:szCs w:val="28"/>
        </w:rPr>
        <w:t>项目名称：</w:t>
      </w:r>
    </w:p>
    <w:p w14:paraId="0C5CBAF3">
      <w:pPr>
        <w:spacing w:line="360" w:lineRule="auto"/>
        <w:rPr>
          <w:rFonts w:ascii="宋体" w:hAnsi="宋体" w:cs="宋体"/>
          <w:b/>
          <w:color w:val="auto"/>
          <w:sz w:val="32"/>
          <w:szCs w:val="32"/>
        </w:rPr>
      </w:pPr>
      <w:r>
        <w:rPr>
          <w:rFonts w:hint="eastAsia" w:ascii="宋体" w:hAnsi="宋体" w:cs="宋体"/>
          <w:color w:val="auto"/>
          <w:kern w:val="0"/>
          <w:sz w:val="28"/>
          <w:szCs w:val="28"/>
        </w:rPr>
        <w:t>项目编号：</w:t>
      </w:r>
    </w:p>
    <w:p w14:paraId="7D5C135D">
      <w:pPr>
        <w:spacing w:line="360" w:lineRule="auto"/>
        <w:rPr>
          <w:rFonts w:ascii="宋体" w:hAnsi="宋体" w:cs="宋体"/>
          <w:color w:val="auto"/>
          <w:kern w:val="0"/>
          <w:sz w:val="28"/>
          <w:szCs w:val="28"/>
        </w:rPr>
      </w:pPr>
      <w:r>
        <w:rPr>
          <w:rFonts w:hint="eastAsia" w:ascii="宋体" w:hAnsi="宋体" w:cs="宋体"/>
          <w:color w:val="auto"/>
          <w:kern w:val="0"/>
          <w:sz w:val="28"/>
          <w:szCs w:val="28"/>
        </w:rPr>
        <w:t>日期：</w:t>
      </w:r>
    </w:p>
    <w:p w14:paraId="33060B39">
      <w:pPr>
        <w:pStyle w:val="122"/>
        <w:numPr>
          <w:ilvl w:val="0"/>
          <w:numId w:val="0"/>
        </w:numPr>
        <w:ind w:firstLine="548" w:firstLineChars="196"/>
        <w:rPr>
          <w:rFonts w:hint="eastAsia" w:cs="仿宋"/>
          <w:b w:val="0"/>
          <w:color w:val="auto"/>
          <w:sz w:val="28"/>
          <w:szCs w:val="28"/>
        </w:rPr>
      </w:pPr>
      <w:r>
        <w:rPr>
          <w:rFonts w:hint="default" w:ascii="Calibri" w:hAnsi="Calibri" w:cs="Calibri"/>
          <w:b w:val="0"/>
          <w:color w:val="auto"/>
          <w:sz w:val="28"/>
          <w:szCs w:val="28"/>
        </w:rPr>
        <w:t>①</w:t>
      </w:r>
      <w:r>
        <w:rPr>
          <w:rFonts w:hint="eastAsia" w:cs="仿宋"/>
          <w:b w:val="0"/>
          <w:color w:val="auto"/>
          <w:sz w:val="28"/>
          <w:szCs w:val="28"/>
        </w:rPr>
        <w:t>分子实验中心设备</w:t>
      </w:r>
    </w:p>
    <w:tbl>
      <w:tblPr>
        <w:tblStyle w:val="31"/>
        <w:tblW w:w="84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6"/>
        <w:gridCol w:w="1473"/>
        <w:gridCol w:w="798"/>
        <w:gridCol w:w="860"/>
        <w:gridCol w:w="1212"/>
        <w:gridCol w:w="1212"/>
        <w:gridCol w:w="1212"/>
        <w:gridCol w:w="1212"/>
      </w:tblGrid>
      <w:tr w14:paraId="0B6F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3E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序号</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1B2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设备名称</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05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数量</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BA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单位</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863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规格型号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54E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品牌</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034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投标单价（元）</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A32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投标合价（元）</w:t>
            </w:r>
          </w:p>
        </w:tc>
      </w:tr>
      <w:tr w14:paraId="57CC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EB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186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干式恒温器</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F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41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BD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0F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19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C6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r>
      <w:tr w14:paraId="1002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C9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335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普通摇床</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D2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C4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D3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47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8F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C49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r>
      <w:tr w14:paraId="1D2F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B3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DFF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匀浆机</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5E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74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CB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09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94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34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r>
      <w:tr w14:paraId="54B0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0A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00A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RNA浓度测量仪</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01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94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1D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74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B6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AF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r>
      <w:tr w14:paraId="65F5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99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62C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琼脂糖凝胶电泳槽</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21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7F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36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CE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59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AE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r>
      <w:tr w14:paraId="1F24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4C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12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qPCR仪</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5C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46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185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AF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27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3B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r>
      <w:tr w14:paraId="6B87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85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C0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动物房专用空调</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5B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7A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8E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85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399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FA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r>
      <w:tr w14:paraId="2B4F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60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424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rPr>
            </w:pPr>
            <w:r>
              <w:rPr>
                <w:rFonts w:hint="eastAsia" w:ascii="宋体" w:hAnsi="宋体" w:cs="宋体"/>
                <w:i w:val="0"/>
                <w:iCs w:val="0"/>
                <w:color w:val="auto"/>
                <w:kern w:val="0"/>
                <w:sz w:val="22"/>
                <w:szCs w:val="22"/>
                <w:u w:val="none"/>
                <w:lang w:val="en-US" w:eastAsia="zh-CN"/>
              </w:rPr>
              <w:t>①</w:t>
            </w:r>
            <w:r>
              <w:rPr>
                <w:rFonts w:hint="eastAsia" w:ascii="宋体" w:hAnsi="宋体" w:eastAsia="宋体" w:cs="宋体"/>
                <w:i w:val="0"/>
                <w:iCs w:val="0"/>
                <w:color w:val="auto"/>
                <w:kern w:val="0"/>
                <w:sz w:val="22"/>
                <w:szCs w:val="22"/>
                <w:u w:val="none"/>
                <w:lang w:val="en-US" w:eastAsia="zh-CN"/>
              </w:rPr>
              <w:t>合计（元）</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62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B7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rPr>
            </w:pPr>
          </w:p>
        </w:tc>
      </w:tr>
    </w:tbl>
    <w:p w14:paraId="0907E561">
      <w:pPr>
        <w:ind w:firstLine="560" w:firstLineChars="200"/>
        <w:rPr>
          <w:rFonts w:hint="eastAsia" w:ascii="宋体" w:hAnsi="宋体"/>
          <w:bCs/>
          <w:color w:val="auto"/>
          <w:sz w:val="28"/>
          <w:szCs w:val="32"/>
        </w:rPr>
      </w:pPr>
      <w:r>
        <w:rPr>
          <w:rFonts w:hint="default" w:ascii="Calibri" w:hAnsi="Calibri" w:cs="Calibri"/>
          <w:bCs/>
          <w:color w:val="auto"/>
          <w:sz w:val="28"/>
          <w:szCs w:val="32"/>
        </w:rPr>
        <w:t>②分子实验中心实验耗材办公用品</w:t>
      </w:r>
    </w:p>
    <w:tbl>
      <w:tblPr>
        <w:tblStyle w:val="31"/>
        <w:tblW w:w="97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792"/>
        <w:gridCol w:w="855"/>
        <w:gridCol w:w="945"/>
        <w:gridCol w:w="1125"/>
        <w:gridCol w:w="930"/>
        <w:gridCol w:w="1140"/>
        <w:gridCol w:w="1155"/>
      </w:tblGrid>
      <w:tr w14:paraId="5AE0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B6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序号</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543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设备名称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63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C8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B3D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规格型号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895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品牌</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2ED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投标单价（元）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5E2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投标合价（元）</w:t>
            </w:r>
          </w:p>
        </w:tc>
      </w:tr>
      <w:tr w14:paraId="3880F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75E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DDE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动物笼架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73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411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9D56">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074E">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B53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2014">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4EFF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49A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5A4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鼠笼、水壶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88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9BD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B89B">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38C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A41F">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661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4480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8E6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E29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制胶总架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BAB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DCE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B316">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1AA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7F7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0C73">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76718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E4E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E0A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制胶玻璃板（1mm）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F43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279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C014">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3FDF">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FDF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B32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2B03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E7E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074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制胶玻璃板（1.5mm）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B5B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2CF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C6D0">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953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741B">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E606">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0509D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F6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655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WB转膜用夹板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910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CBD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032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424E">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92B3">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0299">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6263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2B4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149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转膜滤纸</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2DC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E3D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B72F">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E610">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7074">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E52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5B93F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25C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C2B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制胶梳子（1mm，10孔）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6FC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2F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9FD3">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5B2B">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731A">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955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550A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BD3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FBD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制胶梳子（1mm，15孔）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C6E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3BC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A4CE">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B823">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56B4">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F6CA">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712B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CD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2AA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制胶梳子（1.5mm，10孔）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A64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566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00F7">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2460">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D8E8">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7653">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6723C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4C2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1E7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制胶梳子（1.5mm，15孔）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F96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79D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E896">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818A">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9C46">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29E7">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697DD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0E2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416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1L量筒</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9AD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749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5549">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98B4">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3797">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1289">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5B90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FD4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468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500ml量筒</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C07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71F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7F20">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F560">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09C1">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CC66">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4200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8CF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374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100ml量筒</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203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489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C6F3">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82D3">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C2B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A8A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3D420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2A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15</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1B4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2L玻璃瓶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51B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698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1903">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08C6">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74B3">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0F5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5F35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C2F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876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1L玻璃瓶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B19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9A4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717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C0C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2CEC">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1D69">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0971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390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9A9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500ml玻璃瓶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B65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E01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9A99">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335B">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F8BE">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C5BC">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599EF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B1B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7C5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100ml玻璃瓶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338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ED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DF4B">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6E51">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2BD0">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6E71">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2A03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32B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ABC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2L烧杯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F37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B9F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286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F28A">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48FF">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C50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4DD98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DEA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9AA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1L烧杯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07F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420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7737">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D64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3AA7">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3AAC">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64E21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00F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2C6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500mL烧杯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8FF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7E8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F16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0A2E">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B40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66C1">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79291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699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86D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100mL烧杯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866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A47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4118">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312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21C0">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570B">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1702B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3AA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2C9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50mL烧杯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54A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37C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79F7">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0D0C">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0EB0">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C250">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0B771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F6F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859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15ml离心管试管架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7C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357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713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0E61">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F8D4">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71A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40CC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AEE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25</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8B6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50ml离心管试管架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3AE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AB1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7249">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BE9E">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EE5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7A78">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4A5B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A42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DFF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1.5mlEP管架（24孔）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024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E77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1EA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5006">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D3C1">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6D56">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73E06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D1D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98B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储物柜子</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549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59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0E8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796F">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E36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B24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57FB6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9CB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534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鞋柜</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D4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61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92C7">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E39E">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FFE8">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801C">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rPr>
            </w:pPr>
          </w:p>
        </w:tc>
      </w:tr>
      <w:tr w14:paraId="6699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DB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A5B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工作服挂钩</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BD1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632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7BB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D0FB">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5A2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1694">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08E0C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35D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E15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RAPA</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336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89E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A8CC">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2C8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5F8F">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5A54">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0671F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086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1B3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蛋白酶+磷酸酶抑制剂</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262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EB5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0C68">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69B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4B11">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67A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7E696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97F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882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BCA试剂盒</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35C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AF7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DCC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3466">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A61E">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66B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4C3C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12F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58A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5*loading buffer</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D29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00F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C376">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F2A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48C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329F">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1BD2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574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3A7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蛋白 Marker</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1C9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6C5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ADE5">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4185">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34EE">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4338">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7446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4BE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35</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D97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PVDF膜</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F37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81C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0E3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236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4856">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C7E4">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2A63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197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4AE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电泳液</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79D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077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27E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1E8F">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E264">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624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2D09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032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058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转膜液</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11A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49D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97F5">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EA2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1248">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CC4F">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5C61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483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19F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脱脂奶粉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6BA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E48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8328">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755F">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7A4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7E3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702A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59B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39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935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TBST</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0FC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253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24F6">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6511">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9C41">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D3E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7116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D0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EDB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二抗（驴抗兔）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405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6B9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762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3C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030B">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285C">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1FCC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102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067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二抗（驴抗鼠）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9D7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8AB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8AD4">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0B3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A76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CF7E">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1F511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140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C08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96孔板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169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962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5661">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E41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F465">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E84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160F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80A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C2A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1.5mlEP管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077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534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491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1A85">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68F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04A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5748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EED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57E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15ml离心管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7B2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DA8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9461">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01A5">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CB6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B09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4739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65F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45</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7BF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50ml离心管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65B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EA2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027C">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3E7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CB2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B43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1F1B9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BE6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988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10%胶（雅酶）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B7C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E36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35C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E85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157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E3D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3CEA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758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03B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上样枪头</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459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DDB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FAF6">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6D9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7DAB">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895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0281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A8B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9F7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称量纸</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62D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1D6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EA2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A44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E50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80B1">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1FB8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803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635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1.5mlEP管（无酶）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8F0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FFA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C02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4278">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157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852C">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1D517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56C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6A3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qPCR   96孔板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C0F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76C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35D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4AA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73CF">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70C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1511F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05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142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封板膜</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291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6FE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BF16">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6F38">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CAB6">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CBD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6C92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B73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7CD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96孔板离心机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FA6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D32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BD3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9DD8">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21BE">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9B3B">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1E7E8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728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07C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Trizol</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31A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FD9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8B7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C0E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77C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954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40866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9C7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AFA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异丙醇</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3D2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D52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12FB">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8D61">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4ACC">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4425">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4AD64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CB7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55</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A49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DEPC水</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7AD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559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B1D1">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334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9F81">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28A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67B1E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059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63D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8联排管（无酶）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0BD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569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B5B8">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477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840E">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9568">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1880E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E96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DE9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逆转录试剂</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689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FB5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B1BF">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9B21">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40C1">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9128">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5278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AF1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15F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SYB Green</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B82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1A8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F5A1">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2E6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F0A5">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6DA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76B02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49D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59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862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1ml枪头（无酶）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C5F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64F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9DC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52D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4A4E">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1D2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083B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86D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3DE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200ul枪头（无酶）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4A2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68D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E3AB">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076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28C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C04E">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4977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35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74E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10ul枪头（无酶）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B7A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6FE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722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B886">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79A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A08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370F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FD9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9F0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小圆玻片（8mm）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D4D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C5F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B4C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F95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38DE">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7EA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0466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EBE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D37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玻底小皿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FF3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0CA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669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8A4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684C">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368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33AE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6A7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3D0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4%PFA</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8D7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976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0C2F">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E4B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C5F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CD2A">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3C78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B0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65</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273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PBST</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A05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934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5638">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6F7E">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2BB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3CBC">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2259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DA7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40E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BSA</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C9B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51B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002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E16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990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AD3F">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46788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A27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109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DAPI</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21B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AC8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2FC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5F1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075D">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8F5C">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27FD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630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70E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封片剂</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15B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E7D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CB0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037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9BEE">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2C6F">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7B98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BDE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69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9D8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载玻片</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48D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6D5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09F8">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BD86">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6CD0">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197F">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5551D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B7F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70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AE1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荧光二抗（驴抗鼠488）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8C6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047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94C4">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587E">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AE81">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0C5C">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1802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889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71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8AA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荧光二抗（驴抗兔555）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2C7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4B1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3EE5">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043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2EBF">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2706">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r w14:paraId="657CB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4D6C">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rPr>
            </w:pPr>
            <w:r>
              <w:rPr>
                <w:rFonts w:hint="eastAsia" w:ascii="宋体" w:hAnsi="宋体" w:cs="宋体"/>
                <w:b/>
                <w:bCs/>
                <w:i w:val="0"/>
                <w:iCs w:val="0"/>
                <w:color w:val="auto"/>
                <w:kern w:val="0"/>
                <w:sz w:val="22"/>
                <w:szCs w:val="22"/>
                <w:u w:val="none"/>
                <w:lang w:val="en-US" w:eastAsia="zh-CN"/>
              </w:rPr>
              <w:t>②</w:t>
            </w:r>
            <w:r>
              <w:rPr>
                <w:rFonts w:hint="eastAsia" w:ascii="宋体" w:hAnsi="宋体" w:eastAsia="宋体" w:cs="宋体"/>
                <w:b/>
                <w:bCs/>
                <w:i w:val="0"/>
                <w:iCs w:val="0"/>
                <w:color w:val="auto"/>
                <w:kern w:val="0"/>
                <w:sz w:val="22"/>
                <w:szCs w:val="22"/>
                <w:u w:val="none"/>
                <w:lang w:val="en-US" w:eastAsia="zh-CN"/>
              </w:rPr>
              <w:t>合计（元）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BA14">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81C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rPr>
            </w:pPr>
          </w:p>
        </w:tc>
      </w:tr>
    </w:tbl>
    <w:p w14:paraId="6B394FC8">
      <w:pPr>
        <w:spacing w:before="240" w:line="360" w:lineRule="auto"/>
        <w:rPr>
          <w:rFonts w:ascii="宋体" w:hAnsi="宋体" w:cs="宋体"/>
          <w:b/>
          <w:color w:val="auto"/>
          <w:sz w:val="32"/>
          <w:szCs w:val="32"/>
        </w:rPr>
      </w:pPr>
      <w:r>
        <w:rPr>
          <w:rFonts w:hint="eastAsia" w:ascii="宋体" w:hAnsi="宋体" w:cs="宋体"/>
          <w:b/>
          <w:color w:val="auto"/>
          <w:sz w:val="32"/>
          <w:szCs w:val="32"/>
          <w:lang w:val="en-US" w:eastAsia="zh-CN"/>
        </w:rPr>
        <w:t>总计（元）=</w:t>
      </w:r>
      <w:r>
        <w:rPr>
          <w:rFonts w:hint="default" w:ascii="Calibri" w:hAnsi="Calibri" w:cs="Calibri"/>
          <w:b w:val="0"/>
          <w:color w:val="auto"/>
          <w:sz w:val="28"/>
          <w:szCs w:val="28"/>
        </w:rPr>
        <w:t>①</w:t>
      </w:r>
      <w:r>
        <w:rPr>
          <w:rFonts w:hint="eastAsia" w:ascii="Calibri" w:hAnsi="Calibri" w:cs="Calibri"/>
          <w:b w:val="0"/>
          <w:color w:val="auto"/>
          <w:sz w:val="28"/>
          <w:szCs w:val="28"/>
          <w:lang w:val="en-US" w:eastAsia="zh-CN"/>
        </w:rPr>
        <w:t>+</w:t>
      </w:r>
      <w:r>
        <w:rPr>
          <w:rFonts w:hint="default" w:ascii="Calibri" w:hAnsi="Calibri" w:cs="Calibri"/>
          <w:bCs/>
          <w:color w:val="auto"/>
          <w:sz w:val="28"/>
          <w:szCs w:val="32"/>
        </w:rPr>
        <w:t>②</w:t>
      </w:r>
      <w:r>
        <w:rPr>
          <w:rFonts w:hint="eastAsia" w:ascii="宋体" w:hAnsi="宋体" w:cs="宋体"/>
          <w:b/>
          <w:color w:val="auto"/>
          <w:sz w:val="32"/>
          <w:szCs w:val="32"/>
        </w:rPr>
        <w:br w:type="page"/>
      </w:r>
      <w:r>
        <w:rPr>
          <w:rFonts w:hint="eastAsia" w:ascii="宋体" w:hAnsi="宋体" w:cs="宋体"/>
          <w:b/>
          <w:color w:val="auto"/>
          <w:sz w:val="32"/>
          <w:szCs w:val="32"/>
        </w:rPr>
        <w:t>附件7</w:t>
      </w:r>
    </w:p>
    <w:p w14:paraId="44E7B7EB">
      <w:pPr>
        <w:spacing w:before="240" w:line="360" w:lineRule="auto"/>
        <w:jc w:val="center"/>
        <w:rPr>
          <w:rFonts w:ascii="宋体" w:hAnsi="宋体" w:cs="宋体"/>
          <w:b/>
          <w:color w:val="auto"/>
          <w:sz w:val="32"/>
          <w:szCs w:val="32"/>
        </w:rPr>
      </w:pPr>
      <w:r>
        <w:rPr>
          <w:rFonts w:hint="eastAsia" w:ascii="宋体" w:hAnsi="宋体" w:cs="宋体"/>
          <w:b/>
          <w:color w:val="auto"/>
          <w:sz w:val="32"/>
          <w:szCs w:val="32"/>
        </w:rPr>
        <w:t>供应商信用承诺书</w:t>
      </w:r>
    </w:p>
    <w:p w14:paraId="7346998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为营造公开、公平、公正的公共资源交易环境，树立诚信守法的供应商形象，本人代表本单位作出以下承诺：</w:t>
      </w:r>
    </w:p>
    <w:p w14:paraId="205DFCE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一、本单位对所提交的单位基本信息、单位负责人、项目负责人、技术负责人、从业资质和资格、业绩、财务状况、信誉等所有资料，均合法、真实、准确、有效，无任何伪造、修改、虚假成分；</w:t>
      </w:r>
    </w:p>
    <w:p w14:paraId="5CE2D83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二、严格依照国家和省、市、县关于政府采购等方面的法律、法规、规章、规范性文件，参加</w:t>
      </w:r>
      <w:r>
        <w:rPr>
          <w:rFonts w:hint="eastAsia" w:ascii="宋体" w:hAnsi="宋体" w:cs="宋体"/>
          <w:color w:val="auto"/>
          <w:kern w:val="0"/>
          <w:sz w:val="24"/>
        </w:rPr>
        <w:t>采购人组织的</w:t>
      </w:r>
      <w:r>
        <w:rPr>
          <w:rFonts w:hint="eastAsia" w:ascii="宋体" w:hAnsi="宋体" w:cs="宋体"/>
          <w:color w:val="auto"/>
          <w:kern w:val="0"/>
          <w:sz w:val="24"/>
          <w:lang w:val="zh-CN"/>
        </w:rPr>
        <w:t>招标投标活动；积极履行社会责任，促进廉政建设；</w:t>
      </w:r>
    </w:p>
    <w:p w14:paraId="20D9FE96">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三、严格遵守即时信息公示规定，及时更新公共资源交易中心主体信息库中信息；</w:t>
      </w:r>
    </w:p>
    <w:p w14:paraId="7602ED6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四、自我约束、自我管理，守合同、重信用，不参与围标串标、弄虚作假、骗取中标、干扰评标、违约毁约、恶意投诉等行为，主动维护公共资源交易招标投标的良好秩序；</w:t>
      </w:r>
    </w:p>
    <w:p w14:paraId="5BA8E6E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五、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319479E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六、自觉接受政府部门、行业组织、社会公众、新闻舆论等监督；</w:t>
      </w:r>
    </w:p>
    <w:p w14:paraId="72BA5BB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七、上述承诺已向本单位员工作了宣传教育；</w:t>
      </w:r>
    </w:p>
    <w:p w14:paraId="56DA9FDE">
      <w:pPr>
        <w:tabs>
          <w:tab w:val="left" w:pos="4860"/>
        </w:tabs>
        <w:spacing w:line="360" w:lineRule="auto"/>
        <w:ind w:right="1560"/>
        <w:jc w:val="left"/>
        <w:rPr>
          <w:rFonts w:ascii="宋体" w:hAnsi="宋体" w:cs="宋体"/>
          <w:b/>
          <w:color w:val="auto"/>
          <w:kern w:val="0"/>
          <w:sz w:val="24"/>
          <w:lang w:val="zh-CN"/>
        </w:rPr>
      </w:pPr>
      <w:r>
        <w:rPr>
          <w:rFonts w:hint="eastAsia" w:ascii="宋体" w:hAnsi="宋体" w:cs="宋体"/>
          <w:b/>
          <w:color w:val="auto"/>
          <w:kern w:val="0"/>
          <w:sz w:val="24"/>
          <w:lang w:val="zh-CN"/>
        </w:rPr>
        <w:t>如有违反上述承诺的不良行为，本单位同意将其予以上网公示。</w:t>
      </w:r>
    </w:p>
    <w:p w14:paraId="5E04CF5E">
      <w:pPr>
        <w:spacing w:line="360" w:lineRule="auto"/>
        <w:ind w:firstLine="3080" w:firstLineChars="1100"/>
        <w:rPr>
          <w:rFonts w:ascii="宋体" w:hAnsi="宋体" w:cs="宋体"/>
          <w:color w:val="auto"/>
          <w:sz w:val="28"/>
          <w:szCs w:val="28"/>
        </w:rPr>
      </w:pPr>
      <w:r>
        <w:rPr>
          <w:rFonts w:hint="eastAsia" w:ascii="宋体" w:hAnsi="宋体" w:cs="宋体"/>
          <w:color w:val="auto"/>
          <w:sz w:val="28"/>
          <w:szCs w:val="28"/>
        </w:rPr>
        <w:t xml:space="preserve">  </w:t>
      </w:r>
    </w:p>
    <w:p w14:paraId="35A6AC37">
      <w:pPr>
        <w:spacing w:line="360" w:lineRule="auto"/>
        <w:ind w:firstLine="3080" w:firstLineChars="1100"/>
        <w:rPr>
          <w:rFonts w:ascii="宋体" w:hAnsi="宋体" w:cs="宋体"/>
          <w:color w:val="auto"/>
          <w:kern w:val="0"/>
          <w:sz w:val="28"/>
          <w:szCs w:val="28"/>
          <w:u w:val="single"/>
          <w:lang w:val="zh-CN"/>
        </w:rPr>
      </w:pPr>
      <w:r>
        <w:rPr>
          <w:rFonts w:hint="eastAsia" w:ascii="宋体" w:hAnsi="宋体" w:cs="宋体"/>
          <w:color w:val="auto"/>
          <w:kern w:val="0"/>
          <w:sz w:val="28"/>
          <w:szCs w:val="28"/>
          <w:lang w:val="zh-CN"/>
        </w:rPr>
        <w:t>投标供应商全称(盖公章)：</w:t>
      </w:r>
    </w:p>
    <w:p w14:paraId="4FC379A7">
      <w:pPr>
        <w:spacing w:line="360" w:lineRule="auto"/>
        <w:ind w:firstLine="3080" w:firstLineChars="1100"/>
        <w:rPr>
          <w:rFonts w:ascii="宋体" w:hAnsi="宋体" w:cs="宋体"/>
          <w:color w:val="auto"/>
          <w:sz w:val="28"/>
          <w:szCs w:val="28"/>
          <w:u w:val="single"/>
          <w:lang w:val="zh-CN"/>
        </w:rPr>
      </w:pPr>
      <w:r>
        <w:rPr>
          <w:rFonts w:hint="eastAsia" w:ascii="宋体" w:hAnsi="宋体" w:cs="宋体"/>
          <w:color w:val="auto"/>
          <w:kern w:val="0"/>
          <w:sz w:val="28"/>
          <w:szCs w:val="28"/>
          <w:lang w:val="zh-CN"/>
        </w:rPr>
        <w:t>法定代表人（签字或盖章）：</w:t>
      </w:r>
    </w:p>
    <w:p w14:paraId="348D11DF">
      <w:pPr>
        <w:spacing w:line="360" w:lineRule="auto"/>
        <w:ind w:firstLine="3080" w:firstLineChars="1100"/>
        <w:rPr>
          <w:rFonts w:ascii="宋体" w:hAnsi="宋体" w:cs="宋体"/>
          <w:color w:val="auto"/>
          <w:kern w:val="0"/>
          <w:sz w:val="28"/>
          <w:szCs w:val="28"/>
          <w:lang w:val="zh-CN"/>
        </w:rPr>
      </w:pPr>
      <w:r>
        <w:rPr>
          <w:rFonts w:hint="eastAsia" w:ascii="宋体" w:hAnsi="宋体" w:cs="宋体"/>
          <w:color w:val="auto"/>
          <w:kern w:val="0"/>
          <w:sz w:val="28"/>
          <w:szCs w:val="28"/>
          <w:lang w:val="zh-CN"/>
        </w:rPr>
        <w:t>时间：  年  月   日</w:t>
      </w:r>
    </w:p>
    <w:p w14:paraId="127D36CC">
      <w:pPr>
        <w:spacing w:line="360" w:lineRule="auto"/>
        <w:rPr>
          <w:rFonts w:ascii="宋体" w:hAnsi="宋体" w:cs="宋体"/>
          <w:color w:val="auto"/>
        </w:rPr>
      </w:pPr>
    </w:p>
    <w:p w14:paraId="3849B32C">
      <w:pPr>
        <w:spacing w:line="360" w:lineRule="auto"/>
        <w:rPr>
          <w:rFonts w:ascii="宋体" w:hAnsi="宋体" w:cs="宋体"/>
          <w:color w:val="auto"/>
        </w:rPr>
      </w:pPr>
    </w:p>
    <w:p w14:paraId="5E090A6D">
      <w:pPr>
        <w:snapToGrid w:val="0"/>
        <w:spacing w:line="360" w:lineRule="auto"/>
        <w:rPr>
          <w:rFonts w:ascii="宋体" w:hAnsi="宋体" w:cs="宋体"/>
          <w:color w:val="auto"/>
          <w:sz w:val="32"/>
          <w:szCs w:val="32"/>
        </w:rPr>
      </w:pPr>
      <w:r>
        <w:rPr>
          <w:rFonts w:hint="eastAsia" w:ascii="宋体" w:hAnsi="宋体" w:cs="宋体"/>
          <w:color w:val="auto"/>
          <w:sz w:val="32"/>
          <w:szCs w:val="32"/>
        </w:rPr>
        <w:br w:type="page"/>
      </w:r>
      <w:r>
        <w:rPr>
          <w:rFonts w:hint="eastAsia" w:ascii="宋体" w:hAnsi="宋体" w:cs="宋体"/>
          <w:color w:val="auto"/>
          <w:sz w:val="32"/>
          <w:szCs w:val="32"/>
        </w:rPr>
        <w:t>附件8</w:t>
      </w:r>
    </w:p>
    <w:p w14:paraId="549E6FB6">
      <w:pPr>
        <w:spacing w:line="360" w:lineRule="auto"/>
        <w:jc w:val="center"/>
        <w:rPr>
          <w:rFonts w:ascii="宋体" w:hAnsi="宋体" w:cs="宋体"/>
          <w:bCs/>
          <w:color w:val="auto"/>
          <w:sz w:val="40"/>
          <w:szCs w:val="40"/>
        </w:rPr>
      </w:pPr>
      <w:r>
        <w:rPr>
          <w:rFonts w:hint="eastAsia" w:ascii="宋体" w:hAnsi="宋体" w:cs="宋体"/>
          <w:bCs/>
          <w:color w:val="auto"/>
          <w:sz w:val="40"/>
          <w:szCs w:val="40"/>
        </w:rPr>
        <w:t>质疑函范本</w:t>
      </w:r>
    </w:p>
    <w:p w14:paraId="71C15C94">
      <w:pPr>
        <w:adjustRightInd w:val="0"/>
        <w:snapToGrid w:val="0"/>
        <w:spacing w:before="240" w:beforeLines="100" w:line="360" w:lineRule="auto"/>
        <w:rPr>
          <w:rFonts w:ascii="宋体" w:hAnsi="宋体" w:cs="宋体"/>
          <w:bCs/>
          <w:color w:val="auto"/>
          <w:sz w:val="28"/>
          <w:szCs w:val="28"/>
        </w:rPr>
      </w:pPr>
      <w:r>
        <w:rPr>
          <w:rFonts w:hint="eastAsia" w:ascii="宋体" w:hAnsi="宋体" w:cs="宋体"/>
          <w:bCs/>
          <w:color w:val="auto"/>
          <w:sz w:val="28"/>
          <w:szCs w:val="28"/>
        </w:rPr>
        <w:t>一、质疑供应商基本信息</w:t>
      </w:r>
    </w:p>
    <w:p w14:paraId="6AB761ED">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质疑供应商：</w:t>
      </w:r>
    </w:p>
    <w:p w14:paraId="5DBAAAC8">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地址：邮编：</w:t>
      </w:r>
    </w:p>
    <w:p w14:paraId="4804296A">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联系人：联系电话：</w:t>
      </w:r>
    </w:p>
    <w:p w14:paraId="159E139F">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授权代表：</w:t>
      </w:r>
    </w:p>
    <w:p w14:paraId="0A533988">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联系电话：</w:t>
      </w:r>
    </w:p>
    <w:p w14:paraId="626EFE22">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地址：邮编：</w:t>
      </w:r>
    </w:p>
    <w:p w14:paraId="14BA7DD2">
      <w:pPr>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二、质疑项目基本情况</w:t>
      </w:r>
    </w:p>
    <w:p w14:paraId="07871C07">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质疑项目的名称：</w:t>
      </w:r>
    </w:p>
    <w:p w14:paraId="7378A416">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质疑项目的编号：包号：</w:t>
      </w:r>
    </w:p>
    <w:p w14:paraId="65062531">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采购人名称：</w:t>
      </w:r>
    </w:p>
    <w:p w14:paraId="12EC4F4F">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采购文件获取日期：</w:t>
      </w:r>
    </w:p>
    <w:p w14:paraId="7919A4D8">
      <w:pPr>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三、质疑事项具体内容</w:t>
      </w:r>
    </w:p>
    <w:p w14:paraId="4A76C58F">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质疑事项1：</w:t>
      </w:r>
    </w:p>
    <w:p w14:paraId="2794D0A4">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事实依据：</w:t>
      </w:r>
    </w:p>
    <w:p w14:paraId="55894AAF">
      <w:pPr>
        <w:adjustRightInd w:val="0"/>
        <w:snapToGrid w:val="0"/>
        <w:spacing w:line="360" w:lineRule="auto"/>
        <w:rPr>
          <w:rFonts w:ascii="宋体" w:hAnsi="宋体" w:cs="宋体"/>
          <w:color w:val="auto"/>
          <w:sz w:val="28"/>
          <w:szCs w:val="28"/>
        </w:rPr>
      </w:pPr>
    </w:p>
    <w:p w14:paraId="35454BC9">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法律依据：</w:t>
      </w:r>
    </w:p>
    <w:p w14:paraId="6B908AFB">
      <w:pPr>
        <w:adjustRightInd w:val="0"/>
        <w:snapToGrid w:val="0"/>
        <w:spacing w:line="360" w:lineRule="auto"/>
        <w:rPr>
          <w:rFonts w:ascii="宋体" w:hAnsi="宋体" w:cs="宋体"/>
          <w:color w:val="auto"/>
          <w:sz w:val="28"/>
          <w:szCs w:val="28"/>
          <w:u w:val="dotted"/>
        </w:rPr>
      </w:pPr>
    </w:p>
    <w:p w14:paraId="096AC14A">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质疑事项2</w:t>
      </w:r>
    </w:p>
    <w:p w14:paraId="53CDEE79">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w:t>
      </w:r>
    </w:p>
    <w:p w14:paraId="613942AE">
      <w:pPr>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四、与质疑事项相关的质疑请求</w:t>
      </w:r>
    </w:p>
    <w:p w14:paraId="4AA8A830">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请求：</w:t>
      </w:r>
    </w:p>
    <w:p w14:paraId="59028E1F">
      <w:pPr>
        <w:spacing w:line="360" w:lineRule="auto"/>
        <w:rPr>
          <w:rFonts w:ascii="宋体" w:hAnsi="宋体" w:cs="宋体"/>
          <w:color w:val="auto"/>
          <w:sz w:val="28"/>
          <w:szCs w:val="28"/>
        </w:rPr>
      </w:pPr>
      <w:r>
        <w:rPr>
          <w:rFonts w:hint="eastAsia" w:ascii="宋体" w:hAnsi="宋体" w:cs="宋体"/>
          <w:color w:val="auto"/>
          <w:sz w:val="28"/>
          <w:szCs w:val="28"/>
        </w:rPr>
        <w:t xml:space="preserve">签字(签章)：                   公章：                      </w:t>
      </w:r>
    </w:p>
    <w:p w14:paraId="178E8BE7">
      <w:pPr>
        <w:spacing w:line="360" w:lineRule="auto"/>
        <w:rPr>
          <w:rFonts w:ascii="宋体" w:hAnsi="宋体" w:cs="宋体"/>
          <w:color w:val="auto"/>
          <w:sz w:val="28"/>
          <w:szCs w:val="28"/>
        </w:rPr>
      </w:pPr>
      <w:r>
        <w:rPr>
          <w:rFonts w:hint="eastAsia" w:ascii="宋体" w:hAnsi="宋体" w:cs="宋体"/>
          <w:color w:val="auto"/>
          <w:sz w:val="28"/>
          <w:szCs w:val="28"/>
        </w:rPr>
        <w:t xml:space="preserve">日期：    </w:t>
      </w:r>
    </w:p>
    <w:p w14:paraId="6F8E6895">
      <w:pPr>
        <w:adjustRightInd w:val="0"/>
        <w:snapToGrid w:val="0"/>
        <w:spacing w:line="360" w:lineRule="auto"/>
        <w:rPr>
          <w:rFonts w:ascii="宋体" w:hAnsi="宋体" w:cs="宋体"/>
          <w:color w:val="auto"/>
          <w:sz w:val="28"/>
          <w:szCs w:val="28"/>
        </w:rPr>
      </w:pPr>
    </w:p>
    <w:p w14:paraId="38B882DD">
      <w:pPr>
        <w:spacing w:line="360" w:lineRule="auto"/>
        <w:rPr>
          <w:rFonts w:ascii="宋体" w:hAnsi="宋体" w:cs="宋体"/>
          <w:b/>
          <w:color w:val="auto"/>
          <w:sz w:val="28"/>
          <w:szCs w:val="28"/>
        </w:rPr>
      </w:pPr>
    </w:p>
    <w:p w14:paraId="1E2B8746">
      <w:pPr>
        <w:spacing w:line="360" w:lineRule="auto"/>
        <w:rPr>
          <w:rFonts w:ascii="宋体" w:hAnsi="宋体" w:cs="宋体"/>
          <w:b/>
          <w:color w:val="auto"/>
          <w:sz w:val="28"/>
          <w:szCs w:val="28"/>
        </w:rPr>
      </w:pPr>
    </w:p>
    <w:p w14:paraId="67941755">
      <w:pPr>
        <w:spacing w:line="360" w:lineRule="auto"/>
        <w:rPr>
          <w:rFonts w:ascii="宋体" w:hAnsi="宋体" w:cs="宋体"/>
          <w:b/>
          <w:color w:val="auto"/>
          <w:sz w:val="28"/>
          <w:szCs w:val="28"/>
        </w:rPr>
      </w:pPr>
      <w:r>
        <w:rPr>
          <w:rFonts w:hint="eastAsia" w:ascii="宋体" w:hAnsi="宋体" w:cs="宋体"/>
          <w:b/>
          <w:color w:val="auto"/>
          <w:sz w:val="28"/>
          <w:szCs w:val="28"/>
        </w:rPr>
        <w:t>质疑函制作说明：</w:t>
      </w:r>
    </w:p>
    <w:p w14:paraId="46EB39DD">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1.供应商提出质疑时，应提交质疑函和必要的证明材料。</w:t>
      </w:r>
    </w:p>
    <w:p w14:paraId="75BFB9DC">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2.质疑供应商若委托代理人进行质疑的，质疑函应按要求列明“授权代表”的有关内容，并在附件中提交由质疑</w:t>
      </w:r>
      <w:r>
        <w:rPr>
          <w:rFonts w:hint="eastAsia" w:ascii="宋体" w:hAnsi="宋体" w:cs="宋体"/>
          <w:color w:val="auto"/>
          <w:kern w:val="0"/>
          <w:sz w:val="28"/>
          <w:szCs w:val="28"/>
        </w:rPr>
        <w:t>供应商签署的授权委托书。授权委托书应载明代理人的姓名或者名称、代理事项、具体权限、期限和相关事项。</w:t>
      </w:r>
    </w:p>
    <w:p w14:paraId="604376E1">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3.质疑供应商若对项目的某一分包进行质疑，质疑函中应列明具体分包号。</w:t>
      </w:r>
    </w:p>
    <w:p w14:paraId="2D948B9E">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4.质疑函的质疑事项应具体、明确，并有必要的事实依据和法律依据。</w:t>
      </w:r>
    </w:p>
    <w:p w14:paraId="67765C1E">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5.质疑函的质疑请求应与质疑事项相关。</w:t>
      </w:r>
    </w:p>
    <w:p w14:paraId="36C9F5C7">
      <w:pPr>
        <w:widowControl/>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0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2020503050004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AF48E">
    <w:pPr>
      <w:spacing w:line="116" w:lineRule="exact"/>
      <w:ind w:firstLine="4183"/>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6241C">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CB52664">
                          <w:pPr>
                            <w:pStyle w:val="20"/>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IW1OBb0BAAB7AwAADgAAAAAAAAABACAAAAAfAQAAZHJzL2Uyb0RvYy54bWxQSwUGAAAA&#10;AAYABgBZAQAATgUAAAAA&#10;">
              <v:fill on="f" focussize="0,0"/>
              <v:stroke on="f"/>
              <v:imagedata o:title=""/>
              <o:lock v:ext="edit" aspectratio="f"/>
              <v:textbox inset="0mm,0mm,0mm,0mm" style="mso-fit-shape-to-text:t;">
                <w:txbxContent>
                  <w:p w14:paraId="0CB52664">
                    <w:pPr>
                      <w:pStyle w:val="20"/>
                    </w:pPr>
                    <w:r>
                      <w:fldChar w:fldCharType="begin"/>
                    </w:r>
                    <w:r>
                      <w:instrText xml:space="preserve"> PAGE  \* MERGEFORMAT </w:instrText>
                    </w:r>
                    <w:r>
                      <w:fldChar w:fldCharType="separate"/>
                    </w:r>
                    <w:r>
                      <w:t>32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E1DC6">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BA76A">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114"/>
      <w:suff w:val="nothing"/>
      <w:lvlText w:val="表%1　"/>
      <w:lvlJc w:val="center"/>
      <w:pPr>
        <w:ind w:left="100" w:firstLine="0"/>
      </w:pPr>
      <w:rPr>
        <w:rFonts w:hint="default" w:ascii="仿宋" w:hAnsi="仿宋" w:eastAsia="仿宋" w:cs="仿宋"/>
        <w:b w:val="0"/>
        <w:i w:val="0"/>
        <w:sz w:val="28"/>
        <w:szCs w:val="28"/>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1"/>
    <w:multiLevelType w:val="multilevel"/>
    <w:tmpl w:val="00000001"/>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3"/>
      <w:suff w:val="nothing"/>
      <w:lvlText w:val="%1.%2　"/>
      <w:lvlJc w:val="left"/>
      <w:pPr>
        <w:ind w:left="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suff w:val="nothing"/>
      <w:lvlText w:val="%1.%2.%3　"/>
      <w:lvlJc w:val="left"/>
      <w:pPr>
        <w:ind w:left="85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02"/>
    <w:multiLevelType w:val="multilevel"/>
    <w:tmpl w:val="00000002"/>
    <w:lvl w:ilvl="0" w:tentative="0">
      <w:start w:val="1"/>
      <w:numFmt w:val="decimal"/>
      <w:suff w:val="space"/>
      <w:lvlText w:val="第%1章 "/>
      <w:lvlJc w:val="left"/>
      <w:pPr>
        <w:tabs>
          <w:tab w:val="left" w:pos="0"/>
        </w:tabs>
        <w:ind w:left="0" w:firstLine="0"/>
      </w:pPr>
      <w:rPr>
        <w:rFonts w:hint="eastAsia"/>
        <w:b/>
        <w:sz w:val="44"/>
      </w:rPr>
    </w:lvl>
    <w:lvl w:ilvl="1" w:tentative="0">
      <w:start w:val="1"/>
      <w:numFmt w:val="decimal"/>
      <w:pStyle w:val="104"/>
      <w:isLgl/>
      <w:suff w:val="space"/>
      <w:lvlText w:val="%1.%2 "/>
      <w:lvlJc w:val="left"/>
      <w:pPr>
        <w:tabs>
          <w:tab w:val="left" w:pos="0"/>
        </w:tabs>
        <w:ind w:left="567" w:hanging="567"/>
      </w:pPr>
      <w:rPr>
        <w:rFonts w:hint="default" w:ascii="Times New Roman" w:hAnsi="Times New Roman"/>
        <w:b/>
      </w:rPr>
    </w:lvl>
    <w:lvl w:ilvl="2" w:tentative="0">
      <w:start w:val="1"/>
      <w:numFmt w:val="decimal"/>
      <w:isLgl/>
      <w:suff w:val="space"/>
      <w:lvlText w:val="%1.%2.%3 "/>
      <w:lvlJc w:val="left"/>
      <w:pPr>
        <w:tabs>
          <w:tab w:val="left" w:pos="0"/>
        </w:tabs>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i w:val="0"/>
        <w:iCs w:val="0"/>
        <w:caps w:val="0"/>
        <w:smallCaps w:val="0"/>
        <w:vanish w:val="0"/>
        <w:spacing w:val="0"/>
        <w:position w:val="0"/>
        <w:u w:val="none"/>
        <w:vertAlign w:val="baseline"/>
      </w:rPr>
    </w:lvl>
    <w:lvl w:ilvl="4" w:tentative="0">
      <w:start w:val="1"/>
      <w:numFmt w:val="decimal"/>
      <w:isLgl/>
      <w:suff w:val="space"/>
      <w:lvlText w:val="%1.%2.%3.%4.%5 "/>
      <w:lvlJc w:val="left"/>
      <w:pPr>
        <w:tabs>
          <w:tab w:val="left" w:pos="0"/>
        </w:tabs>
        <w:ind w:left="567" w:hanging="567"/>
      </w:pPr>
      <w:rPr>
        <w:rFonts w:hint="eastAsia"/>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3">
    <w:nsid w:val="00000003"/>
    <w:multiLevelType w:val="singleLevel"/>
    <w:tmpl w:val="00000003"/>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75457"/>
    <w:rsid w:val="189F26B1"/>
    <w:rsid w:val="1DF91B0E"/>
    <w:rsid w:val="24FB20F0"/>
    <w:rsid w:val="58546794"/>
    <w:rsid w:val="5B581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99"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3"/>
    <w:next w:val="1"/>
    <w:link w:val="53"/>
    <w:qFormat/>
    <w:uiPriority w:val="0"/>
    <w:pPr>
      <w:outlineLvl w:val="2"/>
    </w:pPr>
    <w:rPr>
      <w:b w:val="0"/>
      <w:bCs w:val="0"/>
    </w:rPr>
  </w:style>
  <w:style w:type="paragraph" w:styleId="5">
    <w:name w:val="heading 4"/>
    <w:basedOn w:val="1"/>
    <w:next w:val="1"/>
    <w:link w:val="54"/>
    <w:qFormat/>
    <w:uiPriority w:val="0"/>
    <w:pPr>
      <w:keepNext/>
      <w:jc w:val="center"/>
      <w:outlineLvl w:val="3"/>
    </w:pPr>
    <w:rPr>
      <w:rFonts w:eastAsia="新宋体"/>
      <w:sz w:val="30"/>
      <w:szCs w:val="21"/>
    </w:rPr>
  </w:style>
  <w:style w:type="character" w:default="1" w:styleId="33">
    <w:name w:val="Default Paragraph Font"/>
    <w:qFormat/>
    <w:uiPriority w:val="1"/>
  </w:style>
  <w:style w:type="table" w:default="1" w:styleId="31">
    <w:name w:val="Normal Table"/>
    <w:qFormat/>
    <w:uiPriority w:val="99"/>
    <w:tblPr>
      <w:tblCellMar>
        <w:top w:w="0" w:type="dxa"/>
        <w:left w:w="108" w:type="dxa"/>
        <w:bottom w:w="0" w:type="dxa"/>
        <w:right w:w="108" w:type="dxa"/>
      </w:tblCellMar>
    </w:tblPr>
  </w:style>
  <w:style w:type="paragraph" w:styleId="6">
    <w:name w:val="Normal Indent"/>
    <w:basedOn w:val="1"/>
    <w:link w:val="55"/>
    <w:qFormat/>
    <w:uiPriority w:val="0"/>
    <w:pPr>
      <w:ind w:firstLine="420"/>
    </w:pPr>
    <w:rPr>
      <w:szCs w:val="20"/>
    </w:rPr>
  </w:style>
  <w:style w:type="paragraph" w:styleId="7">
    <w:name w:val="Document Map"/>
    <w:basedOn w:val="1"/>
    <w:link w:val="56"/>
    <w:qFormat/>
    <w:uiPriority w:val="0"/>
    <w:pPr>
      <w:shd w:val="clear" w:color="auto" w:fill="000080"/>
    </w:pPr>
  </w:style>
  <w:style w:type="paragraph" w:styleId="8">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link w:val="57"/>
    <w:qFormat/>
    <w:uiPriority w:val="99"/>
    <w:pPr>
      <w:jc w:val="left"/>
    </w:pPr>
  </w:style>
  <w:style w:type="paragraph" w:styleId="10">
    <w:name w:val="Body Text"/>
    <w:basedOn w:val="1"/>
    <w:next w:val="1"/>
    <w:qFormat/>
    <w:uiPriority w:val="0"/>
    <w:pPr>
      <w:spacing w:line="400" w:lineRule="exact"/>
    </w:pPr>
    <w:rPr>
      <w:rFonts w:ascii="楷体_GB2312"/>
      <w:sz w:val="28"/>
    </w:rPr>
  </w:style>
  <w:style w:type="paragraph" w:styleId="11">
    <w:name w:val="Body Text Indent"/>
    <w:basedOn w:val="1"/>
    <w:next w:val="12"/>
    <w:link w:val="58"/>
    <w:qFormat/>
    <w:uiPriority w:val="0"/>
    <w:pPr>
      <w:spacing w:after="120"/>
      <w:ind w:left="420" w:leftChars="200"/>
    </w:pPr>
  </w:style>
  <w:style w:type="paragraph" w:styleId="12">
    <w:name w:val="envelope return"/>
    <w:basedOn w:val="1"/>
    <w:qFormat/>
    <w:uiPriority w:val="99"/>
    <w:pPr>
      <w:snapToGrid w:val="0"/>
    </w:pPr>
    <w:rPr>
      <w:rFonts w:ascii="Arial" w:hAnsi="Arial"/>
    </w:rPr>
  </w:style>
  <w:style w:type="paragraph" w:styleId="13">
    <w:name w:val="Block Text"/>
    <w:basedOn w:val="1"/>
    <w:next w:val="10"/>
    <w:qFormat/>
    <w:uiPriority w:val="99"/>
    <w:pPr>
      <w:ind w:left="1440" w:leftChars="700" w:right="700" w:rightChars="700"/>
    </w:pPr>
    <w:rPr>
      <w:color w:val="FF0000"/>
      <w:sz w:val="18"/>
    </w:rPr>
  </w:style>
  <w:style w:type="paragraph" w:styleId="14">
    <w:name w:val="index 4"/>
    <w:basedOn w:val="1"/>
    <w:next w:val="1"/>
    <w:qFormat/>
    <w:uiPriority w:val="0"/>
    <w:pPr>
      <w:ind w:left="1260"/>
    </w:p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szCs w:val="20"/>
    </w:rPr>
  </w:style>
  <w:style w:type="paragraph" w:styleId="17">
    <w:name w:val="Date"/>
    <w:basedOn w:val="1"/>
    <w:next w:val="1"/>
    <w:link w:val="59"/>
    <w:qFormat/>
    <w:uiPriority w:val="0"/>
    <w:pPr>
      <w:ind w:left="100" w:leftChars="2500"/>
    </w:pPr>
  </w:style>
  <w:style w:type="paragraph" w:styleId="18">
    <w:name w:val="Body Text Indent 2"/>
    <w:basedOn w:val="1"/>
    <w:qFormat/>
    <w:uiPriority w:val="0"/>
    <w:pPr>
      <w:spacing w:line="500" w:lineRule="exact"/>
      <w:ind w:firstLine="560" w:firstLineChars="200"/>
    </w:pPr>
    <w:rPr>
      <w:rFonts w:eastAsia="仿宋_GB2312"/>
      <w:kern w:val="0"/>
      <w:sz w:val="28"/>
      <w:szCs w:val="20"/>
    </w:rPr>
  </w:style>
  <w:style w:type="paragraph" w:styleId="19">
    <w:name w:val="Balloon Text"/>
    <w:basedOn w:val="1"/>
    <w:link w:val="60"/>
    <w:qFormat/>
    <w:uiPriority w:val="0"/>
    <w:rPr>
      <w:sz w:val="18"/>
      <w:szCs w:val="18"/>
    </w:rPr>
  </w:style>
  <w:style w:type="paragraph" w:styleId="20">
    <w:name w:val="footer"/>
    <w:basedOn w:val="1"/>
    <w:next w:val="21"/>
    <w:link w:val="61"/>
    <w:qFormat/>
    <w:uiPriority w:val="99"/>
    <w:pPr>
      <w:tabs>
        <w:tab w:val="center" w:pos="4153"/>
        <w:tab w:val="right" w:pos="8306"/>
      </w:tabs>
      <w:snapToGrid w:val="0"/>
      <w:jc w:val="left"/>
    </w:pPr>
    <w:rPr>
      <w:sz w:val="18"/>
      <w:szCs w:val="18"/>
    </w:rPr>
  </w:style>
  <w:style w:type="paragraph" w:styleId="21">
    <w:name w:val="toc 2"/>
    <w:basedOn w:val="1"/>
    <w:next w:val="1"/>
    <w:qFormat/>
    <w:uiPriority w:val="39"/>
    <w:pPr>
      <w:spacing w:line="360" w:lineRule="exact"/>
      <w:ind w:left="420" w:leftChars="200"/>
    </w:pPr>
    <w:rPr>
      <w:rFonts w:ascii="Calibri" w:hAnsi="Calibri"/>
    </w:rPr>
  </w:style>
  <w:style w:type="paragraph" w:styleId="22">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8296"/>
      </w:tabs>
      <w:spacing w:line="360" w:lineRule="auto"/>
    </w:pPr>
  </w:style>
  <w:style w:type="paragraph" w:styleId="24">
    <w:name w:val="Body Text Indent 3"/>
    <w:basedOn w:val="1"/>
    <w:next w:val="8"/>
    <w:link w:val="63"/>
    <w:qFormat/>
    <w:uiPriority w:val="0"/>
    <w:pPr>
      <w:spacing w:line="520" w:lineRule="exact"/>
      <w:ind w:firstLine="539" w:firstLineChars="184"/>
    </w:pPr>
    <w:rPr>
      <w:rFonts w:ascii="宋体"/>
      <w:b/>
      <w:spacing w:val="6"/>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27"/>
    <w:qFormat/>
    <w:uiPriority w:val="10"/>
    <w:pPr>
      <w:spacing w:before="240" w:after="60"/>
      <w:jc w:val="center"/>
      <w:outlineLvl w:val="0"/>
    </w:pPr>
    <w:rPr>
      <w:rFonts w:ascii="Cambria" w:hAnsi="Cambria"/>
      <w:b/>
      <w:bCs/>
      <w:sz w:val="32"/>
      <w:szCs w:val="32"/>
    </w:rPr>
  </w:style>
  <w:style w:type="paragraph" w:customStyle="1" w:styleId="27">
    <w:name w:val="Body Text Indent1"/>
    <w:basedOn w:val="1"/>
    <w:qFormat/>
    <w:uiPriority w:val="99"/>
    <w:pPr>
      <w:ind w:left="420" w:leftChars="200"/>
    </w:pPr>
  </w:style>
  <w:style w:type="paragraph" w:styleId="28">
    <w:name w:val="annotation subject"/>
    <w:basedOn w:val="9"/>
    <w:next w:val="9"/>
    <w:link w:val="64"/>
    <w:qFormat/>
    <w:uiPriority w:val="99"/>
    <w:rPr>
      <w:b/>
      <w:bCs/>
    </w:rPr>
  </w:style>
  <w:style w:type="paragraph" w:styleId="29">
    <w:name w:val="Body Text First Indent"/>
    <w:basedOn w:val="10"/>
    <w:qFormat/>
    <w:uiPriority w:val="0"/>
    <w:pPr>
      <w:spacing w:line="360" w:lineRule="auto"/>
      <w:ind w:firstLine="200" w:firstLineChars="200"/>
    </w:pPr>
    <w:rPr>
      <w:rFonts w:ascii="仿宋_GB2312" w:eastAsia="仿宋_GB2312"/>
      <w:kern w:val="0"/>
      <w:sz w:val="30"/>
      <w:szCs w:val="30"/>
    </w:rPr>
  </w:style>
  <w:style w:type="paragraph" w:styleId="30">
    <w:name w:val="Body Text First Indent 2"/>
    <w:basedOn w:val="11"/>
    <w:next w:val="24"/>
    <w:link w:val="65"/>
    <w:qFormat/>
    <w:uiPriority w:val="99"/>
    <w:pPr>
      <w:ind w:firstLine="20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style>
  <w:style w:type="character" w:styleId="36">
    <w:name w:val="FollowedHyperlink"/>
    <w:qFormat/>
    <w:uiPriority w:val="99"/>
    <w:rPr>
      <w:color w:val="800080"/>
      <w:u w:val="none"/>
    </w:rPr>
  </w:style>
  <w:style w:type="character" w:styleId="37">
    <w:name w:val="Emphasis"/>
    <w:qFormat/>
    <w:uiPriority w:val="0"/>
    <w:rPr>
      <w:b/>
      <w:bCs/>
    </w:rPr>
  </w:style>
  <w:style w:type="character" w:styleId="38">
    <w:name w:val="HTML Definition"/>
    <w:qFormat/>
    <w:uiPriority w:val="99"/>
  </w:style>
  <w:style w:type="character" w:styleId="39">
    <w:name w:val="HTML Typewriter"/>
    <w:qFormat/>
    <w:uiPriority w:val="99"/>
    <w:rPr>
      <w:rFonts w:hint="default" w:ascii="monospace" w:hAnsi="monospace" w:eastAsia="monospace" w:cs="monospace"/>
      <w:sz w:val="20"/>
    </w:rPr>
  </w:style>
  <w:style w:type="character" w:styleId="40">
    <w:name w:val="HTML Acronym"/>
    <w:qFormat/>
    <w:uiPriority w:val="99"/>
  </w:style>
  <w:style w:type="character" w:styleId="41">
    <w:name w:val="HTML Variable"/>
    <w:qFormat/>
    <w:uiPriority w:val="99"/>
  </w:style>
  <w:style w:type="character" w:styleId="42">
    <w:name w:val="Hyperlink"/>
    <w:qFormat/>
    <w:uiPriority w:val="99"/>
    <w:rPr>
      <w:color w:val="0000FF"/>
      <w:u w:val="none"/>
    </w:rPr>
  </w:style>
  <w:style w:type="character" w:styleId="43">
    <w:name w:val="HTML Code"/>
    <w:qFormat/>
    <w:uiPriority w:val="99"/>
    <w:rPr>
      <w:rFonts w:hint="default" w:ascii="monospace" w:hAnsi="monospace" w:eastAsia="monospace" w:cs="monospace"/>
      <w:sz w:val="20"/>
    </w:rPr>
  </w:style>
  <w:style w:type="character" w:styleId="44">
    <w:name w:val="annotation reference"/>
    <w:qFormat/>
    <w:uiPriority w:val="99"/>
    <w:rPr>
      <w:sz w:val="21"/>
      <w:szCs w:val="21"/>
    </w:rPr>
  </w:style>
  <w:style w:type="character" w:styleId="45">
    <w:name w:val="HTML Cite"/>
    <w:qFormat/>
    <w:uiPriority w:val="99"/>
  </w:style>
  <w:style w:type="character" w:styleId="46">
    <w:name w:val="HTML Keyboard"/>
    <w:qFormat/>
    <w:uiPriority w:val="99"/>
    <w:rPr>
      <w:rFonts w:ascii="monospace" w:hAnsi="monospace" w:eastAsia="monospace" w:cs="monospace"/>
      <w:sz w:val="20"/>
    </w:rPr>
  </w:style>
  <w:style w:type="character" w:styleId="47">
    <w:name w:val="HTML Sample"/>
    <w:qFormat/>
    <w:uiPriority w:val="99"/>
    <w:rPr>
      <w:rFonts w:hint="default" w:ascii="monospace" w:hAnsi="monospace" w:eastAsia="monospace" w:cs="monospace"/>
    </w:rPr>
  </w:style>
  <w:style w:type="paragraph" w:customStyle="1" w:styleId="48">
    <w:name w:val="Default"/>
    <w:basedOn w:val="1"/>
    <w:next w:val="20"/>
    <w:qFormat/>
    <w:uiPriority w:val="0"/>
    <w:pPr>
      <w:autoSpaceDE w:val="0"/>
      <w:autoSpaceDN w:val="0"/>
      <w:adjustRightInd w:val="0"/>
      <w:jc w:val="left"/>
    </w:pPr>
    <w:rPr>
      <w:rFonts w:ascii="Arial" w:hAnsi="Arial" w:eastAsia="PMingLiU"/>
      <w:kern w:val="0"/>
      <w:sz w:val="20"/>
      <w:szCs w:val="20"/>
    </w:rPr>
  </w:style>
  <w:style w:type="paragraph" w:customStyle="1" w:styleId="49">
    <w:name w:val="正文文本首行缩进 21"/>
    <w:basedOn w:val="11"/>
    <w:next w:val="1"/>
    <w:qFormat/>
    <w:uiPriority w:val="99"/>
    <w:pPr>
      <w:ind w:firstLine="200" w:firstLineChars="200"/>
    </w:pPr>
  </w:style>
  <w:style w:type="paragraph" w:customStyle="1" w:styleId="50">
    <w:name w:val="目录 82"/>
    <w:next w:val="1"/>
    <w:qFormat/>
    <w:uiPriority w:val="0"/>
    <w:pPr>
      <w:wordWrap w:val="0"/>
      <w:ind w:left="2550"/>
      <w:jc w:val="both"/>
    </w:pPr>
    <w:rPr>
      <w:rFonts w:ascii="Calibri" w:hAnsi="Calibri" w:eastAsia="宋体" w:cs="Times New Roman"/>
      <w:sz w:val="21"/>
      <w:lang w:val="en-US" w:eastAsia="zh-CN" w:bidi="ar-SA"/>
    </w:rPr>
  </w:style>
  <w:style w:type="character" w:customStyle="1" w:styleId="51">
    <w:name w:val="标题 2 Char"/>
    <w:link w:val="3"/>
    <w:qFormat/>
    <w:uiPriority w:val="0"/>
    <w:rPr>
      <w:rFonts w:ascii="Arial" w:hAnsi="Arial" w:eastAsia="黑体"/>
      <w:b/>
      <w:bCs/>
      <w:kern w:val="2"/>
      <w:sz w:val="32"/>
      <w:szCs w:val="32"/>
    </w:rPr>
  </w:style>
  <w:style w:type="character" w:customStyle="1" w:styleId="52">
    <w:name w:val="标题 1 Char"/>
    <w:link w:val="2"/>
    <w:qFormat/>
    <w:uiPriority w:val="0"/>
    <w:rPr>
      <w:b/>
      <w:bCs/>
      <w:kern w:val="44"/>
      <w:sz w:val="44"/>
      <w:szCs w:val="44"/>
    </w:rPr>
  </w:style>
  <w:style w:type="character" w:customStyle="1" w:styleId="53">
    <w:name w:val="标题 3 Char"/>
    <w:link w:val="4"/>
    <w:qFormat/>
    <w:uiPriority w:val="0"/>
    <w:rPr>
      <w:b/>
      <w:bCs/>
      <w:kern w:val="2"/>
      <w:sz w:val="32"/>
      <w:szCs w:val="32"/>
    </w:rPr>
  </w:style>
  <w:style w:type="character" w:customStyle="1" w:styleId="54">
    <w:name w:val="标题 4 Char"/>
    <w:link w:val="5"/>
    <w:qFormat/>
    <w:uiPriority w:val="0"/>
    <w:rPr>
      <w:rFonts w:eastAsia="新宋体"/>
      <w:kern w:val="2"/>
      <w:sz w:val="30"/>
      <w:szCs w:val="21"/>
    </w:rPr>
  </w:style>
  <w:style w:type="character" w:customStyle="1" w:styleId="55">
    <w:name w:val="正文缩进 Char"/>
    <w:link w:val="6"/>
    <w:qFormat/>
    <w:uiPriority w:val="0"/>
    <w:rPr>
      <w:kern w:val="2"/>
      <w:sz w:val="21"/>
    </w:rPr>
  </w:style>
  <w:style w:type="character" w:customStyle="1" w:styleId="56">
    <w:name w:val="文档结构图 Char"/>
    <w:link w:val="7"/>
    <w:qFormat/>
    <w:uiPriority w:val="0"/>
    <w:rPr>
      <w:kern w:val="2"/>
      <w:sz w:val="21"/>
      <w:szCs w:val="24"/>
      <w:shd w:val="clear" w:color="auto" w:fill="000080"/>
    </w:rPr>
  </w:style>
  <w:style w:type="character" w:customStyle="1" w:styleId="57">
    <w:name w:val="批注文字 Char"/>
    <w:link w:val="9"/>
    <w:qFormat/>
    <w:uiPriority w:val="99"/>
    <w:rPr>
      <w:kern w:val="2"/>
      <w:sz w:val="21"/>
      <w:szCs w:val="24"/>
    </w:rPr>
  </w:style>
  <w:style w:type="character" w:customStyle="1" w:styleId="58">
    <w:name w:val="正文文本缩进 Char"/>
    <w:link w:val="11"/>
    <w:qFormat/>
    <w:uiPriority w:val="0"/>
    <w:rPr>
      <w:kern w:val="2"/>
      <w:sz w:val="21"/>
      <w:szCs w:val="24"/>
    </w:rPr>
  </w:style>
  <w:style w:type="character" w:customStyle="1" w:styleId="59">
    <w:name w:val="日期 Char"/>
    <w:link w:val="17"/>
    <w:qFormat/>
    <w:uiPriority w:val="0"/>
    <w:rPr>
      <w:kern w:val="2"/>
      <w:sz w:val="21"/>
      <w:szCs w:val="24"/>
    </w:rPr>
  </w:style>
  <w:style w:type="character" w:customStyle="1" w:styleId="60">
    <w:name w:val="批注框文本 Char"/>
    <w:link w:val="19"/>
    <w:qFormat/>
    <w:uiPriority w:val="0"/>
    <w:rPr>
      <w:kern w:val="2"/>
      <w:sz w:val="18"/>
      <w:szCs w:val="18"/>
    </w:rPr>
  </w:style>
  <w:style w:type="character" w:customStyle="1" w:styleId="61">
    <w:name w:val="页脚 Char"/>
    <w:link w:val="20"/>
    <w:qFormat/>
    <w:uiPriority w:val="99"/>
    <w:rPr>
      <w:kern w:val="2"/>
      <w:sz w:val="18"/>
      <w:szCs w:val="18"/>
    </w:rPr>
  </w:style>
  <w:style w:type="character" w:customStyle="1" w:styleId="62">
    <w:name w:val="页眉 Char"/>
    <w:link w:val="22"/>
    <w:qFormat/>
    <w:uiPriority w:val="0"/>
    <w:rPr>
      <w:kern w:val="2"/>
      <w:sz w:val="18"/>
      <w:szCs w:val="18"/>
    </w:rPr>
  </w:style>
  <w:style w:type="character" w:customStyle="1" w:styleId="63">
    <w:name w:val="正文文本缩进 3 Char"/>
    <w:link w:val="24"/>
    <w:qFormat/>
    <w:uiPriority w:val="0"/>
    <w:rPr>
      <w:rFonts w:ascii="宋体"/>
      <w:b/>
      <w:spacing w:val="6"/>
      <w:kern w:val="2"/>
      <w:sz w:val="28"/>
      <w:szCs w:val="24"/>
    </w:rPr>
  </w:style>
  <w:style w:type="character" w:customStyle="1" w:styleId="64">
    <w:name w:val="批注主题 Char"/>
    <w:link w:val="28"/>
    <w:qFormat/>
    <w:uiPriority w:val="99"/>
    <w:rPr>
      <w:b/>
      <w:bCs/>
      <w:kern w:val="2"/>
      <w:sz w:val="21"/>
      <w:szCs w:val="24"/>
    </w:rPr>
  </w:style>
  <w:style w:type="character" w:customStyle="1" w:styleId="65">
    <w:name w:val="正文首行缩进 2 Char"/>
    <w:link w:val="30"/>
    <w:qFormat/>
    <w:uiPriority w:val="99"/>
  </w:style>
  <w:style w:type="paragraph" w:customStyle="1" w:styleId="66">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67">
    <w:name w:val="style4"/>
    <w:basedOn w:val="1"/>
    <w:next w:val="68"/>
    <w:qFormat/>
    <w:uiPriority w:val="0"/>
    <w:pPr>
      <w:widowControl/>
      <w:spacing w:before="280" w:after="280"/>
    </w:pPr>
    <w:rPr>
      <w:rFonts w:ascii="宋体"/>
      <w:sz w:val="18"/>
    </w:rPr>
  </w:style>
  <w:style w:type="paragraph" w:customStyle="1" w:styleId="6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9">
    <w:name w:val="正文缩进1"/>
    <w:basedOn w:val="1"/>
    <w:qFormat/>
    <w:uiPriority w:val="0"/>
    <w:pPr>
      <w:widowControl/>
      <w:ind w:firstLine="420"/>
      <w:jc w:val="left"/>
    </w:pPr>
    <w:rPr>
      <w:kern w:val="0"/>
    </w:rPr>
  </w:style>
  <w:style w:type="paragraph" w:customStyle="1" w:styleId="70">
    <w:name w:val="正文文本1"/>
    <w:basedOn w:val="1"/>
    <w:next w:val="1"/>
    <w:qFormat/>
    <w:uiPriority w:val="0"/>
    <w:pPr>
      <w:spacing w:line="400" w:lineRule="exact"/>
    </w:pPr>
    <w:rPr>
      <w:rFonts w:ascii="楷体_GB2312"/>
      <w:sz w:val="28"/>
    </w:rPr>
  </w:style>
  <w:style w:type="character" w:customStyle="1" w:styleId="71">
    <w:name w:val="默认段落字体1"/>
    <w:qFormat/>
    <w:uiPriority w:val="1"/>
  </w:style>
  <w:style w:type="paragraph" w:customStyle="1" w:styleId="72">
    <w:name w:val="正文1"/>
    <w:basedOn w:val="1"/>
    <w:qFormat/>
    <w:uiPriority w:val="0"/>
    <w:pPr>
      <w:spacing w:line="360" w:lineRule="auto"/>
      <w:ind w:firstLine="361"/>
    </w:pPr>
    <w:rPr>
      <w:rFonts w:ascii="宋体" w:hAnsi="宋体"/>
    </w:rPr>
  </w:style>
  <w:style w:type="character" w:customStyle="1" w:styleId="73">
    <w:name w:val="正文缩进2格 Char"/>
    <w:link w:val="74"/>
    <w:qFormat/>
    <w:uiPriority w:val="0"/>
    <w:rPr>
      <w:rFonts w:ascii="仿宋_GB2312" w:hAnsi="宋体" w:eastAsia="仿宋_GB2312"/>
      <w:kern w:val="2"/>
      <w:sz w:val="31"/>
      <w:szCs w:val="28"/>
    </w:rPr>
  </w:style>
  <w:style w:type="paragraph" w:customStyle="1" w:styleId="74">
    <w:name w:val="正文缩进2格"/>
    <w:basedOn w:val="1"/>
    <w:link w:val="73"/>
    <w:qFormat/>
    <w:uiPriority w:val="0"/>
    <w:pPr>
      <w:spacing w:line="600" w:lineRule="exact"/>
      <w:ind w:firstLine="639" w:firstLineChars="206"/>
    </w:pPr>
    <w:rPr>
      <w:rFonts w:ascii="仿宋_GB2312" w:hAnsi="宋体" w:eastAsia="仿宋_GB2312"/>
      <w:sz w:val="31"/>
      <w:szCs w:val="28"/>
    </w:rPr>
  </w:style>
  <w:style w:type="character" w:customStyle="1" w:styleId="75">
    <w:name w:val="标题 3.1 Char"/>
    <w:link w:val="76"/>
    <w:qFormat/>
    <w:uiPriority w:val="0"/>
    <w:rPr>
      <w:rFonts w:ascii="宋体" w:hAnsi="宋体"/>
      <w:b/>
      <w:bCs/>
      <w:color w:val="000000"/>
      <w:kern w:val="2"/>
      <w:sz w:val="32"/>
      <w:szCs w:val="32"/>
    </w:rPr>
  </w:style>
  <w:style w:type="paragraph" w:customStyle="1" w:styleId="76">
    <w:name w:val="标题 3.1"/>
    <w:basedOn w:val="4"/>
    <w:link w:val="75"/>
    <w:qFormat/>
    <w:uiPriority w:val="0"/>
    <w:pPr>
      <w:tabs>
        <w:tab w:val="left" w:pos="1440"/>
        <w:tab w:val="left" w:pos="1620"/>
      </w:tabs>
      <w:spacing w:line="600" w:lineRule="exact"/>
    </w:pPr>
    <w:rPr>
      <w:rFonts w:ascii="宋体" w:hAnsi="宋体"/>
      <w:color w:val="000000"/>
    </w:rPr>
  </w:style>
  <w:style w:type="paragraph" w:customStyle="1" w:styleId="77">
    <w:name w:val="Char"/>
    <w:basedOn w:val="1"/>
    <w:qFormat/>
    <w:uiPriority w:val="0"/>
    <w:rPr>
      <w:rFonts w:ascii="Tahoma" w:hAnsi="Tahoma"/>
      <w:sz w:val="24"/>
      <w:szCs w:val="20"/>
    </w:rPr>
  </w:style>
  <w:style w:type="paragraph" w:customStyle="1" w:styleId="78">
    <w:name w:val="正文缩进4格"/>
    <w:basedOn w:val="74"/>
    <w:qFormat/>
    <w:uiPriority w:val="0"/>
    <w:pPr>
      <w:ind w:left="2" w:firstLine="538" w:firstLineChars="192"/>
    </w:pPr>
    <w:rPr>
      <w:color w:val="000000"/>
      <w:sz w:val="28"/>
    </w:rPr>
  </w:style>
  <w:style w:type="paragraph" w:customStyle="1" w:styleId="79">
    <w:name w:val="Char Char Char Char"/>
    <w:basedOn w:val="1"/>
    <w:qFormat/>
    <w:uiPriority w:val="0"/>
    <w:rPr>
      <w:rFonts w:ascii="Tahoma" w:hAnsi="Tahoma"/>
      <w:sz w:val="24"/>
      <w:szCs w:val="20"/>
    </w:rPr>
  </w:style>
  <w:style w:type="paragraph" w:customStyle="1" w:styleId="80">
    <w:name w:val="Char1"/>
    <w:basedOn w:val="1"/>
    <w:qFormat/>
    <w:uiPriority w:val="0"/>
    <w:pPr>
      <w:tabs>
        <w:tab w:val="left" w:pos="840"/>
      </w:tabs>
      <w:ind w:left="840" w:hanging="420"/>
    </w:pPr>
    <w:rPr>
      <w:sz w:val="24"/>
    </w:rPr>
  </w:style>
  <w:style w:type="paragraph" w:customStyle="1" w:styleId="8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Char Char 字元 字元 字元 Char Char Char Char"/>
    <w:basedOn w:val="1"/>
    <w:qFormat/>
    <w:uiPriority w:val="0"/>
    <w:pPr>
      <w:adjustRightInd w:val="0"/>
      <w:spacing w:line="360" w:lineRule="auto"/>
    </w:pPr>
    <w:rPr>
      <w:kern w:val="0"/>
      <w:sz w:val="24"/>
      <w:szCs w:val="20"/>
    </w:rPr>
  </w:style>
  <w:style w:type="paragraph" w:customStyle="1" w:styleId="84">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85">
    <w:name w:val="Char2"/>
    <w:basedOn w:val="1"/>
    <w:qFormat/>
    <w:uiPriority w:val="0"/>
    <w:rPr>
      <w:rFonts w:ascii="Tahoma" w:hAnsi="Tahoma"/>
      <w:sz w:val="24"/>
      <w:szCs w:val="20"/>
    </w:rPr>
  </w:style>
  <w:style w:type="paragraph" w:customStyle="1" w:styleId="86">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87">
    <w:name w:val="普通正文 Char"/>
    <w:link w:val="88"/>
    <w:qFormat/>
    <w:uiPriority w:val="0"/>
    <w:rPr>
      <w:rFonts w:ascii="Arial" w:hAnsi="Arial"/>
      <w:sz w:val="24"/>
      <w:szCs w:val="24"/>
    </w:rPr>
  </w:style>
  <w:style w:type="paragraph" w:customStyle="1" w:styleId="88">
    <w:name w:val="普通正文"/>
    <w:basedOn w:val="1"/>
    <w:link w:val="87"/>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9">
    <w:name w:val="mini-outputtext1"/>
    <w:qFormat/>
    <w:uiPriority w:val="0"/>
  </w:style>
  <w:style w:type="character" w:customStyle="1" w:styleId="90">
    <w:name w:val="font31"/>
    <w:qFormat/>
    <w:uiPriority w:val="0"/>
    <w:rPr>
      <w:rFonts w:hint="eastAsia" w:ascii="宋体" w:hAnsi="宋体" w:eastAsia="宋体" w:cs="宋体"/>
      <w:color w:val="000000"/>
      <w:sz w:val="21"/>
      <w:szCs w:val="21"/>
      <w:u w:val="none"/>
    </w:rPr>
  </w:style>
  <w:style w:type="character" w:customStyle="1" w:styleId="91">
    <w:name w:val="font61"/>
    <w:qFormat/>
    <w:uiPriority w:val="0"/>
    <w:rPr>
      <w:rFonts w:hint="default" w:ascii="Times New Roman" w:hAnsi="Times New Roman" w:cs="Times New Roman"/>
      <w:color w:val="000000"/>
      <w:sz w:val="21"/>
      <w:szCs w:val="21"/>
      <w:u w:val="none"/>
    </w:rPr>
  </w:style>
  <w:style w:type="character" w:customStyle="1" w:styleId="92">
    <w:name w:val="font01"/>
    <w:qFormat/>
    <w:uiPriority w:val="0"/>
    <w:rPr>
      <w:rFonts w:hint="default" w:ascii="等线" w:hAnsi="等线" w:eastAsia="等线" w:cs="等线"/>
      <w:color w:val="000000"/>
      <w:sz w:val="22"/>
      <w:szCs w:val="22"/>
      <w:u w:val="none"/>
    </w:rPr>
  </w:style>
  <w:style w:type="character" w:customStyle="1" w:styleId="93">
    <w:name w:val="font51"/>
    <w:qFormat/>
    <w:uiPriority w:val="0"/>
    <w:rPr>
      <w:rFonts w:hint="default" w:ascii="等线" w:hAnsi="等线" w:eastAsia="等线" w:cs="等线"/>
      <w:b/>
      <w:bCs/>
      <w:color w:val="000000"/>
      <w:sz w:val="22"/>
      <w:szCs w:val="22"/>
      <w:u w:val="none"/>
    </w:rPr>
  </w:style>
  <w:style w:type="paragraph" w:customStyle="1" w:styleId="94">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5">
    <w:name w:val="sh1"/>
    <w:basedOn w:val="26"/>
    <w:qFormat/>
    <w:uiPriority w:val="0"/>
    <w:pPr>
      <w:adjustRightInd w:val="0"/>
      <w:spacing w:before="0"/>
    </w:pPr>
    <w:rPr>
      <w:rFonts w:ascii="Arial" w:hAnsi="Arial"/>
      <w:bCs w:val="0"/>
    </w:rPr>
  </w:style>
  <w:style w:type="paragraph" w:customStyle="1" w:styleId="96">
    <w:name w:val="首行缩进"/>
    <w:basedOn w:val="1"/>
    <w:next w:val="1"/>
    <w:qFormat/>
    <w:uiPriority w:val="0"/>
    <w:pPr>
      <w:ind w:firstLine="480" w:firstLineChars="200"/>
    </w:pPr>
    <w:rPr>
      <w:rFonts w:ascii="Calibri" w:hAnsi="Calibri"/>
      <w:szCs w:val="21"/>
    </w:rPr>
  </w:style>
  <w:style w:type="paragraph" w:customStyle="1" w:styleId="97">
    <w:name w:val="Table Paragraph"/>
    <w:basedOn w:val="1"/>
    <w:qFormat/>
    <w:uiPriority w:val="1"/>
    <w:rPr>
      <w:rFonts w:ascii="宋体" w:hAnsi="宋体" w:cs="宋体"/>
      <w:lang w:val="zh-CN" w:bidi="zh-CN"/>
    </w:rPr>
  </w:style>
  <w:style w:type="paragraph" w:customStyle="1" w:styleId="98">
    <w:name w:val="_Style 96"/>
    <w:qFormat/>
    <w:uiPriority w:val="99"/>
    <w:rPr>
      <w:rFonts w:ascii="Times New Roman" w:hAnsi="Times New Roman" w:eastAsia="宋体" w:cs="Times New Roman"/>
      <w:kern w:val="2"/>
      <w:sz w:val="21"/>
      <w:szCs w:val="24"/>
      <w:lang w:val="en-US" w:eastAsia="zh-CN" w:bidi="ar-SA"/>
    </w:rPr>
  </w:style>
  <w:style w:type="table" w:customStyle="1" w:styleId="99">
    <w:name w:val="Table Normal"/>
    <w:qFormat/>
    <w:uiPriority w:val="0"/>
    <w:tblPr>
      <w:tblCellMar>
        <w:top w:w="0" w:type="dxa"/>
        <w:left w:w="0" w:type="dxa"/>
        <w:bottom w:w="0" w:type="dxa"/>
        <w:right w:w="0" w:type="dxa"/>
      </w:tblCellMar>
    </w:tblPr>
  </w:style>
  <w:style w:type="table" w:customStyle="1" w:styleId="100">
    <w:name w:val="网格型4"/>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1">
    <w:name w:val="List Paragraph"/>
    <w:basedOn w:val="1"/>
    <w:qFormat/>
    <w:uiPriority w:val="34"/>
    <w:pPr>
      <w:ind w:firstLine="420" w:firstLineChars="200"/>
    </w:pPr>
  </w:style>
  <w:style w:type="paragraph" w:customStyle="1" w:styleId="102">
    <w:name w:val="Table Text"/>
    <w:basedOn w:val="1"/>
    <w:qFormat/>
    <w:uiPriority w:val="0"/>
    <w:rPr>
      <w:rFonts w:ascii="宋体" w:hAnsi="宋体" w:cs="宋体"/>
      <w:sz w:val="19"/>
      <w:szCs w:val="19"/>
      <w:lang w:eastAsia="en-US"/>
    </w:rPr>
  </w:style>
  <w:style w:type="paragraph" w:customStyle="1" w:styleId="103">
    <w:name w:val="*正文"/>
    <w:basedOn w:val="1"/>
    <w:qFormat/>
    <w:uiPriority w:val="0"/>
    <w:pPr>
      <w:spacing w:line="360" w:lineRule="auto"/>
    </w:pPr>
    <w:rPr>
      <w:sz w:val="24"/>
    </w:rPr>
  </w:style>
  <w:style w:type="paragraph" w:customStyle="1" w:styleId="104">
    <w:name w:val="2 级标题"/>
    <w:qFormat/>
    <w:uiPriority w:val="0"/>
    <w:pPr>
      <w:keepNext/>
      <w:keepLines/>
      <w:widowControl w:val="0"/>
      <w:numPr>
        <w:ilvl w:val="1"/>
        <w:numId w:val="1"/>
      </w:numPr>
      <w:tabs>
        <w:tab w:val="left" w:pos="567"/>
      </w:tabs>
      <w:spacing w:before="120" w:after="120" w:line="360" w:lineRule="auto"/>
      <w:ind w:right="13" w:rightChars="13"/>
      <w:outlineLvl w:val="1"/>
    </w:pPr>
    <w:rPr>
      <w:rFonts w:ascii="Arial" w:hAnsi="Arial" w:eastAsia="黑体" w:cs="Times New Roman"/>
      <w:b/>
      <w:bCs/>
      <w:kern w:val="2"/>
      <w:sz w:val="32"/>
      <w:szCs w:val="32"/>
      <w:lang w:val="en-US" w:eastAsia="zh-CN" w:bidi="ar-SA"/>
    </w:rPr>
  </w:style>
  <w:style w:type="paragraph" w:customStyle="1" w:styleId="105">
    <w:name w:val="列出段落1"/>
    <w:basedOn w:val="1"/>
    <w:qFormat/>
    <w:uiPriority w:val="34"/>
    <w:pPr>
      <w:widowControl/>
      <w:ind w:left="720"/>
      <w:contextualSpacing/>
      <w:jc w:val="left"/>
    </w:pPr>
    <w:rPr>
      <w:kern w:val="0"/>
      <w:sz w:val="24"/>
      <w:lang w:eastAsia="en-US" w:bidi="en-US"/>
    </w:rPr>
  </w:style>
  <w:style w:type="paragraph" w:customStyle="1" w:styleId="106">
    <w:name w:val="样式 正文（缩进） + (中文) 楷体_GB2312"/>
    <w:basedOn w:val="107"/>
    <w:qFormat/>
    <w:uiPriority w:val="0"/>
    <w:pPr>
      <w:ind w:left="-2" w:leftChars="-1" w:firstLine="567" w:firstLineChars="0"/>
      <w:jc w:val="left"/>
    </w:pPr>
    <w:rPr>
      <w:rFonts w:eastAsia="楷体_GB2312"/>
      <w:sz w:val="28"/>
      <w:szCs w:val="28"/>
    </w:rPr>
  </w:style>
  <w:style w:type="paragraph" w:customStyle="1" w:styleId="107">
    <w:name w:val="正文（缩进）"/>
    <w:basedOn w:val="1"/>
    <w:qFormat/>
    <w:uiPriority w:val="0"/>
    <w:pPr>
      <w:spacing w:beforeLines="50" w:afterLines="50" w:line="360" w:lineRule="auto"/>
      <w:ind w:firstLine="480" w:firstLineChars="200"/>
    </w:pPr>
    <w:rPr>
      <w:sz w:val="24"/>
    </w:rPr>
  </w:style>
  <w:style w:type="paragraph" w:customStyle="1" w:styleId="108">
    <w:name w:val="样式 样式 样式 样式 首行缩进:  2 字符 + 首行缩进:  2 字符2 + 首行缩进:  2 字符 + 楷体_GB2312"/>
    <w:basedOn w:val="1"/>
    <w:qFormat/>
    <w:uiPriority w:val="0"/>
    <w:pPr>
      <w:spacing w:before="100" w:after="100" w:line="360" w:lineRule="auto"/>
      <w:ind w:firstLine="480" w:firstLineChars="200"/>
    </w:pPr>
    <w:rPr>
      <w:rFonts w:ascii="楷体_GB2312" w:hAnsi="楷体_GB2312" w:eastAsia="楷体_GB2312" w:cs="宋体"/>
      <w:sz w:val="24"/>
    </w:rPr>
  </w:style>
  <w:style w:type="paragraph" w:customStyle="1" w:styleId="109">
    <w:name w:val="正文表标题"/>
    <w:next w:val="110"/>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1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1">
    <w:name w:val="二级无"/>
    <w:basedOn w:val="112"/>
    <w:qFormat/>
    <w:uiPriority w:val="0"/>
    <w:pPr>
      <w:spacing w:before="0" w:after="0"/>
    </w:pPr>
    <w:rPr>
      <w:rFonts w:ascii="宋体" w:eastAsia="宋体"/>
    </w:rPr>
  </w:style>
  <w:style w:type="paragraph" w:customStyle="1" w:styleId="112">
    <w:name w:val="二级条标题"/>
    <w:basedOn w:val="113"/>
    <w:next w:val="110"/>
    <w:qFormat/>
    <w:uiPriority w:val="0"/>
    <w:pPr>
      <w:numPr>
        <w:ilvl w:val="2"/>
        <w:numId w:val="0"/>
      </w:numPr>
      <w:spacing w:before="50" w:after="50"/>
      <w:outlineLvl w:val="3"/>
    </w:pPr>
  </w:style>
  <w:style w:type="paragraph" w:customStyle="1" w:styleId="113">
    <w:name w:val="一级条标题"/>
    <w:next w:val="110"/>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14">
    <w:name w:val="三级无"/>
    <w:basedOn w:val="115"/>
    <w:qFormat/>
    <w:uiPriority w:val="0"/>
    <w:pPr>
      <w:numPr>
        <w:ilvl w:val="0"/>
        <w:numId w:val="2"/>
      </w:numPr>
      <w:tabs>
        <w:tab w:val="left" w:pos="1984"/>
      </w:tabs>
      <w:spacing w:before="0" w:after="0"/>
    </w:pPr>
    <w:rPr>
      <w:rFonts w:ascii="宋体" w:eastAsia="宋体"/>
    </w:rPr>
  </w:style>
  <w:style w:type="paragraph" w:customStyle="1" w:styleId="115">
    <w:name w:val="三级条标题"/>
    <w:basedOn w:val="112"/>
    <w:next w:val="110"/>
    <w:qFormat/>
    <w:uiPriority w:val="0"/>
    <w:pPr>
      <w:numPr>
        <w:ilvl w:val="3"/>
        <w:numId w:val="0"/>
      </w:numPr>
      <w:outlineLvl w:val="4"/>
    </w:pPr>
  </w:style>
  <w:style w:type="paragraph" w:customStyle="1" w:styleId="116">
    <w:name w:val="正文首行缩进 21"/>
    <w:basedOn w:val="11"/>
    <w:qFormat/>
    <w:uiPriority w:val="99"/>
    <w:pPr>
      <w:ind w:firstLine="200"/>
    </w:pPr>
  </w:style>
  <w:style w:type="character" w:customStyle="1" w:styleId="117">
    <w:name w:val="font91"/>
    <w:qFormat/>
    <w:uiPriority w:val="0"/>
    <w:rPr>
      <w:kern w:val="2"/>
      <w:sz w:val="21"/>
      <w:szCs w:val="24"/>
      <w:lang w:val="en-US" w:eastAsia="zh-CN" w:bidi="ar-SA"/>
    </w:rPr>
  </w:style>
  <w:style w:type="paragraph" w:customStyle="1" w:styleId="118">
    <w:name w:val="正文首行缩进1"/>
    <w:basedOn w:val="70"/>
    <w:qFormat/>
    <w:uiPriority w:val="0"/>
    <w:pPr>
      <w:ind w:firstLine="420"/>
    </w:pPr>
  </w:style>
  <w:style w:type="paragraph" w:customStyle="1" w:styleId="119">
    <w:name w:val="纯文本1"/>
    <w:basedOn w:val="1"/>
    <w:qFormat/>
    <w:uiPriority w:val="0"/>
    <w:rPr>
      <w:rFonts w:ascii="宋体" w:hAnsi="Courier New" w:cs="宋体"/>
      <w:szCs w:val="21"/>
    </w:rPr>
  </w:style>
  <w:style w:type="paragraph" w:customStyle="1" w:styleId="120">
    <w:name w:val="msolistparagraph"/>
    <w:basedOn w:val="1"/>
    <w:qFormat/>
    <w:uiPriority w:val="0"/>
    <w:pPr>
      <w:ind w:firstLine="420" w:firstLineChars="200"/>
    </w:pPr>
  </w:style>
  <w:style w:type="character" w:customStyle="1" w:styleId="121">
    <w:name w:val="font21"/>
    <w:qFormat/>
    <w:uiPriority w:val="0"/>
    <w:rPr>
      <w:rFonts w:hint="default" w:ascii="Times New Roman" w:hAnsi="Times New Roman" w:cs="Times New Roman"/>
      <w:color w:val="000000"/>
      <w:sz w:val="21"/>
      <w:szCs w:val="21"/>
      <w:u w:val="none"/>
    </w:rPr>
  </w:style>
  <w:style w:type="paragraph" w:customStyle="1" w:styleId="122">
    <w:name w:val="sh3"/>
    <w:basedOn w:val="1"/>
    <w:qFormat/>
    <w:uiPriority w:val="0"/>
    <w:pPr>
      <w:spacing w:line="460" w:lineRule="exact"/>
      <w:jc w:val="left"/>
    </w:pPr>
    <w:rPr>
      <w:rFonts w:ascii="宋体" w:hAnsi="宋体"/>
      <w:b/>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9075</Words>
  <Characters>9679</Characters>
  <Paragraphs>1915</Paragraphs>
  <TotalTime>38</TotalTime>
  <ScaleCrop>false</ScaleCrop>
  <LinksUpToDate>false</LinksUpToDate>
  <CharactersWithSpaces>9756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2024-11-28T14:22:00Z</dcterms:created>
  <dc:creator>User</dc:creator>
  <cp:lastModifiedBy>孙妍</cp:lastModifiedBy>
  <cp:lastPrinted>2024-01-10T10:35:00Z</cp:lastPrinted>
  <dcterms:modified xsi:type="dcterms:W3CDTF">2024-12-05T01:06:12Z</dcterms:modified>
  <dc:title>南通市环境监测中心站火焰原子吸收光谱仪项目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22C1EB5F5F4D49BC98E439124D148397_13</vt:lpwstr>
  </property>
</Properties>
</file>