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6"/>
        </w:tabs>
        <w:overflowPunct w:val="0"/>
        <w:spacing w:line="360" w:lineRule="auto"/>
        <w:ind w:left="463" w:hanging="462" w:hangingChars="257"/>
        <w:rPr>
          <w:rFonts w:ascii="仿宋" w:hAnsi="仿宋" w:eastAsia="仿宋" w:cs="仿宋"/>
          <w:color w:val="000000" w:themeColor="text1"/>
          <w:sz w:val="18"/>
          <w:szCs w:val="18"/>
          <w14:textFill>
            <w14:solidFill>
              <w14:schemeClr w14:val="tx1"/>
            </w14:solidFill>
          </w14:textFill>
        </w:rPr>
      </w:pPr>
    </w:p>
    <w:p>
      <w:pPr>
        <w:adjustRightInd w:val="0"/>
        <w:spacing w:before="120" w:after="120" w:line="360" w:lineRule="auto"/>
        <w:ind w:firstLine="273" w:firstLineChars="59"/>
        <w:jc w:val="center"/>
        <w:textAlignment w:val="baseline"/>
        <w:rPr>
          <w:rFonts w:ascii="宋体" w:hAnsi="宋体" w:cs="宋体"/>
          <w:b/>
          <w:bCs/>
          <w:kern w:val="0"/>
          <w:sz w:val="48"/>
          <w:szCs w:val="48"/>
        </w:rPr>
      </w:pPr>
      <w:r>
        <w:rPr>
          <w:rFonts w:hint="eastAsia" w:ascii="宋体" w:hAnsi="宋体" w:cs="宋体"/>
          <w:b/>
          <w:bCs/>
          <w:spacing w:val="-10"/>
          <w:sz w:val="48"/>
          <w:szCs w:val="48"/>
        </w:rPr>
        <w:t>江苏省南通卫生高等职业技术学校海安校区智慧消防系统采购安装项目</w:t>
      </w:r>
    </w:p>
    <w:p>
      <w:pPr>
        <w:adjustRightInd w:val="0"/>
        <w:spacing w:before="120" w:after="120" w:line="360" w:lineRule="auto"/>
        <w:ind w:firstLine="190" w:firstLineChars="59"/>
        <w:jc w:val="center"/>
        <w:textAlignment w:val="baseline"/>
        <w:rPr>
          <w:rFonts w:ascii="宋体" w:hAnsi="宋体" w:cs="宋体"/>
          <w:b/>
          <w:bCs/>
          <w:kern w:val="0"/>
          <w:sz w:val="32"/>
          <w:szCs w:val="32"/>
        </w:rPr>
      </w:pPr>
    </w:p>
    <w:p>
      <w:pPr>
        <w:snapToGrid w:val="0"/>
        <w:spacing w:line="360" w:lineRule="auto"/>
        <w:jc w:val="center"/>
        <w:rPr>
          <w:rFonts w:hint="eastAsia"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招标文件</w:t>
      </w:r>
    </w:p>
    <w:p>
      <w:pPr>
        <w:snapToGrid w:val="0"/>
        <w:spacing w:line="360" w:lineRule="auto"/>
        <w:jc w:val="center"/>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项目编号：</w:t>
      </w:r>
      <w:r>
        <w:rPr>
          <w:rFonts w:hint="eastAsia" w:ascii="仿宋" w:hAnsi="仿宋" w:eastAsia="仿宋" w:cs="仿宋"/>
          <w:b/>
          <w:bCs/>
          <w:color w:val="000000" w:themeColor="text1"/>
          <w:sz w:val="32"/>
          <w:szCs w:val="32"/>
          <w:lang w:val="en-US" w:eastAsia="zh-CN"/>
          <w14:textFill>
            <w14:solidFill>
              <w14:schemeClr w14:val="tx1"/>
            </w14:solidFill>
          </w14:textFill>
        </w:rPr>
        <w:t>WXBS2023037</w:t>
      </w:r>
    </w:p>
    <w:p>
      <w:pPr>
        <w:spacing w:line="360" w:lineRule="auto"/>
        <w:jc w:val="center"/>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w:t>
      </w: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rPr>
          <w:rFonts w:ascii="仿宋" w:hAnsi="仿宋" w:eastAsia="仿宋" w:cs="仿宋"/>
          <w:b/>
          <w:bCs/>
          <w:color w:val="000000" w:themeColor="text1"/>
          <w:sz w:val="32"/>
          <w:szCs w:val="32"/>
          <w14:textFill>
            <w14:solidFill>
              <w14:schemeClr w14:val="tx1"/>
            </w14:solidFill>
          </w14:textFill>
        </w:rPr>
      </w:pPr>
    </w:p>
    <w:p>
      <w:pPr>
        <w:pStyle w:val="5"/>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采购单位：</w:t>
      </w:r>
      <w:r>
        <w:rPr>
          <w:rFonts w:hint="eastAsia" w:ascii="仿宋" w:hAnsi="仿宋" w:eastAsia="仿宋" w:cs="仿宋"/>
          <w:b/>
          <w:color w:val="000000" w:themeColor="text1"/>
          <w:sz w:val="32"/>
          <w:szCs w:val="32"/>
          <w:lang w:eastAsia="zh-CN"/>
          <w14:textFill>
            <w14:solidFill>
              <w14:schemeClr w14:val="tx1"/>
            </w14:solidFill>
          </w14:textFill>
        </w:rPr>
        <w:t>江苏省南通卫生高等职业技术学校</w:t>
      </w:r>
    </w:p>
    <w:p>
      <w:pPr>
        <w:adjustRightInd w:val="0"/>
        <w:snapToGrid w:val="0"/>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2023</w:t>
      </w:r>
      <w:r>
        <w:rPr>
          <w:rFonts w:hint="eastAsia" w:ascii="仿宋" w:hAnsi="仿宋" w:eastAsia="仿宋" w:cs="仿宋"/>
          <w:b/>
          <w:color w:val="000000" w:themeColor="text1"/>
          <w:sz w:val="32"/>
          <w:szCs w:val="32"/>
          <w14:textFill>
            <w14:solidFill>
              <w14:schemeClr w14:val="tx1"/>
            </w14:solidFill>
          </w14:textFill>
        </w:rPr>
        <w:t xml:space="preserve">年 </w:t>
      </w:r>
      <w:r>
        <w:rPr>
          <w:rFonts w:hint="eastAsia" w:ascii="仿宋" w:hAnsi="仿宋" w:eastAsia="仿宋" w:cs="仿宋"/>
          <w:b/>
          <w:color w:val="000000" w:themeColor="text1"/>
          <w:sz w:val="32"/>
          <w:szCs w:val="32"/>
          <w:lang w:val="en-US" w:eastAsia="zh-CN"/>
          <w14:textFill>
            <w14:solidFill>
              <w14:schemeClr w14:val="tx1"/>
            </w14:solidFill>
          </w14:textFill>
        </w:rPr>
        <w:t>6</w:t>
      </w:r>
      <w:r>
        <w:rPr>
          <w:rFonts w:hint="eastAsia" w:ascii="仿宋" w:hAnsi="仿宋" w:eastAsia="仿宋" w:cs="仿宋"/>
          <w:b/>
          <w:color w:val="000000" w:themeColor="text1"/>
          <w:sz w:val="32"/>
          <w:szCs w:val="32"/>
          <w14:textFill>
            <w14:solidFill>
              <w14:schemeClr w14:val="tx1"/>
            </w14:solidFill>
          </w14:textFill>
        </w:rPr>
        <w:t>月</w:t>
      </w:r>
      <w:r>
        <w:rPr>
          <w:rFonts w:hint="eastAsia" w:ascii="仿宋" w:hAnsi="仿宋" w:eastAsia="仿宋" w:cs="仿宋"/>
          <w:b/>
          <w:color w:val="000000" w:themeColor="text1"/>
          <w:sz w:val="32"/>
          <w:szCs w:val="32"/>
          <w:lang w:val="en-US" w:eastAsia="zh-CN"/>
          <w14:textFill>
            <w14:solidFill>
              <w14:schemeClr w14:val="tx1"/>
            </w14:solidFill>
          </w14:textFill>
        </w:rPr>
        <w:t>9</w:t>
      </w:r>
      <w:r>
        <w:rPr>
          <w:rFonts w:hint="eastAsia" w:ascii="仿宋" w:hAnsi="仿宋" w:eastAsia="仿宋" w:cs="仿宋"/>
          <w:b/>
          <w:color w:val="000000" w:themeColor="text1"/>
          <w:sz w:val="32"/>
          <w:szCs w:val="32"/>
          <w14:textFill>
            <w14:solidFill>
              <w14:schemeClr w14:val="tx1"/>
            </w14:solidFill>
          </w14:textFill>
        </w:rPr>
        <w:t>日</w:t>
      </w:r>
    </w:p>
    <w:p>
      <w:pPr>
        <w:spacing w:line="360" w:lineRule="auto"/>
        <w:rPr>
          <w:rFonts w:ascii="仿宋" w:hAnsi="仿宋" w:eastAsia="仿宋" w:cs="仿宋"/>
          <w:b/>
          <w:bCs/>
          <w:color w:val="000000" w:themeColor="text1"/>
          <w:sz w:val="30"/>
          <w:szCs w:val="30"/>
          <w14:textFill>
            <w14:solidFill>
              <w14:schemeClr w14:val="tx1"/>
            </w14:solidFill>
          </w14:textFill>
        </w:rPr>
        <w:sectPr>
          <w:pgSz w:w="12240" w:h="15840"/>
          <w:pgMar w:top="1440" w:right="1340" w:bottom="1440" w:left="1440" w:header="720" w:footer="720" w:gutter="0"/>
          <w:pgNumType w:start="0"/>
          <w:cols w:space="720" w:num="1"/>
        </w:sectPr>
      </w:pPr>
    </w:p>
    <w:p>
      <w:pPr>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p>
    <w:p>
      <w:pPr>
        <w:spacing w:line="360" w:lineRule="auto"/>
        <w:rPr>
          <w:rFonts w:ascii="仿宋" w:hAnsi="仿宋" w:eastAsia="仿宋" w:cs="仿宋"/>
          <w:b/>
          <w:bCs/>
          <w:color w:val="000000" w:themeColor="text1"/>
          <w:sz w:val="44"/>
          <w:szCs w:val="44"/>
          <w14:textFill>
            <w14:solidFill>
              <w14:schemeClr w14:val="tx1"/>
            </w14:solidFill>
          </w14:textFill>
        </w:rPr>
      </w:pP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"_Toc450137519"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第一章 招标公告</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"_Toc450137520"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第二章 投标供应商须知</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"_Toc450137521"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第三章 项目需求</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"_Toc450137522"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第四章 评审方法和程序</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"_Toc450137523"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第五章 合同主要条款</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"_Toc450137524"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第六章 合同授予</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"_Toc450137525"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第七章 质疑与投诉</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36"/>
        <w:keepNext w:val="0"/>
        <w:keepLines w:val="0"/>
        <w:pageBreakBefore w:val="0"/>
        <w:widowControl/>
        <w:kinsoku/>
        <w:wordWrap/>
        <w:overflowPunct/>
        <w:topLinePunct w:val="0"/>
        <w:autoSpaceDE/>
        <w:autoSpaceDN/>
        <w:bidi w:val="0"/>
        <w:adjustRightInd/>
        <w:snapToGrid/>
        <w:spacing w:line="1000" w:lineRule="exact"/>
        <w:ind w:firstLine="320" w:firstLineChars="1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"_Toc450137526" </w:instrText>
      </w:r>
      <w:r>
        <w:rPr>
          <w:rFonts w:hint="eastAsia" w:ascii="仿宋" w:hAnsi="仿宋" w:eastAsia="仿宋" w:cs="仿宋"/>
          <w:sz w:val="32"/>
          <w:szCs w:val="32"/>
        </w:rPr>
        <w:fldChar w:fldCharType="separate"/>
      </w:r>
      <w:r>
        <w:rPr>
          <w:rStyle w:val="123"/>
          <w:rFonts w:hint="eastAsia" w:ascii="仿宋" w:hAnsi="仿宋" w:eastAsia="仿宋" w:cs="仿宋"/>
          <w:b/>
          <w:bCs/>
          <w:color w:val="000000" w:themeColor="text1"/>
          <w:sz w:val="32"/>
          <w:szCs w:val="32"/>
          <w14:textFill>
            <w14:solidFill>
              <w14:schemeClr w14:val="tx1"/>
            </w14:solidFill>
          </w14:textFill>
        </w:rPr>
        <w:t>第八章 投标文件组成及格式</w:t>
      </w:r>
      <w:r>
        <w:rPr>
          <w:rStyle w:val="123"/>
          <w:rFonts w:hint="eastAsia" w:ascii="仿宋" w:hAnsi="仿宋" w:eastAsia="仿宋" w:cs="仿宋"/>
          <w:b/>
          <w:bCs/>
          <w:color w:val="000000" w:themeColor="text1"/>
          <w:sz w:val="32"/>
          <w:szCs w:val="32"/>
          <w14:textFill>
            <w14:solidFill>
              <w14:schemeClr w14:val="tx1"/>
            </w14:solidFill>
          </w14:textFill>
        </w:rPr>
        <w:fldChar w:fldCharType="end"/>
      </w:r>
    </w:p>
    <w:p>
      <w:pPr>
        <w:pStyle w:val="152"/>
        <w:spacing w:beforeLines="0" w:afterLines="0" w:line="420" w:lineRule="exact"/>
        <w:outlineLvl w:val="9"/>
        <w:rPr>
          <w:rFonts w:ascii="仿宋" w:hAnsi="仿宋" w:eastAsia="仿宋" w:cs="仿宋"/>
          <w:color w:val="000000" w:themeColor="text1"/>
          <w:sz w:val="36"/>
          <w:szCs w:val="36"/>
          <w14:textFill>
            <w14:solidFill>
              <w14:schemeClr w14:val="tx1"/>
            </w14:solidFill>
          </w14:textFill>
        </w:rPr>
        <w:sectPr>
          <w:footerReference r:id="rId3" w:type="default"/>
          <w:pgSz w:w="11906" w:h="16838"/>
          <w:pgMar w:top="1440" w:right="1474" w:bottom="1440" w:left="1474" w:header="851" w:footer="992" w:gutter="0"/>
          <w:pgNumType w:start="1"/>
          <w:cols w:space="425" w:num="1"/>
          <w:docGrid w:type="lines" w:linePitch="312" w:charSpace="0"/>
        </w:sectPr>
      </w:pPr>
    </w:p>
    <w:p>
      <w:pPr>
        <w:pStyle w:val="152"/>
        <w:keepNext/>
        <w:keepLines/>
        <w:pageBreakBefore w:val="0"/>
        <w:widowControl w:val="0"/>
        <w:kinsoku/>
        <w:wordWrap/>
        <w:overflowPunct/>
        <w:topLinePunct w:val="0"/>
        <w:autoSpaceDE/>
        <w:autoSpaceDN/>
        <w:bidi w:val="0"/>
        <w:adjustRightInd/>
        <w:snapToGrid/>
        <w:spacing w:beforeLines="0" w:afterLines="0" w:line="800" w:lineRule="exact"/>
        <w:textAlignment w:val="auto"/>
        <w:outlineLvl w:val="9"/>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第一章  招标公告</w:t>
      </w:r>
    </w:p>
    <w:p>
      <w:pPr>
        <w:keepNext w:val="0"/>
        <w:keepLines w:val="0"/>
        <w:pageBreakBefore w:val="0"/>
        <w:kinsoku/>
        <w:wordWrap w:val="0"/>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bookmarkStart w:id="0" w:name="_Toc182848970"/>
      <w:r>
        <w:rPr>
          <w:rFonts w:hint="eastAsia" w:ascii="方正仿宋_GBK" w:hAnsi="方正仿宋_GBK" w:eastAsia="方正仿宋_GBK" w:cs="方正仿宋_GBK"/>
          <w:color w:val="000000"/>
          <w:sz w:val="28"/>
          <w:szCs w:val="28"/>
        </w:rPr>
        <w:t>根据江苏省南通卫生高等职业技术学校采购管理的有关规定，现对江苏省南通卫生高等职业技术学校海安校区智慧消防系统采购安装项目</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项目编号：WXBS2023037）</w:t>
      </w:r>
      <w:r>
        <w:rPr>
          <w:rFonts w:hint="eastAsia" w:ascii="方正仿宋_GBK" w:hAnsi="方正仿宋_GBK" w:eastAsia="方正仿宋_GBK" w:cs="方正仿宋_GBK"/>
          <w:color w:val="000000"/>
          <w:sz w:val="28"/>
          <w:szCs w:val="28"/>
        </w:rPr>
        <w:t>进行公开招标，欢迎合格投标人参加投标。</w:t>
      </w:r>
    </w:p>
    <w:p>
      <w:pPr>
        <w:keepNext w:val="0"/>
        <w:keepLines w:val="0"/>
        <w:pageBreakBefore w:val="0"/>
        <w:kinsoku/>
        <w:overflowPunct/>
        <w:topLinePunct w:val="0"/>
        <w:autoSpaceDE/>
        <w:autoSpaceDN/>
        <w:bidi w:val="0"/>
        <w:adjustRightInd w:val="0"/>
        <w:snapToGrid w:val="0"/>
        <w:spacing w:before="156" w:beforeLines="50"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一、项目基本情况</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pacing w:val="7"/>
          <w:kern w:val="0"/>
          <w:sz w:val="28"/>
          <w:szCs w:val="22"/>
        </w:rPr>
      </w:pPr>
      <w:r>
        <w:rPr>
          <w:rFonts w:hint="eastAsia" w:ascii="方正仿宋_GBK" w:hAnsi="方正仿宋_GBK" w:eastAsia="方正仿宋_GBK" w:cs="方正仿宋_GBK"/>
          <w:sz w:val="28"/>
          <w:szCs w:val="28"/>
        </w:rPr>
        <w:t>项目编号：WXBS2023037</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eastAsia="zh-CN"/>
        </w:rPr>
        <w:t>江苏省南通卫生高等职业技术学校海安校区智慧消防系统采购安装项目</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项目类型：货物</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所属行业：软件及信息技术服务业</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预算金额：8万元</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最高限价：8万元</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采购需求：详见采购文件，请仔细研究。</w:t>
      </w:r>
    </w:p>
    <w:p>
      <w:pPr>
        <w:keepNext w:val="0"/>
        <w:keepLines w:val="0"/>
        <w:pageBreakBefore w:val="0"/>
        <w:kinsoku/>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合同履行期限：合同签订之日起20日内安装调试完毕。</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二、申请人的资格要求：</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供应商具有独立承担民事责任的能力；具有良好的商业信誉和健全的财务会计制度；有依法缴纳税收和社会保障资金的良好记录；参加政府采购活动前三年内，在经营活动中没有重大违法记录；法律、行政法规规定的其他条件。</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法定代表人参加投标的，必须提供法定代表人身份证明原件及法定代表人本人身份证复印件加盖公章；非法定代表人参加投标的，必须提供法定代表人签名或盖章的授权委托书原件及法定代表人和委托代理人（以下称被授权人）两个人的身份证复印件加盖公章（格式参见第八章）； </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3.本项目不接受联合体投标。</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请供应商认真对照资格要求，如不符合要求，无意或故意参与投标的，所产生的一切后果由供应商承担。</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三、获取招标文件</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 xml:space="preserve">时间：2023年 </w:t>
      </w:r>
      <w:r>
        <w:rPr>
          <w:rFonts w:hint="eastAsia" w:ascii="方正仿宋_GBK" w:hAnsi="方正仿宋_GBK" w:eastAsia="方正仿宋_GBK" w:cs="方正仿宋_GBK"/>
          <w:sz w:val="28"/>
          <w:szCs w:val="28"/>
          <w:lang w:val="en-US" w:eastAsia="zh-CN"/>
        </w:rPr>
        <w:t>6月9</w:t>
      </w:r>
      <w:r>
        <w:rPr>
          <w:rFonts w:hint="eastAsia" w:ascii="方正仿宋_GBK" w:hAnsi="方正仿宋_GBK" w:eastAsia="方正仿宋_GBK" w:cs="方正仿宋_GBK"/>
          <w:sz w:val="28"/>
          <w:szCs w:val="28"/>
        </w:rPr>
        <w:t>日至2023年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日。</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地点：江苏省南通卫生高等职业技术学校与南通市卫生健康委员会网站</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方式：自行下载</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四、提交投标文件截止时间、开标时间和地点</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截止时间</w:t>
      </w:r>
      <w:r>
        <w:rPr>
          <w:rFonts w:hint="eastAsia" w:ascii="方正仿宋_GBK" w:hAnsi="方正仿宋_GBK" w:eastAsia="方正仿宋_GBK" w:cs="方正仿宋_GBK"/>
          <w:sz w:val="28"/>
          <w:szCs w:val="28"/>
        </w:rPr>
        <w:t>：2023年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日9点</w:t>
      </w:r>
      <w:r>
        <w:rPr>
          <w:rFonts w:hint="eastAsia" w:ascii="方正仿宋_GBK" w:hAnsi="方正仿宋_GBK" w:eastAsia="方正仿宋_GBK" w:cs="方正仿宋_GBK"/>
          <w:sz w:val="28"/>
          <w:szCs w:val="28"/>
          <w:lang w:val="en-US" w:eastAsia="zh-CN"/>
        </w:rPr>
        <w:t>00</w:t>
      </w:r>
      <w:r>
        <w:rPr>
          <w:rFonts w:hint="eastAsia" w:ascii="方正仿宋_GBK" w:hAnsi="方正仿宋_GBK" w:eastAsia="方正仿宋_GBK" w:cs="方正仿宋_GBK"/>
          <w:sz w:val="28"/>
          <w:szCs w:val="28"/>
        </w:rPr>
        <w:t>分（北京时间）。逾时，招标人将拒绝接受投标响应文件。</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i/>
          <w:sz w:val="28"/>
          <w:szCs w:val="28"/>
        </w:rPr>
      </w:pPr>
      <w:r>
        <w:rPr>
          <w:rFonts w:hint="eastAsia" w:ascii="方正仿宋_GBK" w:hAnsi="方正仿宋_GBK" w:eastAsia="方正仿宋_GBK" w:cs="方正仿宋_GBK"/>
          <w:b/>
          <w:bCs/>
          <w:sz w:val="28"/>
          <w:szCs w:val="28"/>
        </w:rPr>
        <w:t>地点：</w:t>
      </w:r>
      <w:r>
        <w:rPr>
          <w:rFonts w:hint="eastAsia" w:ascii="方正仿宋_GBK" w:hAnsi="方正仿宋_GBK" w:eastAsia="方正仿宋_GBK" w:cs="方正仿宋_GBK"/>
          <w:b w:val="0"/>
          <w:bCs w:val="0"/>
          <w:sz w:val="28"/>
          <w:szCs w:val="28"/>
        </w:rPr>
        <w:t>南通市经济技术开发区振兴东路288号南通卫生高职校行政楼1408室，如有变动另行通知。</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五、公告期限</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自本公告发布之日起5个工作日。</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六、其他补充事宜</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1.投标保证金：无</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2.项目开标活动模式：现场开标，供应商在</w:t>
      </w:r>
      <w:r>
        <w:rPr>
          <w:rFonts w:hint="eastAsia" w:ascii="方正仿宋_GBK" w:hAnsi="方正仿宋_GBK" w:eastAsia="方正仿宋_GBK" w:cs="方正仿宋_GBK"/>
          <w:sz w:val="28"/>
          <w:szCs w:val="28"/>
          <w:u w:val="single"/>
        </w:rPr>
        <w:t>南通市经济技术开发区振兴东路288号南通卫生高职校行政楼1408室</w:t>
      </w:r>
      <w:r>
        <w:rPr>
          <w:rFonts w:hint="eastAsia" w:ascii="方正仿宋_GBK" w:hAnsi="方正仿宋_GBK" w:eastAsia="方正仿宋_GBK" w:cs="方正仿宋_GBK"/>
          <w:sz w:val="28"/>
          <w:szCs w:val="28"/>
        </w:rPr>
        <w:t>参加开标活动。</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3.项目演示：详见招标文件第四章 评审方法和程序。</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4.对项目需求部分（供应商资格要求、项目需求、商务技术评分标准）的询问、质疑请向招标人提出，由招标人负责答复；对项目招标文件其它部分的询问请向代理机构经办人提出。</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keepNext w:val="0"/>
        <w:keepLines w:val="0"/>
        <w:pageBreakBefore w:val="0"/>
        <w:kinsoku/>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七、对本次招标提出询问，请按以下方式联系。</w:t>
      </w:r>
    </w:p>
    <w:p>
      <w:pPr>
        <w:pStyle w:val="50"/>
        <w:keepNext w:val="0"/>
        <w:keepLines w:val="0"/>
        <w:pageBreakBefore w:val="0"/>
        <w:kinsoku/>
        <w:overflowPunct/>
        <w:topLinePunct w:val="0"/>
        <w:autoSpaceDE/>
        <w:autoSpaceDN/>
        <w:bidi w:val="0"/>
        <w:spacing w:before="0" w:beforeAutospacing="0" w:after="0" w:afterAutospacing="0" w:line="460" w:lineRule="exact"/>
        <w:ind w:firstLine="48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招标单位名称：江苏省南通卫生高等职业技术学校</w:t>
      </w:r>
    </w:p>
    <w:p>
      <w:pPr>
        <w:pStyle w:val="50"/>
        <w:keepNext w:val="0"/>
        <w:keepLines w:val="0"/>
        <w:pageBreakBefore w:val="0"/>
        <w:kinsoku/>
        <w:overflowPunct/>
        <w:topLinePunct w:val="0"/>
        <w:autoSpaceDE/>
        <w:autoSpaceDN/>
        <w:bidi w:val="0"/>
        <w:spacing w:before="0" w:beforeAutospacing="0" w:after="0" w:afterAutospacing="0" w:line="460" w:lineRule="exact"/>
        <w:ind w:firstLine="48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联 系 人：</w:t>
      </w:r>
      <w:r>
        <w:rPr>
          <w:rFonts w:hint="eastAsia" w:ascii="方正仿宋_GBK" w:hAnsi="方正仿宋_GBK" w:eastAsia="方正仿宋_GBK" w:cs="方正仿宋_GBK"/>
          <w:sz w:val="28"/>
          <w:szCs w:val="28"/>
          <w:lang w:val="en-US" w:eastAsia="zh-CN"/>
        </w:rPr>
        <w:t>单老师</w:t>
      </w:r>
    </w:p>
    <w:p>
      <w:pPr>
        <w:pStyle w:val="50"/>
        <w:keepNext w:val="0"/>
        <w:keepLines w:val="0"/>
        <w:pageBreakBefore w:val="0"/>
        <w:kinsoku/>
        <w:overflowPunct/>
        <w:topLinePunct w:val="0"/>
        <w:autoSpaceDE/>
        <w:autoSpaceDN/>
        <w:bidi w:val="0"/>
        <w:spacing w:before="0" w:beforeAutospacing="0" w:after="0" w:afterAutospacing="0" w:line="460" w:lineRule="exact"/>
        <w:ind w:firstLine="48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联系电话：</w:t>
      </w:r>
      <w:r>
        <w:rPr>
          <w:rFonts w:hint="eastAsia" w:ascii="方正仿宋_GBK" w:hAnsi="方正仿宋_GBK" w:eastAsia="方正仿宋_GBK" w:cs="方正仿宋_GBK"/>
          <w:sz w:val="28"/>
          <w:szCs w:val="28"/>
          <w:highlight w:val="none"/>
        </w:rPr>
        <w:t>0513-51083173</w:t>
      </w:r>
    </w:p>
    <w:p>
      <w:pPr>
        <w:pStyle w:val="50"/>
        <w:keepNext w:val="0"/>
        <w:keepLines w:val="0"/>
        <w:pageBreakBefore w:val="0"/>
        <w:kinsoku/>
        <w:overflowPunct/>
        <w:topLinePunct w:val="0"/>
        <w:autoSpaceDE/>
        <w:autoSpaceDN/>
        <w:bidi w:val="0"/>
        <w:spacing w:before="0" w:beforeAutospacing="0" w:after="0" w:afterAutospacing="0" w:line="460" w:lineRule="exact"/>
        <w:ind w:firstLine="48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Cs/>
          <w:sz w:val="28"/>
          <w:szCs w:val="28"/>
          <w:lang w:val="en-US" w:eastAsia="zh-CN"/>
        </w:rPr>
        <w:t>招标代理</w:t>
      </w:r>
      <w:r>
        <w:rPr>
          <w:rFonts w:hint="eastAsia" w:ascii="方正仿宋_GBK" w:hAnsi="方正仿宋_GBK" w:eastAsia="方正仿宋_GBK" w:cs="方正仿宋_GBK"/>
          <w:sz w:val="28"/>
          <w:szCs w:val="28"/>
          <w:lang w:val="en-US" w:eastAsia="zh-CN" w:bidi="ar-SA"/>
        </w:rPr>
        <w:t>机构：江苏中</w:t>
      </w:r>
      <w:r>
        <w:rPr>
          <w:rFonts w:hint="eastAsia" w:ascii="方正仿宋_GBK" w:hAnsi="方正仿宋_GBK" w:eastAsia="方正仿宋_GBK" w:cs="方正仿宋_GBK"/>
          <w:sz w:val="28"/>
          <w:szCs w:val="28"/>
          <w:lang w:eastAsia="zh-CN"/>
        </w:rPr>
        <w:t>润工程建设咨询有限公司</w:t>
      </w:r>
    </w:p>
    <w:p>
      <w:pPr>
        <w:pStyle w:val="50"/>
        <w:keepNext w:val="0"/>
        <w:keepLines w:val="0"/>
        <w:pageBreakBefore w:val="0"/>
        <w:kinsoku/>
        <w:overflowPunct/>
        <w:topLinePunct w:val="0"/>
        <w:autoSpaceDE/>
        <w:autoSpaceDN/>
        <w:bidi w:val="0"/>
        <w:spacing w:before="0" w:beforeAutospacing="0" w:after="0" w:afterAutospacing="0" w:line="460" w:lineRule="exact"/>
        <w:ind w:firstLine="48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地址：</w:t>
      </w:r>
      <w:r>
        <w:rPr>
          <w:rFonts w:hint="eastAsia" w:ascii="方正仿宋_GBK" w:hAnsi="方正仿宋_GBK" w:eastAsia="方正仿宋_GBK" w:cs="方正仿宋_GBK"/>
          <w:sz w:val="28"/>
          <w:szCs w:val="28"/>
        </w:rPr>
        <w:t>崇川区崇川路58号</w:t>
      </w:r>
    </w:p>
    <w:p>
      <w:pPr>
        <w:pStyle w:val="50"/>
        <w:keepNext w:val="0"/>
        <w:keepLines w:val="0"/>
        <w:pageBreakBefore w:val="0"/>
        <w:kinsoku/>
        <w:overflowPunct/>
        <w:topLinePunct w:val="0"/>
        <w:autoSpaceDE/>
        <w:autoSpaceDN/>
        <w:bidi w:val="0"/>
        <w:spacing w:before="0" w:beforeAutospacing="0" w:after="0" w:afterAutospacing="0" w:line="460" w:lineRule="exact"/>
        <w:ind w:firstLine="48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 xml:space="preserve"> 王工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0513-55887688  13906272111</w:t>
      </w:r>
    </w:p>
    <w:p>
      <w:pPr>
        <w:spacing w:line="480" w:lineRule="exact"/>
        <w:ind w:firstLine="482" w:firstLineChars="200"/>
        <w:rPr>
          <w:rFonts w:ascii="仿宋" w:hAnsi="仿宋" w:eastAsia="仿宋" w:cs="仿宋"/>
          <w:b/>
          <w:bCs/>
          <w:color w:val="000000" w:themeColor="text1"/>
          <w:sz w:val="24"/>
          <w:szCs w:val="24"/>
          <w14:textFill>
            <w14:solidFill>
              <w14:schemeClr w14:val="tx1"/>
            </w14:solidFill>
          </w14:textFill>
        </w:rPr>
      </w:pPr>
    </w:p>
    <w:p>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sectPr>
          <w:footerReference r:id="rId4" w:type="default"/>
          <w:pgSz w:w="11906" w:h="16838"/>
          <w:pgMar w:top="1440" w:right="1474" w:bottom="1440" w:left="1474" w:header="851" w:footer="992" w:gutter="0"/>
          <w:pgNumType w:start="1"/>
          <w:cols w:space="425" w:num="1"/>
          <w:docGrid w:type="lines" w:linePitch="312" w:charSpace="0"/>
        </w:sectPr>
      </w:pPr>
    </w:p>
    <w:p>
      <w:pPr>
        <w:spacing w:line="360" w:lineRule="auto"/>
        <w:ind w:firstLine="480" w:firstLineChars="200"/>
        <w:jc w:val="lef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kern w:val="44"/>
          <w:sz w:val="36"/>
          <w:szCs w:val="36"/>
          <w:lang w:val="en-US" w:eastAsia="zh-CN" w:bidi="ar-SA"/>
          <w14:textFill>
            <w14:solidFill>
              <w14:schemeClr w14:val="tx1"/>
            </w14:solidFill>
          </w14:textFill>
        </w:rPr>
        <w:t xml:space="preserve">      第二章 投标供应商须知</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一、说明</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1.本招标文件仅适用于</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江苏省南通卫生高等职业技术学校</w:t>
      </w:r>
      <w:r>
        <w:rPr>
          <w:rFonts w:hint="eastAsia" w:ascii="方正仿宋_GBK" w:hAnsi="方正仿宋_GBK" w:eastAsia="方正仿宋_GBK" w:cs="方正仿宋_GBK"/>
          <w:color w:val="000000" w:themeColor="text1"/>
          <w:sz w:val="28"/>
          <w:szCs w:val="28"/>
          <w14:textFill>
            <w14:solidFill>
              <w14:schemeClr w14:val="tx1"/>
            </w14:solidFill>
          </w14:textFill>
        </w:rPr>
        <w:t>的公开招标活动。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2.公开招标活动及因本次招标产生的合同受中国法律制约和保护。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3.招标文件的解释权属于</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江苏省南通卫生高等职业技术学校</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4.投标供应商下载招标文件后，应仔细检查招标文件的所有内容，如有内容或页码短缺、资格要求和技术参数含有倾向性或排他性等表述的，应在招标文件发布后3日内以书面形式提出询问或疑问（发送至邮箱</w:t>
      </w:r>
      <w:r>
        <w:rPr>
          <w:rFonts w:hint="eastAsia" w:ascii="方正仿宋_GBK" w:hAnsi="方正仿宋_GBK" w:eastAsia="方正仿宋_GBK" w:cs="方正仿宋_GBK"/>
          <w:sz w:val="28"/>
          <w:szCs w:val="28"/>
          <w:lang w:val="en-US" w:eastAsia="zh-CN"/>
        </w:rPr>
        <w:t>jszrntzb@163.com</w:t>
      </w:r>
      <w:r>
        <w:rPr>
          <w:rFonts w:hint="eastAsia" w:ascii="方正仿宋_GBK" w:hAnsi="方正仿宋_GBK" w:eastAsia="方正仿宋_GBK" w:cs="方正仿宋_GBK"/>
          <w:color w:val="000000" w:themeColor="text1"/>
          <w:sz w:val="28"/>
          <w:szCs w:val="28"/>
          <w14:textFill>
            <w14:solidFill>
              <w14:schemeClr w14:val="tx1"/>
            </w14:solidFill>
          </w14:textFill>
        </w:rPr>
        <w:t>），未在规定的3日内提出询问或疑问的，视同供应商理解并接受本招标文件所有内容，并由此引起的损失自负。投标供应商不得在招标结束后针对招标文件所有内容提出质疑事项。非书面形式的不作为日后质疑提出的依据。</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5.投标供应商应认真审阅招标文件中所有的事项、格式、条款和规范要求等，如果投标供应商没有按照招标文件要求提交投标文件，或者投标文件没有对招标文件做出实质性响应，将被拒绝参与投标。</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二、招标文件的补充说明、澄清、修改、答疑</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1.采购人有权对发出的招标文件进行必要的补充说明、澄清或修改。</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2.招标文件的澄清、修改、补充等内容均以书面明确的形式发布，且以在</w:t>
      </w:r>
      <w:r>
        <w:rPr>
          <w:rFonts w:hint="eastAsia" w:ascii="方正仿宋_GBK" w:hAnsi="方正仿宋_GBK" w:eastAsia="方正仿宋_GBK" w:cs="方正仿宋_GBK"/>
          <w:sz w:val="28"/>
          <w:szCs w:val="28"/>
        </w:rPr>
        <w:t>江苏省南通卫生高等职业技术学校与南通市卫生健康委员会网站</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上发布的信息为准。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3.采购人对招标文件的补充说明、澄清或修改，将构成招标文件的一部分，对投标供应商具有约束力。</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4.补充说明、澄清或修改的内容可能影响到响应文件编制的，采购人将在提交首次响应文件截止之日3日前，发布补充说明、澄清或修改公告，不足3日的，应当顺延提交首次响应文件截止之日。</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5、除非采购人以书面的形式对招标文件作出澄清、修改及补充，投标供应商对涉及招标文件的任何推论、理解和结论所造成的结果，均由投标供应商自负。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6.招标采购人视情组织答疑会。如有答疑且对招标文件内容有修改，招标采购人将按照本须知有关规定，以补充通知（公告）的方式发出。</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三、投标文件的组成及装订</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1.投标文件由：⑴资格审查文件、⑵商务商务技术标、⑶价格标共三部分组成。</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供应商法定代表人或其委托的代理人（以下称被授权人）签字（或盖章）并加盖公章。</w:t>
      </w:r>
    </w:p>
    <w:p>
      <w:pPr>
        <w:keepNext w:val="0"/>
        <w:keepLines w:val="0"/>
        <w:pageBreakBefore w:val="0"/>
        <w:widowControl w:val="0"/>
        <w:kinsoku/>
        <w:wordWrap/>
        <w:overflowPunct/>
        <w:topLinePunct w:val="0"/>
        <w:autoSpaceDE/>
        <w:autoSpaceDN/>
        <w:bidi w:val="0"/>
        <w:adjustRightInd/>
        <w:spacing w:line="460" w:lineRule="exact"/>
        <w:ind w:firstLine="565" w:firstLineChars="202"/>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3.投标文件的 “资格审查文件”、“商务商务技术标”、“价格标”各自装订成册。特别提示：“价格标”必须单独装订和封装，不得出现在“资格审查文件”和“商务商务技术标”之中。（三部分均分开单独密封）</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四、投标文件的份数、签署</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1.投标供应商应准备</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叁</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份完整的投标文件，其中正本</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份，副本</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u w:val="single"/>
          <w:lang w:val="en-US" w:eastAsia="zh-CN"/>
          <w14:textFill>
            <w14:solidFill>
              <w14:schemeClr w14:val="tx1"/>
            </w14:solidFill>
          </w14:textFill>
        </w:rPr>
        <w:t>贰</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份，并标明“正本”或“副本”字样，若有差异，概以“正本”为准。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文件分三册密封。第一册为“资格审查文件”，第二册为“商务技术标”，第三册为“价格标”，投标文件的第一册、第二册、第三册应分别密封，并在封袋上标明“资格审查文件”、“商务技术标”、“价格标”。</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3.投标供应商可将投标文件正副本统一密封或分别密封，如正本和副本分别密封的，应在封袋上标明正、副本字样。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4.投标文件正本须按招标文件要求由法定代表人或被授权人签字或盖章并加盖投标单位印章。副本可复印，但须加盖投标单位印章。</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5.开标程序顺利进行后，所有投标文件都将作为档案保存，不论成交与否，采购人均不退回（未拆封的除外）。</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五、投标响应文件的密封及标记</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密封后，应在每一密封包的投标文件上明确标注投标项目名称、项目编号、投标文件各自对应的名称、投标供应商全称及日期，同时加盖投标供应商公章。</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六、投标文件的有效期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1.从投标文件接收截止之日算起，60个“日历天”内投标书应保持有效。有效期短于这个规定期限的，投标将被拒绝。</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在特殊情况下，采购人可与投标供应商协商延长投标书的有效期。这种要求和答复都应以书面、传真、或电报的形式进行。同意延长有效期的投标供应商不能修改投标文件，按本招标文件规定的投标保证金的有效期也相应延长。拒绝接受延期要求的投标供应商的投标书将被拒绝。</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七、投标报价</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1.本项目不接受任何有选择的报价。</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2.投标报价均以人民币为报价的币种。</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3.报价表必须加盖投标供应商公章且必须经法定代表人或被授权人签字或盖章。</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4.报价出现前后不一致的，按照下列规定修正：</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（1）投标文件中报价表（开标一览表）内容与投标文件技术响应中内容明细不一致的，以报价表（开标一览表）为准；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（2）投标文件中涉及大写金额和小写金额不一致的，以大写金额为准；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（3）单价金额小数点或者百分比有明显错位的，以报价表（开标一览表）的总价为准，并修改单价；</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同时出现两种以上不一致的，按照前款规定的顺序修正。修正后的报价应当由投标供应商的法定代表人或其被授权人签字确认后产生约束力，投标供应商不确认的，其投标无效。</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本项目为整体交付工程，即采购人仅支付一次性费用，投标人有义务在投标前自行勘察现场情况，总报价需完整包含货物供应、运输、保险、税费、技术服务、技术咨询、知识产权、安全评估、产品检测、售后服务以及其他不可预见但可能产生的费用，并自行承担其风险与责任。</w:t>
      </w:r>
    </w:p>
    <w:p>
      <w:pPr>
        <w:keepNext w:val="0"/>
        <w:keepLines w:val="0"/>
        <w:pageBreakBefore w:val="0"/>
        <w:widowControl w:val="0"/>
        <w:kinsoku/>
        <w:wordWrap/>
        <w:overflowPunct/>
        <w:topLinePunct w:val="0"/>
        <w:autoSpaceDE/>
        <w:autoSpaceDN/>
        <w:bidi w:val="0"/>
        <w:adjustRightInd/>
        <w:snapToGrid w:val="0"/>
        <w:spacing w:line="460" w:lineRule="exact"/>
        <w:ind w:firstLine="548" w:firstLineChars="196"/>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6.一次报定的投标报价为成交价，同时，中标人的成交价在合同实施期间不因市场变化因素而变动。</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投标供应商应详细阅读招标文件的全部内容，根据采购项目需求，准确制定相关工作方案等，在合同期限内所必须的材料和配件均应列入报价清单内，本项目终验合格前若因报价清单内出现遗漏均视为赠送，不予增补。不按招标文件的要求提供投标文件，导致报价无效，按无效标处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1"/>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t>八、投标费用</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无论招标过程和结果如何，投标人自行承担与本次项目招标有关的全部费用。投标人承担参与投标可能发生的全部费用，采购人在任何情况下均无义务和责任承担这些费用。</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1.本项目资料费300元/份，在开标时支付给代理机构，无论中标与否该费用不予退还。</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本次</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招标代理费</w:t>
      </w:r>
      <w:r>
        <w:rPr>
          <w:rFonts w:hint="eastAsia" w:ascii="方正仿宋_GBK" w:hAnsi="方正仿宋_GBK" w:eastAsia="方正仿宋_GBK" w:cs="方正仿宋_GBK"/>
          <w:color w:val="000000" w:themeColor="text1"/>
          <w:sz w:val="28"/>
          <w:szCs w:val="28"/>
          <w14:textFill>
            <w14:solidFill>
              <w14:schemeClr w14:val="tx1"/>
            </w14:solidFill>
          </w14:textFill>
        </w:rPr>
        <w:t>按发改价格（2011）534号文标准的60%（不足1500按1500元）</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、评委费按实收取</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，由中标人支付</w:t>
      </w:r>
      <w:r>
        <w:rPr>
          <w:rFonts w:hint="eastAsia" w:ascii="方正仿宋_GBK" w:hAnsi="方正仿宋_GBK" w:eastAsia="方正仿宋_GBK" w:cs="方正仿宋_GBK"/>
          <w:color w:val="000000" w:themeColor="text1"/>
          <w:sz w:val="28"/>
          <w:szCs w:val="28"/>
          <w14:textFill>
            <w14:solidFill>
              <w14:schemeClr w14:val="tx1"/>
            </w14:solidFill>
          </w14:textFill>
        </w:rPr>
        <w:t>。投标人在投标报价时须考虑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以上</w:t>
      </w:r>
      <w:r>
        <w:rPr>
          <w:rFonts w:hint="eastAsia" w:ascii="方正仿宋_GBK" w:hAnsi="方正仿宋_GBK" w:eastAsia="方正仿宋_GBK" w:cs="方正仿宋_GBK"/>
          <w:color w:val="000000" w:themeColor="text1"/>
          <w:sz w:val="28"/>
          <w:szCs w:val="28"/>
          <w14:textFill>
            <w14:solidFill>
              <w14:schemeClr w14:val="tx1"/>
            </w14:solidFill>
          </w14:textFill>
        </w:rPr>
        <w:t>费用的支出，招标人不另行支付此部分费用。</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代理费、评委费等费用定标后由中标人支付给代理机构。因中标人原因导致中标结果变更或取消中标资格等，代理费、评委费不予退还。</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九、投标保证金：免收</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十、未尽事宜</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参照《中华人民共和国政府采购法》及</w:t>
      </w:r>
      <w:r>
        <w:rPr>
          <w:rFonts w:hint="eastAsia" w:ascii="方正仿宋_GBK" w:hAnsi="方正仿宋_GBK" w:eastAsia="方正仿宋_GBK" w:cs="方正仿宋_GBK"/>
          <w:sz w:val="28"/>
          <w:szCs w:val="28"/>
          <w:lang w:eastAsia="zh-CN"/>
        </w:rPr>
        <w:t>江苏省南通卫生高等职业技术学校</w:t>
      </w:r>
      <w:r>
        <w:rPr>
          <w:rFonts w:hint="eastAsia" w:ascii="方正仿宋_GBK" w:hAnsi="方正仿宋_GBK" w:eastAsia="方正仿宋_GBK" w:cs="方正仿宋_GBK"/>
          <w:sz w:val="28"/>
          <w:szCs w:val="28"/>
        </w:rPr>
        <w:t>采购管理规定</w:t>
      </w:r>
      <w:r>
        <w:rPr>
          <w:rFonts w:hint="eastAsia" w:ascii="方正仿宋_GBK" w:hAnsi="方正仿宋_GBK" w:eastAsia="方正仿宋_GBK" w:cs="方正仿宋_GBK"/>
          <w:color w:val="000000" w:themeColor="text1"/>
          <w:sz w:val="28"/>
          <w:szCs w:val="28"/>
          <w14:textFill>
            <w14:solidFill>
              <w14:schemeClr w14:val="tx1"/>
            </w14:solidFill>
          </w14:textFill>
        </w:rPr>
        <w:t>执行。</w:t>
      </w:r>
    </w:p>
    <w:p>
      <w:pPr>
        <w:spacing w:line="360" w:lineRule="auto"/>
        <w:rPr>
          <w:rFonts w:ascii="仿宋" w:hAnsi="仿宋" w:eastAsia="仿宋" w:cs="仿宋"/>
          <w:color w:val="000000" w:themeColor="text1"/>
          <w:sz w:val="24"/>
          <w:szCs w:val="24"/>
          <w14:textFill>
            <w14:solidFill>
              <w14:schemeClr w14:val="tx1"/>
            </w14:solidFill>
          </w14:textFill>
        </w:rPr>
      </w:pPr>
    </w:p>
    <w:p>
      <w:pPr>
        <w:pStyle w:val="2"/>
        <w:rPr>
          <w:rFonts w:ascii="仿宋" w:hAnsi="仿宋" w:eastAsia="仿宋" w:cs="仿宋"/>
          <w:color w:val="000000" w:themeColor="text1"/>
          <w:sz w:val="24"/>
          <w:szCs w:val="24"/>
          <w14:textFill>
            <w14:solidFill>
              <w14:schemeClr w14:val="tx1"/>
            </w14:solidFill>
          </w14:textFill>
        </w:rPr>
      </w:pPr>
    </w:p>
    <w:p>
      <w:pPr>
        <w:pStyle w:val="2"/>
        <w:rPr>
          <w:rFonts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474" w:bottom="1440" w:left="147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第三章  项目需求</w:t>
      </w:r>
      <w:bookmarkEnd w:id="0"/>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供应商不能简单照搬照抄招标文件项目需求说明中的技术、商务要求，必须作实事求是的响应。如供应商提供的货物和服务同采购人提出的项目需求说明中的技术、商务要求不同的，必须在《商务部分正负偏离表》和《技术部分正负偏离表》上明示。</w:t>
      </w:r>
    </w:p>
    <w:p>
      <w:pPr>
        <w:pStyle w:val="5"/>
        <w:pageBreakBefore w:val="0"/>
        <w:widowControl w:val="0"/>
        <w:kinsoku/>
        <w:wordWrap/>
        <w:overflowPunct/>
        <w:topLinePunct w:val="0"/>
        <w:autoSpaceDE/>
        <w:autoSpaceDN/>
        <w:bidi w:val="0"/>
        <w:spacing w:before="0" w:after="0" w:line="460" w:lineRule="exact"/>
        <w:ind w:firstLine="562" w:firstLineChars="200"/>
        <w:textAlignment w:val="auto"/>
        <w:rPr>
          <w:rFonts w:hint="eastAsia" w:ascii="方正仿宋_GBK" w:hAnsi="方正仿宋_GBK" w:eastAsia="方正仿宋_GBK" w:cs="方正仿宋_GBK"/>
          <w:sz w:val="28"/>
          <w:szCs w:val="28"/>
        </w:rPr>
      </w:pPr>
      <w:bookmarkStart w:id="1" w:name="_Toc35393621"/>
      <w:bookmarkStart w:id="2" w:name="_Toc29870"/>
      <w:bookmarkStart w:id="3" w:name="_Toc28359002"/>
      <w:bookmarkStart w:id="4" w:name="_Toc35393790"/>
      <w:bookmarkStart w:id="5" w:name="_Toc28359079"/>
      <w:bookmarkStart w:id="6" w:name="_Hlk24379207"/>
      <w:r>
        <w:rPr>
          <w:rFonts w:hint="eastAsia" w:ascii="方正仿宋_GBK" w:hAnsi="方正仿宋_GBK" w:eastAsia="方正仿宋_GBK" w:cs="方正仿宋_GBK"/>
          <w:sz w:val="28"/>
          <w:szCs w:val="28"/>
        </w:rPr>
        <w:t>一、项目</w:t>
      </w:r>
      <w:bookmarkEnd w:id="1"/>
      <w:bookmarkEnd w:id="2"/>
      <w:bookmarkEnd w:id="3"/>
      <w:bookmarkEnd w:id="4"/>
      <w:bookmarkEnd w:id="5"/>
      <w:r>
        <w:rPr>
          <w:rFonts w:hint="eastAsia" w:ascii="方正仿宋_GBK" w:hAnsi="方正仿宋_GBK" w:eastAsia="方正仿宋_GBK" w:cs="方正仿宋_GBK"/>
          <w:sz w:val="28"/>
          <w:szCs w:val="28"/>
        </w:rPr>
        <w:t>说明</w:t>
      </w:r>
    </w:p>
    <w:bookmarkEnd w:id="6"/>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1.项目名称：江苏省南通卫生高等职业技术学校海安校区智慧消防系统采购安装项目</w:t>
      </w:r>
    </w:p>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2.预算金额：8万元。超过预算金额作无效投标处理</w:t>
      </w:r>
    </w:p>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3.采购数量范围：详见“设备参数及清单需求”</w:t>
      </w:r>
    </w:p>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4.质保期：3 年 </w:t>
      </w:r>
    </w:p>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5.交货与安装期： </w:t>
      </w:r>
      <w:r>
        <w:rPr>
          <w:rFonts w:hint="eastAsia" w:ascii="方正仿宋_GBK" w:hAnsi="方正仿宋_GBK" w:eastAsia="方正仿宋_GBK" w:cs="方正仿宋_GBK"/>
          <w:sz w:val="28"/>
          <w:szCs w:val="28"/>
        </w:rPr>
        <w:t>合同签订之日起20日内安装调试完毕。</w:t>
      </w:r>
    </w:p>
    <w:p>
      <w:pPr>
        <w:pageBreakBefore w:val="0"/>
        <w:widowControl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6.海安校区智慧消防系统需通过网络专线接入主校区安消平台，并进行调试，确保后期正常使用，由中标单位承担相关接入所有费用。</w:t>
      </w:r>
    </w:p>
    <w:p>
      <w:pPr>
        <w:pStyle w:val="5"/>
        <w:spacing w:before="0" w:after="0" w:line="460" w:lineRule="exact"/>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二、项目内容及要求</w:t>
      </w:r>
      <w:bookmarkStart w:id="7" w:name="_Toc28359004"/>
      <w:bookmarkStart w:id="8" w:name="_Toc28359081"/>
    </w:p>
    <w:tbl>
      <w:tblPr>
        <w:tblStyle w:val="54"/>
        <w:tblW w:w="8981" w:type="dxa"/>
        <w:jc w:val="center"/>
        <w:tblLayout w:type="autofit"/>
        <w:tblCellMar>
          <w:top w:w="0" w:type="dxa"/>
          <w:left w:w="108" w:type="dxa"/>
          <w:bottom w:w="0" w:type="dxa"/>
          <w:right w:w="108" w:type="dxa"/>
        </w:tblCellMar>
      </w:tblPr>
      <w:tblGrid>
        <w:gridCol w:w="728"/>
        <w:gridCol w:w="1509"/>
        <w:gridCol w:w="1919"/>
        <w:gridCol w:w="3324"/>
        <w:gridCol w:w="674"/>
        <w:gridCol w:w="827"/>
      </w:tblGrid>
      <w:tr>
        <w:tblPrEx>
          <w:tblCellMar>
            <w:top w:w="0" w:type="dxa"/>
            <w:left w:w="108" w:type="dxa"/>
            <w:bottom w:w="0" w:type="dxa"/>
            <w:right w:w="108" w:type="dxa"/>
          </w:tblCellMar>
        </w:tblPrEx>
        <w:trPr>
          <w:trHeight w:val="680" w:hRule="atLeast"/>
          <w:jc w:val="center"/>
        </w:trPr>
        <w:tc>
          <w:tcPr>
            <w:tcW w:w="8981" w:type="dxa"/>
            <w:gridSpan w:val="6"/>
            <w:tcBorders>
              <w:top w:val="nil"/>
              <w:left w:val="nil"/>
              <w:bottom w:val="nil"/>
              <w:right w:val="nil"/>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8"/>
                <w:szCs w:val="28"/>
              </w:rPr>
              <w:t>设备参数及清单需求</w:t>
            </w:r>
          </w:p>
        </w:tc>
      </w:tr>
      <w:tr>
        <w:tblPrEx>
          <w:tblCellMar>
            <w:top w:w="0" w:type="dxa"/>
            <w:left w:w="108" w:type="dxa"/>
            <w:bottom w:w="0" w:type="dxa"/>
            <w:right w:w="108" w:type="dxa"/>
          </w:tblCellMar>
        </w:tblPrEx>
        <w:trPr>
          <w:trHeight w:val="56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lang w:bidi="ar"/>
              </w:rPr>
              <w:t xml:space="preserve">序号 </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lang w:bidi="ar"/>
              </w:rPr>
              <w:t>名称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lang w:bidi="ar"/>
              </w:rPr>
              <w:t>型号、规格</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lang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lang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lang w:bidi="ar"/>
              </w:rPr>
              <w:t>数量</w:t>
            </w:r>
          </w:p>
        </w:tc>
      </w:tr>
      <w:tr>
        <w:tblPrEx>
          <w:tblCellMar>
            <w:top w:w="0" w:type="dxa"/>
            <w:left w:w="108" w:type="dxa"/>
            <w:bottom w:w="0" w:type="dxa"/>
            <w:right w:w="108"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独立式光电感烟火灾探测报警器(LoRa)</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NP-FY200（LoRa）</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【独立式光电感烟火灾探测报警器（LoRa）】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产品认证：CCCF强制认证</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通讯方式：LoRa通讯</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工作原理：光电式、热敏元件感温</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工作电压：DC3.0V（锂电池）</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工作电流：静态电流≤13μA，报警电流≤50mA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感温报警：定温57℃，差温约8℃/min</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报警方式：声光报警</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报警音量：≥85dB@3m（A计权）</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报警分类：火灾报警、低压报警、故障报警、防拆报警</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其他功能：自检按键、本地/远程消音</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电池设计寿命：5年（根据实际使用情况而定）</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使用环境：温度：-10℃～55℃， 相对湿度：≤95% （无凝露）</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 xml:space="preserve">外形尺寸：φ120×高度55.5（mm） </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重量：约200g</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安装方式：螺钉固定/背胶固定</w:t>
            </w:r>
          </w:p>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执行标准：GB20517-2006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173</w:t>
            </w:r>
          </w:p>
        </w:tc>
      </w:tr>
      <w:tr>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消防报警网关</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NP-G2 (有线网络版本)</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【LoRa消防网关】</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工作电压：DC12V</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上行通讯：以太网</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下行通讯：LoRa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下行频率：470MHz~510MHz</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外设接入数量：128个</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LoRa无线通讯性能：空旷场景1.5KM-2.0KM，普通墙体3~5面，承重墙1~2面，地下室1面</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报警声压：75dB（A）@1m</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 xml:space="preserve">备电：2500mAH 7.2V </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输出接口：1路RS232和RS485，2路继电器输出，1路RJ45网络接口，12V辅电输出口</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工作环境：工作温度：-10~55℃；工作湿度：≤95%RH（无凝露）</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重量：600g</w:t>
            </w:r>
          </w:p>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尺寸：228×36×134mm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8</w:t>
            </w:r>
          </w:p>
        </w:tc>
      </w:tr>
      <w:tr>
        <w:tblPrEx>
          <w:tblCellMar>
            <w:top w:w="0" w:type="dxa"/>
            <w:left w:w="108" w:type="dxa"/>
            <w:bottom w:w="0" w:type="dxa"/>
            <w:right w:w="108" w:type="dxa"/>
          </w:tblCellMar>
        </w:tblPrEx>
        <w:trPr>
          <w:trHeight w:val="4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CRT图形显示装置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HK-TX-1400（LoRa）</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【消防控制室图形显示装置】含桌面立式支架</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处理器：Intel Apollo Lake 平台处理器</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内存：4GB</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硬盘存储：64GB</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显示器分辨率：1366×768</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接口：音频输入接口：1路音频输入接口、1路音频输出接口、1个RS-232接口、4个RS-485接口、4个USB接口、1个本地GUI接口、2个以太网接口，支持双网隔离</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指示灯：7 个指示灯：传输（红色）、火警（红色）、启动（红色）、反</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馈（红色）、故障（黄色）、屏蔽（黄色）、运行（绿色）</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电源：AC220V，50Hz</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尺寸：446mm(长)×58mm(宽)×310mm(高)</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平均功耗：≤30W</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工作温度：0℃～40℃</w:t>
            </w:r>
          </w:p>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工作湿度：5%～95%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r>
      <w:tr>
        <w:tblPrEx>
          <w:tblCellMar>
            <w:top w:w="0" w:type="dxa"/>
            <w:left w:w="108" w:type="dxa"/>
            <w:bottom w:w="0" w:type="dxa"/>
            <w:right w:w="108" w:type="dxa"/>
          </w:tblCellMar>
        </w:tblPrEx>
        <w:trPr>
          <w:trHeight w:val="4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手动报警按钮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J-SAP-HK1104（LoRa）</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【手动报警按钮（Lora）】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电源：锂电池2400mAh，DC 3V</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电池使用寿命：5年（根据实际使用情况，电池寿命可能有所缩减）</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工作电流：待机状态≤5μA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工作原理：手动触发</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通讯方式：LoRa，双向FSK</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报警指示灯：1个，红色：报警， 黄色：故障，绿色：状态（通讯、信号、对码）</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支持钥匙复位、信号查询、防拆报警、欠压报警</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 xml:space="preserve">通讯性能：空旷场景1.5~2km ，普通墙体3~5堵， 沉重墙 1~2堵 ，地下室 1堵 </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报警输出：1路，继电器容量（24VDC /1A）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工作温度 报警状态≤60 mA"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工作湿度 -10℃ ~ 55℃</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尺寸 ≤95%</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外壳材质 L162mm*W112mm*H61mm</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重量 ABS，红色</w:t>
            </w:r>
          </w:p>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产品执行标准 GB 19880-2005《手动火灾报警按钮》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r>
      <w:tr>
        <w:tblPrEx>
          <w:tblCellMar>
            <w:top w:w="0" w:type="dxa"/>
            <w:left w:w="108" w:type="dxa"/>
            <w:bottom w:w="0" w:type="dxa"/>
            <w:right w:w="108" w:type="dxa"/>
          </w:tblCellMar>
        </w:tblPrEx>
        <w:trPr>
          <w:trHeight w:val="4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火灾声光警报器</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HK-SG-1124（LoRa）</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【声光报警器（Lora）】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供电：主电DC 12V 1A （已含）</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备电：锂电池CR17450 2400mAh，DC 3V"</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电池使用寿命：待机：5年（根据实际使用情况，电池寿命可能有所缩减）</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工作电流：待机状态≤5μA，报警状态≤100mA</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通讯方式：LoRa，双向FSK</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报警音量：≥85dB@3m（A计权）</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报警指示灯：1个，红色：报警， 黄色：故障，绿色：状态（通讯、信号、对码）</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闪光频率：1Hz～2Hz</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变调周期：3 s ~ 5 s</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 xml:space="preserve">通讯性能：空旷场景1.5~2km，普通墙体3~5堵，沉重墙 1~2堵。地下室1堵。 </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功能：信号查询、远程消警、防拆报警、欠压报警</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安装方式：壁装、表面安装</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工作温度：-10℃ ~ 55℃</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工作湿度：≤95%</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尺寸：L162mm*W112mm*H67mm</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外壳材质：ABS，红色</w:t>
            </w:r>
          </w:p>
          <w:p>
            <w:pPr>
              <w:widowControl/>
              <w:jc w:val="left"/>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产品执行标准：GB 26851-2011《火灾声和/或光警报器》</w:t>
            </w:r>
          </w:p>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安装方式：壁装、表面安装（室内）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r>
      <w:tr>
        <w:tblPrEx>
          <w:tblCellMar>
            <w:top w:w="0" w:type="dxa"/>
            <w:left w:w="108" w:type="dxa"/>
            <w:bottom w:w="0" w:type="dxa"/>
            <w:right w:w="108" w:type="dxa"/>
          </w:tblCellMar>
        </w:tblPrEx>
        <w:trPr>
          <w:trHeight w:val="4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安装费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1"/>
                <w:szCs w:val="21"/>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191</w:t>
            </w:r>
          </w:p>
        </w:tc>
      </w:tr>
      <w:tr>
        <w:tblPrEx>
          <w:tblCellMar>
            <w:top w:w="0" w:type="dxa"/>
            <w:left w:w="108" w:type="dxa"/>
            <w:bottom w:w="0" w:type="dxa"/>
            <w:right w:w="108" w:type="dxa"/>
          </w:tblCellMar>
        </w:tblPrEx>
        <w:trPr>
          <w:trHeight w:val="4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网线</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1"/>
                <w:szCs w:val="21"/>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800</w:t>
            </w:r>
          </w:p>
        </w:tc>
      </w:tr>
      <w:bookmarkEnd w:id="7"/>
      <w:bookmarkEnd w:id="8"/>
    </w:tbl>
    <w:p>
      <w:pPr>
        <w:pStyle w:val="5"/>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三、商务要求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（一）售后服务</w:t>
      </w:r>
    </w:p>
    <w:p>
      <w:pPr>
        <w:pStyle w:val="2"/>
        <w:pageBreakBefore w:val="0"/>
        <w:widowControl w:val="0"/>
        <w:kinsoku/>
        <w:wordWrap/>
        <w:overflowPunct/>
        <w:topLinePunct w:val="0"/>
        <w:autoSpaceDE/>
        <w:autoSpaceDN/>
        <w:bidi w:val="0"/>
        <w:adjustRightInd/>
        <w:snapToGrid/>
        <w:spacing w:line="460" w:lineRule="exact"/>
        <w:ind w:firstLine="560"/>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所有软硬件设备提供3年免费质保，软件版本免费升级（ 其中如遇软件系统检测出安全漏洞，8小时内给出应急解决方案，72小时内彻底修补系统漏洞）。</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（二）交货期及交货地点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1.供货时间：合同签订之日起20天内安装调试完毕。</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2.供货地点：采购人指定供货地点。</w:t>
      </w:r>
    </w:p>
    <w:p>
      <w:pPr>
        <w:pStyle w:val="2"/>
        <w:pageBreakBefore w:val="0"/>
        <w:widowControl w:val="0"/>
        <w:kinsoku/>
        <w:wordWrap/>
        <w:overflowPunct/>
        <w:topLinePunct w:val="0"/>
        <w:autoSpaceDE/>
        <w:autoSpaceDN/>
        <w:bidi w:val="0"/>
        <w:adjustRightInd/>
        <w:snapToGrid/>
        <w:spacing w:line="4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合同签订设备到场验收合格，安装调试完毕，经采购人验收合格支付合同价款的90%，验收合格一年后支付合同价款的10% 。</w:t>
      </w:r>
    </w:p>
    <w:p>
      <w:pPr>
        <w:pStyle w:val="2"/>
        <w:pageBreakBefore w:val="0"/>
        <w:widowControl w:val="0"/>
        <w:kinsoku/>
        <w:wordWrap/>
        <w:overflowPunct/>
        <w:topLinePunct w:val="0"/>
        <w:autoSpaceDE/>
        <w:autoSpaceDN/>
        <w:bidi w:val="0"/>
        <w:adjustRightInd/>
        <w:snapToGrid/>
        <w:spacing w:line="46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（四）项目交付</w:t>
      </w:r>
    </w:p>
    <w:p>
      <w:pPr>
        <w:pStyle w:val="2"/>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方正仿宋_GBK" w:hAnsi="方正仿宋_GBK" w:eastAsia="方正仿宋_GBK" w:cs="方正仿宋_GBK"/>
          <w:sz w:val="28"/>
          <w:szCs w:val="28"/>
        </w:rPr>
        <w:t>本项目为整体交付工程，即采购人仅支付一次性费用，投标人有义务在投标前自行勘察现场情况，总报价需完整包含货物供应、运输、保险、税费、技术服务、技术咨询、知识产权、安全评估、产品检测、售后服务以及其他不可预见但可能产生的费用，并自行承担其风险与责任。</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第四章 评审方法和程序</w:t>
      </w:r>
    </w:p>
    <w:p>
      <w:pPr>
        <w:pStyle w:val="210"/>
        <w:keepNext w:val="0"/>
        <w:keepLines w:val="0"/>
        <w:pageBreakBefore w:val="0"/>
        <w:widowControl w:val="0"/>
        <w:kinsoku/>
        <w:wordWrap/>
        <w:overflowPunct/>
        <w:topLinePunct w:val="0"/>
        <w:bidi w:val="0"/>
        <w:adjustRightInd w:val="0"/>
        <w:snapToGrid w:val="0"/>
        <w:spacing w:before="0" w:after="0" w:line="460" w:lineRule="exact"/>
        <w:ind w:left="0" w:right="0" w:firstLine="562" w:firstLineChars="200"/>
        <w:jc w:val="left"/>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
          <w:kern w:val="2"/>
          <w:sz w:val="28"/>
          <w:szCs w:val="28"/>
        </w:rPr>
        <w:t>一、开标</w:t>
      </w:r>
    </w:p>
    <w:p>
      <w:pPr>
        <w:keepNext w:val="0"/>
        <w:keepLines w:val="0"/>
        <w:pageBreakBefore w:val="0"/>
        <w:widowControl w:val="0"/>
        <w:tabs>
          <w:tab w:val="left" w:pos="3585"/>
        </w:tabs>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现场开标模式：开标地点为江苏省南通卫生高等职业技术学校。</w:t>
      </w:r>
    </w:p>
    <w:p>
      <w:pPr>
        <w:pStyle w:val="210"/>
        <w:keepNext w:val="0"/>
        <w:keepLines w:val="0"/>
        <w:pageBreakBefore w:val="0"/>
        <w:widowControl w:val="0"/>
        <w:kinsoku/>
        <w:wordWrap/>
        <w:overflowPunct/>
        <w:topLinePunct w:val="0"/>
        <w:bidi w:val="0"/>
        <w:adjustRightInd w:val="0"/>
        <w:snapToGrid w:val="0"/>
        <w:spacing w:before="0" w:after="0" w:line="460" w:lineRule="exact"/>
        <w:ind w:left="0" w:right="0" w:firstLine="562" w:firstLineChars="200"/>
        <w:jc w:val="left"/>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
          <w:kern w:val="2"/>
          <w:sz w:val="28"/>
          <w:szCs w:val="28"/>
        </w:rPr>
        <w:t>二、评标流程和评标标准</w:t>
      </w:r>
    </w:p>
    <w:p>
      <w:pPr>
        <w:keepNext w:val="0"/>
        <w:keepLines w:val="0"/>
        <w:pageBreakBefore w:val="0"/>
        <w:widowControl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采用综合评分法。分资格审查、商务技术标、价格标、三部分评审，总分值为100分，加分和减分因素除外。</w:t>
      </w:r>
    </w:p>
    <w:p>
      <w:pPr>
        <w:keepNext w:val="0"/>
        <w:keepLines w:val="0"/>
        <w:pageBreakBefore w:val="0"/>
        <w:widowControl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pPr>
        <w:keepNext w:val="0"/>
        <w:keepLines w:val="0"/>
        <w:pageBreakBefore w:val="0"/>
        <w:widowControl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keepNext w:val="0"/>
        <w:keepLines w:val="0"/>
        <w:pageBreakBefore w:val="0"/>
        <w:widowControl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评委在认真审阅投标文件的基础上，根据各投标文件的响应程度独立评判，不得统一打分。</w:t>
      </w:r>
    </w:p>
    <w:p>
      <w:pPr>
        <w:keepNext w:val="0"/>
        <w:keepLines w:val="0"/>
        <w:pageBreakBefore w:val="0"/>
        <w:widowControl w:val="0"/>
        <w:kinsoku/>
        <w:wordWrap/>
        <w:overflowPunct/>
        <w:topLinePunct w:val="0"/>
        <w:bidi w:val="0"/>
        <w:adjustRightInd w:val="0"/>
        <w:snapToGrid w:val="0"/>
        <w:spacing w:line="4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（一）招标人（代表）对投标人资格进行审查。</w:t>
      </w:r>
    </w:p>
    <w:p>
      <w:pPr>
        <w:pStyle w:val="126"/>
        <w:keepNext w:val="0"/>
        <w:keepLines w:val="0"/>
        <w:pageBreakBefore w:val="0"/>
        <w:widowControl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投标人资格不合格的，其投标文件判定为无效投标文件。</w:t>
      </w:r>
    </w:p>
    <w:p>
      <w:pPr>
        <w:keepNext w:val="0"/>
        <w:keepLines w:val="0"/>
        <w:pageBreakBefore w:val="0"/>
        <w:widowControl w:val="0"/>
        <w:kinsoku/>
        <w:wordWrap/>
        <w:overflowPunct/>
        <w:topLinePunct w:val="0"/>
        <w:bidi w:val="0"/>
        <w:adjustRightInd w:val="0"/>
        <w:snapToGrid w:val="0"/>
        <w:spacing w:line="460" w:lineRule="exact"/>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（二）评标委员会对符合资格投标人的投标文件进行符合性审查。</w:t>
      </w:r>
    </w:p>
    <w:p>
      <w:pPr>
        <w:pStyle w:val="126"/>
        <w:keepNext w:val="0"/>
        <w:keepLines w:val="0"/>
        <w:pageBreakBefore w:val="0"/>
        <w:widowControl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未通过符合性审查的投标文件，将被判为不满足招标文件实质性要求。 </w:t>
      </w:r>
    </w:p>
    <w:p>
      <w:pPr>
        <w:keepNext w:val="0"/>
        <w:keepLines w:val="0"/>
        <w:pageBreakBefore w:val="0"/>
        <w:widowControl w:val="0"/>
        <w:kinsoku/>
        <w:wordWrap/>
        <w:overflowPunct/>
        <w:topLinePunct w:val="0"/>
        <w:bidi w:val="0"/>
        <w:adjustRightInd w:val="0"/>
        <w:snapToGrid w:val="0"/>
        <w:spacing w:line="460" w:lineRule="exact"/>
        <w:ind w:firstLine="562" w:firstLineChars="200"/>
        <w:jc w:val="left"/>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zh-CN"/>
        </w:rPr>
        <w:t>三</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zh-CN"/>
        </w:rPr>
        <w:t>商务技术分</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各投标人得分为评委会成员评分的算术平均分，分值保留小数点后两位。</w:t>
      </w:r>
    </w:p>
    <w:tbl>
      <w:tblPr>
        <w:tblW w:w="8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10"/>
        <w:gridCol w:w="1385"/>
        <w:gridCol w:w="788"/>
        <w:gridCol w:w="5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 xml:space="preserve">序号 </w:t>
            </w:r>
          </w:p>
        </w:tc>
        <w:tc>
          <w:tcPr>
            <w:tcW w:w="1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 xml:space="preserve">评分点名称 </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分值</w:t>
            </w:r>
          </w:p>
        </w:tc>
        <w:tc>
          <w:tcPr>
            <w:tcW w:w="5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1" w:hRule="atLeast"/>
          <w:jc w:val="center"/>
        </w:trPr>
        <w:tc>
          <w:tcPr>
            <w:tcW w:w="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企业资质</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6分</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投标人提供本企业ISO9001质量管理体系认证、ISO14001环境管理体系认证、ISO45001职业健康安全管理体系认证，并在有效期内通过年检的，能够提供上述证书的每个得2分。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2" w:hRule="atLeast"/>
          <w:jc w:val="center"/>
        </w:trPr>
        <w:tc>
          <w:tcPr>
            <w:tcW w:w="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类似业绩</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12分</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投标人提供近三年来（2019年9月至今，以合同签订时间为准）成交的项目案例业绩证明材料，需同时提供采购合同复印件。</w:t>
            </w: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投标人提供的业绩证明材料在满足上述条件的前提下，每提供一项业绩证明材料得2分，最多得12分。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2" w:hRule="atLeast"/>
          <w:jc w:val="center"/>
        </w:trPr>
        <w:tc>
          <w:tcPr>
            <w:tcW w:w="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参数、配置、功能、服务内容</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20分</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对照投标人所投产品参数、配置、功能、服务内容，满足招标文件要求，全部响应招标文件要求并能提供相应产品检测报告或产品说明书等证明材料的得20分，每有一项不满足的扣1分，扣完为止。</w:t>
            </w: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注：投标人需按照招标文件要求如实填写技术偏离表,参数要求提供相应产品检测报告或产品说明书等证明材料，未提供的作负偏离处理。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6" w:hRule="atLeast"/>
          <w:jc w:val="center"/>
        </w:trPr>
        <w:tc>
          <w:tcPr>
            <w:tcW w:w="9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实施技术方案</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15</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评委根据实施技术方案的科学性、合理性、针对性进行综合评审。投标人针对本项目要求提供详尽的实施技术方案，包括但不限于以下要求：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1" w:hRule="atLeast"/>
          <w:jc w:val="center"/>
        </w:trPr>
        <w:tc>
          <w:tcPr>
            <w:tcW w:w="9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（1）项目周期与进度规划</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5</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①项目周期与进度规划。优秀的得5分，一般的得3分，较差或不提供的不得分。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 w:hRule="atLeast"/>
          <w:jc w:val="center"/>
        </w:trPr>
        <w:tc>
          <w:tcPr>
            <w:tcW w:w="9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（2）拟投入实施人员组织与分工安排</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3</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②拟投入实施人员组织与分工安排。优秀的得3分，良好的得2分，一般的得1分，较差或不提供的不得分。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6" w:hRule="atLeast"/>
          <w:jc w:val="center"/>
        </w:trPr>
        <w:tc>
          <w:tcPr>
            <w:tcW w:w="9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（3）项目实施管理、质量保障措施以及项目优化建议</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4</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③项目实施管理、质量保障措施以及项目优化建议。优秀的得4分，良好的得2分，一般的得1分，较差或不提供的不得分。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6" w:hRule="atLeast"/>
          <w:jc w:val="center"/>
        </w:trPr>
        <w:tc>
          <w:tcPr>
            <w:tcW w:w="9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（4）安全、文明施工方案，项目调试、验收方案等</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3</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④安全、文明施工方案，项目调试、验收方案等。优秀的得3分，良好的得2分，一般的得1分，较差或不提供的不得分。</w:t>
            </w:r>
            <w:bookmarkStart w:id="13" w:name="_GoBack"/>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7" w:hRule="atLeast"/>
          <w:jc w:val="center"/>
        </w:trPr>
        <w:tc>
          <w:tcPr>
            <w:tcW w:w="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售后服务</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7分</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投标人针对本项目要求提供详尽的售后服务计划，针对本项目在售后服务、培训、技术支持等方面有切实可行的方案和具体措施，包括但不限于培训方案、维护的时间区间、周期和详细规划、服务请求的方式、流程等。评委根据响应情况进行综合评审，优秀得6-7分，良好得4-5分，一般得2-3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6" w:hRule="atLeast"/>
          <w:jc w:val="center"/>
        </w:trPr>
        <w:tc>
          <w:tcPr>
            <w:tcW w:w="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管理平台</w:t>
            </w: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10分</w:t>
            </w:r>
          </w:p>
        </w:tc>
        <w:tc>
          <w:tcPr>
            <w:tcW w:w="5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具备综合管理平台软件及消防维保管理平台，最高10分。提供相关证明资料并加盖投标单位公章。</w:t>
            </w:r>
          </w:p>
        </w:tc>
      </w:tr>
    </w:tbl>
    <w:p/>
    <w:p>
      <w:pPr>
        <w:pStyle w:val="2"/>
      </w:pP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562" w:firstLineChars="200"/>
        <w:textAlignment w:val="auto"/>
        <w:rPr>
          <w:rFonts w:hint="eastAsia" w:ascii="方正仿宋_GBK" w:hAnsi="方正仿宋_GBK" w:eastAsia="方正仿宋_GBK" w:cs="方正仿宋_GBK"/>
          <w:sz w:val="28"/>
          <w:szCs w:val="28"/>
        </w:rPr>
      </w:pPr>
      <w:bookmarkStart w:id="9" w:name="_Toc182849073"/>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b/>
          <w:sz w:val="28"/>
          <w:szCs w:val="28"/>
          <w:lang w:val="zh-CN"/>
        </w:rPr>
        <w:t>价格分</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分</w:t>
      </w:r>
    </w:p>
    <w:p>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价格分统一采用低价优先法计算，即满足招标文件要求且投标价格最低的投标报价为评标基准价，其价格分为满分。其他投标人的价格分统一按照下列公式计算：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投标报价得分=（评标基准价/投标报价）×价格权值×100</w:t>
      </w:r>
    </w:p>
    <w:p>
      <w:pPr>
        <w:keepNext w:val="0"/>
        <w:keepLines w:val="0"/>
        <w:pageBreakBefore w:val="0"/>
        <w:widowControl w:val="0"/>
        <w:kinsoku/>
        <w:wordWrap/>
        <w:overflowPunct/>
        <w:topLinePunct w:val="0"/>
        <w:bidi w:val="0"/>
        <w:adjustRightInd w:val="0"/>
        <w:snapToGrid w:val="0"/>
        <w:spacing w:line="460" w:lineRule="exact"/>
        <w:ind w:firstLine="562"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sz w:val="28"/>
          <w:szCs w:val="28"/>
        </w:rPr>
        <w:t>（五）中标人的确定</w:t>
      </w:r>
    </w:p>
    <w:p>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评委会汇总各评委评分后，按照得分从高到低的顺序推荐三名中标候选人，并编写评标报告。</w:t>
      </w:r>
    </w:p>
    <w:p>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招标人委托评标委员会直接确定排名第一的中标候选人为中标人。</w:t>
      </w:r>
    </w:p>
    <w:p>
      <w:pPr>
        <w:keepNext w:val="0"/>
        <w:keepLines w:val="0"/>
        <w:pageBreakBefore w:val="0"/>
        <w:widowControl w:val="0"/>
        <w:kinsoku/>
        <w:wordWrap/>
        <w:overflowPunct/>
        <w:topLinePunct w:val="0"/>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（六）招标人代表宣布评标结果。</w:t>
      </w:r>
    </w:p>
    <w:p>
      <w:pPr>
        <w:keepNext w:val="0"/>
        <w:keepLines w:val="0"/>
        <w:pageBreakBefore w:val="0"/>
        <w:widowControl w:val="0"/>
        <w:kinsoku/>
        <w:wordWrap/>
        <w:overflowPunct/>
        <w:topLinePunct w:val="0"/>
        <w:bidi w:val="0"/>
        <w:adjustRightInd w:val="0"/>
        <w:snapToGrid w:val="0"/>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（七）公告中标结果</w:t>
      </w:r>
    </w:p>
    <w:p>
      <w:pPr>
        <w:keepNext w:val="0"/>
        <w:keepLines w:val="0"/>
        <w:pageBreakBefore w:val="0"/>
        <w:kinsoku/>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自确定中标人之日起2个工作日内，在江苏省南通卫生高等职业技术学校与南通市卫生健康委员会网站公告中标结果，公告期限为1个工作日。</w:t>
      </w:r>
    </w:p>
    <w:p>
      <w:pPr>
        <w:keepNext w:val="0"/>
        <w:keepLines w:val="0"/>
        <w:pageBreakBefore w:val="0"/>
        <w:widowControl w:val="0"/>
        <w:kinsoku/>
        <w:wordWrap/>
        <w:overflowPunct/>
        <w:topLinePunct w:val="0"/>
        <w:bidi w:val="0"/>
        <w:adjustRightInd w:val="0"/>
        <w:snapToGrid w:val="0"/>
        <w:spacing w:line="46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bCs/>
          <w:sz w:val="28"/>
          <w:szCs w:val="28"/>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bCs/>
          <w:sz w:val="28"/>
          <w:szCs w:val="28"/>
        </w:rPr>
        <w:t>发放中标通知书</w:t>
      </w:r>
    </w:p>
    <w:p>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公告中标结果的同时，招标人</w:t>
      </w:r>
      <w:r>
        <w:rPr>
          <w:rFonts w:hint="eastAsia" w:ascii="方正仿宋_GBK" w:hAnsi="方正仿宋_GBK" w:eastAsia="方正仿宋_GBK" w:cs="方正仿宋_GBK"/>
          <w:bCs/>
          <w:sz w:val="28"/>
          <w:szCs w:val="28"/>
        </w:rPr>
        <w:t>向中标供应商发放中标通知书。</w:t>
      </w:r>
    </w:p>
    <w:p>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中标通知书发出后，招标人不得违法改变中标结果，中标供应商无正当理由不得放弃中标。</w:t>
      </w:r>
    </w:p>
    <w:p>
      <w:pPr>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宋体" w:hAnsi="宋体" w:cs="宋体"/>
          <w:b/>
          <w:sz w:val="36"/>
          <w:szCs w:val="36"/>
        </w:rPr>
        <w:br w:type="page"/>
      </w:r>
      <w:r>
        <w:rPr>
          <w:rFonts w:hint="eastAsia" w:ascii="仿宋" w:hAnsi="仿宋" w:eastAsia="仿宋" w:cs="仿宋"/>
          <w:b/>
          <w:color w:val="000000" w:themeColor="text1"/>
          <w:sz w:val="36"/>
          <w:szCs w:val="36"/>
          <w14:textFill>
            <w14:solidFill>
              <w14:schemeClr w14:val="tx1"/>
            </w14:solidFill>
          </w14:textFill>
        </w:rPr>
        <w:t>第五章 合同主要条款</w:t>
      </w:r>
    </w:p>
    <w:p>
      <w:pPr>
        <w:spacing w:line="480" w:lineRule="exact"/>
        <w:ind w:firstLine="562" w:firstLineChars="200"/>
        <w:jc w:val="center"/>
        <w:rPr>
          <w:rFonts w:ascii="仿宋" w:hAnsi="仿宋" w:eastAsia="仿宋" w:cs="仿宋"/>
          <w:b/>
          <w:sz w:val="28"/>
          <w:szCs w:val="24"/>
        </w:rPr>
      </w:pPr>
      <w:r>
        <w:rPr>
          <w:rFonts w:hint="eastAsia" w:ascii="仿宋" w:hAnsi="仿宋" w:eastAsia="仿宋" w:cs="仿宋"/>
          <w:b/>
          <w:sz w:val="28"/>
          <w:szCs w:val="24"/>
          <w:lang w:eastAsia="zh-CN"/>
        </w:rPr>
        <w:t>江苏省南通卫生高等职业技术学校海安校区智慧消防系统采购安装项目</w:t>
      </w:r>
      <w:r>
        <w:rPr>
          <w:rFonts w:hint="eastAsia" w:ascii="仿宋" w:hAnsi="仿宋" w:eastAsia="仿宋" w:cs="仿宋"/>
          <w:b/>
          <w:sz w:val="28"/>
          <w:szCs w:val="24"/>
        </w:rPr>
        <w:t>合同</w:t>
      </w:r>
    </w:p>
    <w:p>
      <w:pPr>
        <w:rPr>
          <w:rFonts w:ascii="仿宋" w:hAnsi="仿宋" w:eastAsia="仿宋" w:cs="仿宋"/>
          <w:color w:val="1A1A1A" w:themeColor="background1" w:themeShade="1A"/>
          <w:sz w:val="24"/>
          <w:szCs w:val="24"/>
        </w:rPr>
      </w:pPr>
    </w:p>
    <w:p>
      <w:pPr>
        <w:wordWrap w:val="0"/>
        <w:spacing w:line="460" w:lineRule="exact"/>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pacing w:val="46"/>
          <w:sz w:val="28"/>
          <w:szCs w:val="28"/>
        </w:rPr>
        <w:t>采购人</w:t>
      </w:r>
      <w:r>
        <w:rPr>
          <w:rFonts w:hint="eastAsia" w:ascii="方正仿宋_GBK" w:hAnsi="方正仿宋_GBK" w:eastAsia="方正仿宋_GBK" w:cs="方正仿宋_GBK"/>
          <w:sz w:val="28"/>
          <w:szCs w:val="28"/>
        </w:rPr>
        <w:t>（或称甲方）：</w:t>
      </w:r>
    </w:p>
    <w:p>
      <w:pPr>
        <w:wordWrap w:val="0"/>
        <w:spacing w:line="460" w:lineRule="exact"/>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中标供应商（或称乙方）：</w:t>
      </w:r>
    </w:p>
    <w:p>
      <w:pPr>
        <w:spacing w:line="4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pPr>
        <w:wordWrap w:val="0"/>
        <w:spacing w:line="460" w:lineRule="exact"/>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签订地点：</w:t>
      </w:r>
    </w:p>
    <w:p>
      <w:pPr>
        <w:spacing w:line="4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根据《政府采购法》、《民法典》及（项目名称）</w:t>
      </w:r>
      <w:r>
        <w:rPr>
          <w:rFonts w:hint="eastAsia" w:ascii="方正仿宋_GBK" w:hAnsi="方正仿宋_GBK" w:eastAsia="方正仿宋_GBK" w:cs="方正仿宋_GBK"/>
          <w:sz w:val="28"/>
          <w:szCs w:val="28"/>
          <w:u w:val="single"/>
        </w:rPr>
        <w:t>采购</w:t>
      </w:r>
      <w:r>
        <w:rPr>
          <w:rFonts w:hint="eastAsia" w:ascii="方正仿宋_GBK" w:hAnsi="方正仿宋_GBK" w:eastAsia="方正仿宋_GBK" w:cs="方正仿宋_GBK"/>
          <w:sz w:val="28"/>
          <w:szCs w:val="28"/>
        </w:rPr>
        <w:t>项目(采购编号：)的采购结果、采购文件及投标文件，经双方协商一致，签订本合同。</w:t>
      </w:r>
    </w:p>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一、合同的标的物</w:t>
      </w:r>
    </w:p>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1.1甲方向乙方采购标的物</w:t>
      </w:r>
    </w:p>
    <w:tbl>
      <w:tblPr>
        <w:tblStyle w:val="54"/>
        <w:tblW w:w="0" w:type="auto"/>
        <w:tblInd w:w="0" w:type="dxa"/>
        <w:tblLayout w:type="fixed"/>
        <w:tblCellMar>
          <w:top w:w="0" w:type="dxa"/>
          <w:left w:w="10" w:type="dxa"/>
          <w:bottom w:w="0" w:type="dxa"/>
          <w:right w:w="10" w:type="dxa"/>
        </w:tblCellMar>
      </w:tblPr>
      <w:tblGrid>
        <w:gridCol w:w="1411"/>
        <w:gridCol w:w="2448"/>
        <w:gridCol w:w="943"/>
        <w:gridCol w:w="814"/>
        <w:gridCol w:w="950"/>
        <w:gridCol w:w="814"/>
        <w:gridCol w:w="1382"/>
      </w:tblGrid>
      <w:tr>
        <w:tblPrEx>
          <w:tblCellMar>
            <w:top w:w="0" w:type="dxa"/>
            <w:left w:w="10" w:type="dxa"/>
            <w:bottom w:w="0" w:type="dxa"/>
            <w:right w:w="10" w:type="dxa"/>
          </w:tblCellMar>
        </w:tblPrEx>
        <w:trPr>
          <w:trHeight w:val="943" w:hRule="exact"/>
        </w:trPr>
        <w:tc>
          <w:tcPr>
            <w:tcW w:w="1411"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货物品名</w:t>
            </w:r>
          </w:p>
        </w:tc>
        <w:tc>
          <w:tcPr>
            <w:tcW w:w="2448"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规格型号</w:t>
            </w:r>
          </w:p>
        </w:tc>
        <w:tc>
          <w:tcPr>
            <w:tcW w:w="943"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w:t>
            </w: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950"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单价</w:t>
            </w:r>
          </w:p>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总价</w:t>
            </w:r>
          </w:p>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1382" w:type="dxa"/>
            <w:tcBorders>
              <w:top w:val="single" w:color="auto" w:sz="4" w:space="0"/>
              <w:left w:val="single" w:color="auto" w:sz="4" w:space="0"/>
              <w:righ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r>
      <w:tr>
        <w:tblPrEx>
          <w:tblCellMar>
            <w:top w:w="0" w:type="dxa"/>
            <w:left w:w="10" w:type="dxa"/>
            <w:bottom w:w="0" w:type="dxa"/>
            <w:right w:w="10" w:type="dxa"/>
          </w:tblCellMar>
        </w:tblPrEx>
        <w:trPr>
          <w:trHeight w:val="900" w:hRule="exact"/>
        </w:trPr>
        <w:tc>
          <w:tcPr>
            <w:tcW w:w="1411"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2448"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943"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950"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1382" w:type="dxa"/>
            <w:tcBorders>
              <w:top w:val="single" w:color="auto" w:sz="4" w:space="0"/>
              <w:left w:val="single" w:color="auto" w:sz="4" w:space="0"/>
              <w:righ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r>
      <w:tr>
        <w:tblPrEx>
          <w:tblCellMar>
            <w:top w:w="0" w:type="dxa"/>
            <w:left w:w="10" w:type="dxa"/>
            <w:bottom w:w="0" w:type="dxa"/>
            <w:right w:w="10" w:type="dxa"/>
          </w:tblCellMar>
        </w:tblPrEx>
        <w:trPr>
          <w:trHeight w:val="612" w:hRule="exact"/>
        </w:trPr>
        <w:tc>
          <w:tcPr>
            <w:tcW w:w="1411"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2448" w:type="dxa"/>
            <w:tcBorders>
              <w:top w:val="single" w:color="auto" w:sz="4" w:space="0"/>
              <w:left w:val="single" w:color="auto" w:sz="4" w:space="0"/>
            </w:tcBorders>
            <w:shd w:val="clear" w:color="auto" w:fill="FFFFFF"/>
            <w:noWrap/>
          </w:tcPr>
          <w:p>
            <w:pPr>
              <w:pStyle w:val="211"/>
              <w:spacing w:line="460" w:lineRule="exact"/>
              <w:ind w:firstLine="0"/>
              <w:jc w:val="center"/>
              <w:rPr>
                <w:rFonts w:hint="eastAsia" w:ascii="方正仿宋_GBK" w:hAnsi="方正仿宋_GBK" w:eastAsia="方正仿宋_GBK" w:cs="方正仿宋_GBK"/>
                <w:sz w:val="28"/>
                <w:szCs w:val="28"/>
              </w:rPr>
            </w:pPr>
          </w:p>
        </w:tc>
        <w:tc>
          <w:tcPr>
            <w:tcW w:w="943"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950"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1382" w:type="dxa"/>
            <w:tcBorders>
              <w:top w:val="single" w:color="auto" w:sz="4" w:space="0"/>
              <w:left w:val="single" w:color="auto" w:sz="4" w:space="0"/>
              <w:righ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r>
      <w:tr>
        <w:tblPrEx>
          <w:tblCellMar>
            <w:top w:w="0" w:type="dxa"/>
            <w:left w:w="10" w:type="dxa"/>
            <w:bottom w:w="0" w:type="dxa"/>
            <w:right w:w="10" w:type="dxa"/>
          </w:tblCellMar>
        </w:tblPrEx>
        <w:trPr>
          <w:trHeight w:val="626" w:hRule="exact"/>
        </w:trPr>
        <w:tc>
          <w:tcPr>
            <w:tcW w:w="1411"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2448" w:type="dxa"/>
            <w:tcBorders>
              <w:top w:val="single" w:color="auto" w:sz="4" w:space="0"/>
              <w:left w:val="single" w:color="auto" w:sz="4" w:space="0"/>
            </w:tcBorders>
            <w:shd w:val="clear" w:color="auto" w:fill="FFFFFF"/>
            <w:noWrap/>
          </w:tcPr>
          <w:p>
            <w:pPr>
              <w:pStyle w:val="211"/>
              <w:spacing w:line="460" w:lineRule="exact"/>
              <w:ind w:firstLine="0"/>
              <w:jc w:val="center"/>
              <w:rPr>
                <w:rFonts w:hint="eastAsia" w:ascii="方正仿宋_GBK" w:hAnsi="方正仿宋_GBK" w:eastAsia="方正仿宋_GBK" w:cs="方正仿宋_GBK"/>
                <w:sz w:val="28"/>
                <w:szCs w:val="28"/>
              </w:rPr>
            </w:pPr>
          </w:p>
        </w:tc>
        <w:tc>
          <w:tcPr>
            <w:tcW w:w="943"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950"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1382" w:type="dxa"/>
            <w:tcBorders>
              <w:top w:val="single" w:color="auto" w:sz="4" w:space="0"/>
              <w:left w:val="single" w:color="auto" w:sz="4" w:space="0"/>
              <w:righ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r>
      <w:tr>
        <w:tblPrEx>
          <w:tblCellMar>
            <w:top w:w="0" w:type="dxa"/>
            <w:left w:w="10" w:type="dxa"/>
            <w:bottom w:w="0" w:type="dxa"/>
            <w:right w:w="10" w:type="dxa"/>
          </w:tblCellMar>
        </w:tblPrEx>
        <w:trPr>
          <w:trHeight w:val="626" w:hRule="exact"/>
        </w:trPr>
        <w:tc>
          <w:tcPr>
            <w:tcW w:w="1411" w:type="dxa"/>
            <w:tcBorders>
              <w:top w:val="single" w:color="auto" w:sz="4" w:space="0"/>
              <w:left w:val="single" w:color="auto" w:sz="4" w:space="0"/>
              <w:bottom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2448" w:type="dxa"/>
            <w:tcBorders>
              <w:top w:val="single" w:color="auto" w:sz="4" w:space="0"/>
              <w:left w:val="single" w:color="auto" w:sz="4" w:space="0"/>
              <w:bottom w:val="single" w:color="auto" w:sz="4" w:space="0"/>
            </w:tcBorders>
            <w:shd w:val="clear" w:color="auto" w:fill="FFFFFF"/>
            <w:noWrap/>
          </w:tcPr>
          <w:p>
            <w:pPr>
              <w:pStyle w:val="211"/>
              <w:spacing w:line="460" w:lineRule="exact"/>
              <w:ind w:firstLine="0"/>
              <w:jc w:val="center"/>
              <w:rPr>
                <w:rFonts w:hint="eastAsia" w:ascii="方正仿宋_GBK" w:hAnsi="方正仿宋_GBK" w:eastAsia="方正仿宋_GBK" w:cs="方正仿宋_GBK"/>
                <w:sz w:val="28"/>
                <w:szCs w:val="28"/>
              </w:rPr>
            </w:pPr>
          </w:p>
        </w:tc>
        <w:tc>
          <w:tcPr>
            <w:tcW w:w="943" w:type="dxa"/>
            <w:tcBorders>
              <w:top w:val="single" w:color="auto" w:sz="4" w:space="0"/>
              <w:left w:val="single" w:color="auto" w:sz="4" w:space="0"/>
              <w:bottom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bottom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950" w:type="dxa"/>
            <w:tcBorders>
              <w:top w:val="single" w:color="auto" w:sz="4" w:space="0"/>
              <w:left w:val="single" w:color="auto" w:sz="4" w:space="0"/>
              <w:bottom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814" w:type="dxa"/>
            <w:tcBorders>
              <w:top w:val="single" w:color="auto" w:sz="4" w:space="0"/>
              <w:left w:val="single" w:color="auto" w:sz="4" w:space="0"/>
              <w:bottom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c>
          <w:tcPr>
            <w:tcW w:w="1382"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11"/>
              <w:spacing w:line="460" w:lineRule="exact"/>
              <w:ind w:firstLine="0"/>
              <w:jc w:val="center"/>
              <w:rPr>
                <w:rFonts w:hint="eastAsia" w:ascii="方正仿宋_GBK" w:hAnsi="方正仿宋_GBK" w:eastAsia="方正仿宋_GBK" w:cs="方正仿宋_GBK"/>
                <w:sz w:val="28"/>
                <w:szCs w:val="28"/>
              </w:rPr>
            </w:pPr>
          </w:p>
        </w:tc>
      </w:tr>
    </w:tbl>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注：具体的品种规格要求详见投标文件。</w:t>
      </w:r>
    </w:p>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 乙方对提供的标的物应当拥有完整的物权，并且负有保证第三人不得向甲方主张任何权利（包括知识产权）的义务。</w:t>
      </w:r>
    </w:p>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1.3项目需对照采购文件中项目需求中的内容要求进行验收。</w:t>
      </w:r>
    </w:p>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二、合同价格与支付</w:t>
      </w:r>
    </w:p>
    <w:p>
      <w:pPr>
        <w:snapToGrid w:val="0"/>
        <w:spacing w:line="460" w:lineRule="exact"/>
        <w:ind w:firstLine="57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2.1 合同价格按此次成交价格执行，合同总金额为人民币，</w:t>
      </w:r>
      <w:r>
        <w:rPr>
          <w:rFonts w:hint="eastAsia" w:ascii="方正仿宋_GBK" w:hAnsi="方正仿宋_GBK" w:eastAsia="方正仿宋_GBK" w:cs="方正仿宋_GBK"/>
          <w:bCs/>
          <w:sz w:val="28"/>
          <w:szCs w:val="28"/>
        </w:rPr>
        <w:t>包含所有产品及其备品、备件和专用工具费用、税费（如关税、货物及其所用原材料、零部件的各种国内外税费）及包装、运至最终目的地的运输、保险、检测验收、安装、调试、技术支持与培训、售后服务与维保、其他费用（含售后培训、产品维护、招标代理服务费等）及相关劳务支出等工作所发生的全部费用以及供应商企业利润、税金和政策性文件规定及合同包含的所有风险、责任等各项应有费用，即项目交付使用前的所有费用以及交付时和交付使用后的免保期内的费用等，同时还包含为完成本项目所必须的其他辅助工作的相关费用及响应招标文件要求的所有费用，同时投标人所报的综合单价在合同实施期间不因市场变化因素而变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rPr>
        <w:t>2.2付款方式：</w:t>
      </w:r>
      <w:r>
        <w:rPr>
          <w:rFonts w:hint="eastAsia" w:ascii="方正仿宋_GBK" w:hAnsi="方正仿宋_GBK" w:eastAsia="方正仿宋_GBK" w:cs="方正仿宋_GBK"/>
          <w:sz w:val="28"/>
          <w:szCs w:val="28"/>
        </w:rPr>
        <w:t>合同签订设备到场验收合格，安装调试完毕，经</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验收合格支付合同价款的90%，验收合格一年后支付合同价款的10% 。</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 乙方按期交货后向甲方结算货款时须提供下列单据：质量保证书及随产品附带的所有有关资料、甲方盖章签收后的运货回单和验收合格证明。</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 根据现行税法对甲方征收的与本合同有关的一切税费均由甲方承担；根据现行税法对乙方征收的与本合同有关的一切税费均由乙方承担。</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 支付（结算）方式：由甲方通知乙方提交相关发票并至学校办理支付手续，支付（结算）中心在各项手续、票据齐全的情况下完成对外支付。</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2.6成交供应商全部履约合同义务，经采购单位验收合格无质量、进度等问题、质保服务履行完毕的，采购人在质保期满后扣除相应的费用（如有）一次性退还履约保证金；</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2.7由于乙方原因，在签订合同后出现不按合同履行的情况，甲方有权将履约保证金作为违约金，全额不予退还，同时甲方亦有权终止合同，乙方还须承担相应的法律赔偿责任。</w:t>
      </w:r>
    </w:p>
    <w:p>
      <w:pPr>
        <w:snapToGrid w:val="0"/>
        <w:spacing w:line="460" w:lineRule="exact"/>
        <w:ind w:firstLine="57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三、质量保证</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乙方应保证货物是全新、未使用过的原厂合格产品，并完全符合招标文件及本合同规定的质量、规格和参数的要求。验收过程中发现供货设备价值超过5%的产品不符合上述要求的，将视作不合格产品，甲方有权终止合同，造成的一切损失由乙方承担。</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报价产品的技术标准按国家标准执行，无国家标准的，按行业标准执行，无国家和行业标准的，按企业标准执行；但在招标文件中有特别要求的，按招标文件中规定的要求执行，并且符合相关法律、法规规定的要求。</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3.3乙方应保证提供的产品不得侵犯第三方专利权、商标权和设计权、版权等。否则，乙方应负全部责任，并承担由此引起的一切后果。</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3.4乙方应保证其货物在正确安装、正常使用下，在其使用寿命期内应具有满意的性能。</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3.5乙方应采取必要的安全措施保证货物的运输及安装的安全，并承担货物的运输及安装过程中产生的风险。</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3.6乙方必须保证所提供的产品符合国家相应质量要求。</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四、包装</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乙方提供的设备必须为原包装，在送交甲方验收前不得拆箱。</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五、标的物的交付</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 标的物的所有权自标的物交付时转移。</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乙方应当按照约定的期限和约定的地点交付标的物。</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5.3 乙方应当按照约定或者交易习惯向甲方交付提取标的物单证以外的有关单证和资料。</w:t>
      </w:r>
    </w:p>
    <w:p>
      <w:pPr>
        <w:spacing w:line="460" w:lineRule="exact"/>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w:t>
      </w:r>
      <w:r>
        <w:rPr>
          <w:rFonts w:hint="eastAsia" w:ascii="方正仿宋_GBK" w:hAnsi="方正仿宋_GBK" w:eastAsia="方正仿宋_GBK" w:cs="方正仿宋_GBK"/>
          <w:bCs/>
          <w:sz w:val="28"/>
          <w:szCs w:val="28"/>
        </w:rPr>
        <w:t>产品设备交货、安装固定服务</w:t>
      </w:r>
    </w:p>
    <w:p>
      <w:pPr>
        <w:spacing w:line="460" w:lineRule="exact"/>
        <w:ind w:firstLine="565" w:firstLineChars="20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5.4.1产品设备交付：</w:t>
      </w:r>
    </w:p>
    <w:p>
      <w:pPr>
        <w:spacing w:line="460" w:lineRule="exact"/>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①交货地点：产品设备送至采购人指定的地点并负责安装.。</w:t>
      </w:r>
    </w:p>
    <w:p>
      <w:pPr>
        <w:spacing w:line="460" w:lineRule="exact"/>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②货物装卸、运输涉及到的保险，其费用包含在合同总价中。</w:t>
      </w:r>
    </w:p>
    <w:p>
      <w:pPr>
        <w:spacing w:line="460" w:lineRule="exact"/>
        <w:ind w:firstLine="565" w:firstLineChars="20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5.4.2交货期：合同签订之日起 20日内安装调试完毕。</w:t>
      </w:r>
    </w:p>
    <w:p>
      <w:pPr>
        <w:spacing w:line="460" w:lineRule="exact"/>
        <w:ind w:firstLine="565" w:firstLineChars="20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5.4.3乙方发货到甲方指定地点前应先告知甲方。</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5.4.4全部货物的外包装必须采用防漏、防潮、防震、防锈、防盗和考虑到可能会发生的野蛮装卸等长途运输及多次装卸之需要。如因供方包装不当以及其它原因造成损坏或丢失，应由供方负一切责任。</w:t>
      </w:r>
    </w:p>
    <w:p>
      <w:pPr>
        <w:spacing w:line="460" w:lineRule="exact"/>
        <w:ind w:firstLine="565" w:firstLineChars="20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5.5 交货及安装地点：</w:t>
      </w:r>
      <w:r>
        <w:rPr>
          <w:rFonts w:hint="eastAsia" w:ascii="方正仿宋_GBK" w:hAnsi="方正仿宋_GBK" w:eastAsia="方正仿宋_GBK" w:cs="方正仿宋_GBK"/>
          <w:kern w:val="0"/>
          <w:sz w:val="28"/>
          <w:szCs w:val="28"/>
          <w:u w:val="single"/>
        </w:rPr>
        <w:t>甲方指定地点</w:t>
      </w:r>
      <w:r>
        <w:rPr>
          <w:rFonts w:hint="eastAsia" w:ascii="方正仿宋_GBK" w:hAnsi="方正仿宋_GBK" w:eastAsia="方正仿宋_GBK" w:cs="方正仿宋_GBK"/>
          <w:kern w:val="0"/>
          <w:sz w:val="28"/>
          <w:szCs w:val="28"/>
        </w:rPr>
        <w:t>。</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六、伴随服务</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乙方除应履行按期按量交付合格标的物的义务外，还应当提供下列服务：</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6.1.1 标的物的现场安装、启动、调试、监督（如果必须安装、调试的话）；</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6.1.2 提供标的物组装和一般维修所必需的工具；</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6.1.3 在合同规定的期限内对所提供的标的物实行运行监督、维修服务的前提条件是该服务并不能免除乙方在质量保证期内所承担的义务；</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6.1.4 对甲方技术人员的技术指导或培训。</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除合同另有规定之外，伴随服务的费用均已含在合同价款中，甲方不再另行支付。</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七、标的物的检验和验收</w:t>
      </w:r>
    </w:p>
    <w:p>
      <w:pPr>
        <w:snapToGrid w:val="0"/>
        <w:spacing w:line="460" w:lineRule="exact"/>
        <w:ind w:firstLine="57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由使用方对所购标的物进行验收，供货商需配合使用方完成验收工作。</w:t>
      </w:r>
      <w:r>
        <w:rPr>
          <w:rFonts w:hint="eastAsia" w:ascii="方正仿宋_GBK" w:hAnsi="方正仿宋_GBK" w:eastAsia="方正仿宋_GBK" w:cs="方正仿宋_GBK"/>
          <w:sz w:val="28"/>
          <w:szCs w:val="28"/>
        </w:rPr>
        <w:t>使用方有权在产品制造过程中进行中期验收和交付后抽样检测，如验收不合格，</w:t>
      </w:r>
      <w:r>
        <w:rPr>
          <w:rFonts w:hint="eastAsia" w:ascii="方正仿宋_GBK" w:hAnsi="方正仿宋_GBK" w:eastAsia="方正仿宋_GBK" w:cs="方正仿宋_GBK"/>
          <w:b/>
          <w:bCs/>
          <w:sz w:val="28"/>
          <w:szCs w:val="28"/>
        </w:rPr>
        <w:t>使用方有权中止合同、履约保证金不予退还并进行相关处罚。</w:t>
      </w:r>
      <w:r>
        <w:rPr>
          <w:rFonts w:hint="eastAsia" w:ascii="方正仿宋_GBK" w:hAnsi="方正仿宋_GBK" w:eastAsia="方正仿宋_GBK" w:cs="方正仿宋_GBK"/>
          <w:sz w:val="28"/>
          <w:szCs w:val="28"/>
        </w:rPr>
        <w:t>验收所发生的费用由乙方承担。</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八、售后服务</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8.1乙方应提供产品整体免费质保期3年。其他按有关规定执行(国际标准、国家标准、行业标准或企业标准)。</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8.2产品使用中，接到采购方电话通知后，在一小时内提供技术指导或远程维护，如需要在12小时（省外单位48小时）内派出技术人员到达用户现场进行相关服务。    </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8.4在项目完成后，乙方需免费提供消防报警管理系统专题培训。</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8.5所有货品应有乙方免费按时送达指定地点，并安装调配好。交货地点另行通知。</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九、违约责任</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合同一方不履行合同义务或者履行合同义务不符合约定的，应当承担继续履行、采取补救措施或赔偿损失等违约责任。</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 甲方违约责任</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9.1.1在合同生效后，非乙方原因甲方要求退货的，应向乙方偿付合同总价款的</w:t>
      </w:r>
      <w:r>
        <w:rPr>
          <w:rFonts w:hint="eastAsia" w:ascii="方正仿宋_GBK" w:hAnsi="方正仿宋_GBK" w:eastAsia="方正仿宋_GBK" w:cs="方正仿宋_GBK"/>
          <w:sz w:val="28"/>
          <w:szCs w:val="28"/>
          <w:u w:val="single"/>
        </w:rPr>
        <w:t xml:space="preserve"> 5 </w:t>
      </w:r>
      <w:r>
        <w:rPr>
          <w:rFonts w:hint="eastAsia" w:ascii="方正仿宋_GBK" w:hAnsi="方正仿宋_GBK" w:eastAsia="方正仿宋_GBK" w:cs="方正仿宋_GBK"/>
          <w:sz w:val="28"/>
          <w:szCs w:val="28"/>
        </w:rPr>
        <w:t>%，作为违约金，违约金不足以补偿损失的，乙方有权要求甲方补足。</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9.1.2 甲方逾期支付货款的应按照逾期付款金额的每天</w:t>
      </w:r>
      <w:r>
        <w:rPr>
          <w:rFonts w:hint="eastAsia" w:ascii="方正仿宋_GBK" w:hAnsi="方正仿宋_GBK" w:eastAsia="方正仿宋_GBK" w:cs="方正仿宋_GBK"/>
          <w:sz w:val="28"/>
          <w:szCs w:val="28"/>
          <w:u w:val="single"/>
        </w:rPr>
        <w:t>0. 1%</w:t>
      </w:r>
      <w:r>
        <w:rPr>
          <w:rFonts w:hint="eastAsia" w:ascii="方正仿宋_GBK" w:hAnsi="方正仿宋_GBK" w:eastAsia="方正仿宋_GBK" w:cs="方正仿宋_GBK"/>
          <w:sz w:val="28"/>
          <w:szCs w:val="28"/>
        </w:rPr>
        <w:t>支付逾期付款违约金。</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9.1.3 甲方违反合同规定，拒绝接收乙方交付的合格标的物，应当承担乙方由此造成的损失。</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 乙方违约责任</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9.2.1 乙方不能交货，或交货不合格从而影响甲方按期正常使用的，应向甲方偿付合同总价款</w:t>
      </w:r>
      <w:r>
        <w:rPr>
          <w:rFonts w:hint="eastAsia" w:ascii="方正仿宋_GBK" w:hAnsi="方正仿宋_GBK" w:eastAsia="方正仿宋_GBK" w:cs="方正仿宋_GBK"/>
          <w:sz w:val="28"/>
          <w:szCs w:val="28"/>
          <w:u w:val="single"/>
        </w:rPr>
        <w:t xml:space="preserve">  10 </w:t>
      </w:r>
      <w:r>
        <w:rPr>
          <w:rFonts w:hint="eastAsia" w:ascii="方正仿宋_GBK" w:hAnsi="方正仿宋_GBK" w:eastAsia="方正仿宋_GBK" w:cs="方正仿宋_GBK"/>
          <w:sz w:val="28"/>
          <w:szCs w:val="28"/>
        </w:rPr>
        <w:t>%的违约金，违约金不足以补偿损失的，甲方有权要求乙方补足。</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9.2.2 乙方逾期交货的，应在发货前与甲方和政府采购管理部门协商，甲方仍需求的，乙方应立即发货，按照每天货款总额的</w:t>
      </w:r>
      <w:r>
        <w:rPr>
          <w:rFonts w:hint="eastAsia" w:ascii="方正仿宋_GBK" w:hAnsi="方正仿宋_GBK" w:eastAsia="方正仿宋_GBK" w:cs="方正仿宋_GBK"/>
          <w:sz w:val="28"/>
          <w:szCs w:val="28"/>
          <w:u w:val="single"/>
        </w:rPr>
        <w:t xml:space="preserve">0.5% </w:t>
      </w:r>
      <w:r>
        <w:rPr>
          <w:rFonts w:hint="eastAsia" w:ascii="方正仿宋_GBK" w:hAnsi="方正仿宋_GBK" w:eastAsia="方正仿宋_GBK" w:cs="方正仿宋_GBK"/>
          <w:sz w:val="28"/>
          <w:szCs w:val="28"/>
        </w:rPr>
        <w:t>支付逾期交货违约金，同时承担甲方因此遭致的损失费用。</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十、不可抗力</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因不可抗力不能履行合同的，根据不可抗力的影响，部分或者全部免除责任。但合同一方延迟履行后发生不可抗力的，不能免除责任。</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合同一方因不可抗力不能履行合同的，应当及时通知对方，以减轻可能给对方造成的损失，并应当在合理期限内提供证明。</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十一、索赔</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甲方有权根据当地产品质量检验机构或其他有权部门出具的检验证书向乙方提出索赔。</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在本合同规定的检验期限和质量保证期内，如果乙方对甲方提出的索赔或差异有责任，则乙方应按甲方同意的下列一种或多种方式解决索赔事宜：</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11.2.1 乙方同意退货，并按合同规定的货币将货款退还给甲方，并且承担由此发生的一切损失和费用，包括利息、银行手续费、运费、保险费、检验费、仓储费、装卸费以及为保护退回标的物所需的其他必要费用。</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11.2.2 根据标的物的低劣程度、损坏程度以及甲方遭受损失的数额，经双方协商确定降低标的物的价格。</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十二、合同的解除和转让</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甲方和乙方协商一致，可以解除合同。</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有下列情形之一，合同一方可以解除合同：</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12.2.1 因不可抗力致使不能实现合同目的，未受不可抗力影响的一方有权解除合同；</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12.2.2 因合同一方违约导致合同不能履行，另一方有权解除合同</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12.2.3 有权解除合同的一方，应当在违约事实或不可抗力发生之后三十天内书面通知对方以主张解除合同，合同在书面通知到达对方时解除。</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 合同的部分和全部都不得转让。</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十三、合同的生效及备案</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本合同在乙方缴纳履约保证金，甲乙双方签字盖章后生效。</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十四、争议的解决</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甲乙双方因合同发生争议，应在采购人的主持下进行调解，协商不成，任何一方可以向甲方所在地人民法院起诉。</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十五、附则</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15.1 合同份数：本合同一式肆份，采购人、供应商各贰份。</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 本合同文件使用中文书写、解释和说明。</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 本合同履行过程中产生的纪要、协议以及中标通知书、采购响应文件和采购文件为本合同的附件，与合同具有同等效力。</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15.4 未尽事宜</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本合同未尽事宜应按照《中华人民共和国民法典》、《中华人民共和国产品质量法》、《中华人民共和国政府采购法》及其相关配套法律法规之规定解释。</w:t>
      </w:r>
    </w:p>
    <w:p>
      <w:pPr>
        <w:snapToGrid w:val="0"/>
        <w:spacing w:line="460" w:lineRule="exact"/>
        <w:ind w:firstLine="573"/>
        <w:rPr>
          <w:rFonts w:hint="eastAsia" w:ascii="方正仿宋_GBK" w:hAnsi="方正仿宋_GBK" w:eastAsia="方正仿宋_GBK" w:cs="方正仿宋_GBK"/>
          <w:sz w:val="28"/>
          <w:szCs w:val="28"/>
        </w:rPr>
      </w:pP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采购人（盖章）：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中标供应商（盖章）：</w:t>
      </w:r>
    </w:p>
    <w:p>
      <w:pPr>
        <w:snapToGrid w:val="0"/>
        <w:spacing w:line="460" w:lineRule="exact"/>
        <w:ind w:firstLine="57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法定代表人（签字）：</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委托代理人（签字）：</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委托代理人（签字）：</w:t>
      </w: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outlineLvl w:val="9"/>
        <w:rPr>
          <w:rFonts w:hint="eastAsia" w:ascii="仿宋" w:hAnsi="仿宋" w:eastAsia="仿宋" w:cs="仿宋"/>
          <w:color w:val="000000" w:themeColor="text1"/>
          <w:sz w:val="36"/>
          <w:szCs w:val="36"/>
          <w14:textFill>
            <w14:solidFill>
              <w14:schemeClr w14:val="tx1"/>
            </w14:solidFill>
          </w14:textFill>
        </w:rPr>
      </w:pPr>
    </w:p>
    <w:p>
      <w:pPr>
        <w:pStyle w:val="152"/>
        <w:spacing w:beforeLines="0" w:afterLines="0" w:line="420" w:lineRule="exact"/>
        <w:jc w:val="both"/>
        <w:outlineLvl w:val="9"/>
        <w:rPr>
          <w:rFonts w:hint="eastAsia" w:ascii="仿宋" w:hAnsi="仿宋" w:eastAsia="仿宋" w:cs="仿宋"/>
          <w:color w:val="000000" w:themeColor="text1"/>
          <w:sz w:val="36"/>
          <w:szCs w:val="36"/>
          <w14:textFill>
            <w14:solidFill>
              <w14:schemeClr w14:val="tx1"/>
            </w14:solidFill>
          </w14:textFill>
        </w:rPr>
      </w:pPr>
    </w:p>
    <w:p>
      <w:pPr>
        <w:rPr>
          <w:rFonts w:hint="eastAsia" w:ascii="仿宋" w:hAnsi="仿宋" w:eastAsia="仿宋" w:cs="仿宋"/>
          <w:color w:val="000000" w:themeColor="text1"/>
          <w:sz w:val="36"/>
          <w:szCs w:val="36"/>
          <w14:textFill>
            <w14:solidFill>
              <w14:schemeClr w14:val="tx1"/>
            </w14:solidFill>
          </w14:textFill>
        </w:rPr>
      </w:pPr>
    </w:p>
    <w:p>
      <w:pPr>
        <w:pStyle w:val="2"/>
        <w:rPr>
          <w:rFonts w:hint="eastAsia" w:ascii="仿宋" w:hAnsi="仿宋" w:eastAsia="仿宋" w:cs="仿宋"/>
          <w:color w:val="000000" w:themeColor="text1"/>
          <w:sz w:val="36"/>
          <w:szCs w:val="36"/>
          <w14:textFill>
            <w14:solidFill>
              <w14:schemeClr w14:val="tx1"/>
            </w14:solidFill>
          </w14:textFill>
        </w:rPr>
      </w:pPr>
    </w:p>
    <w:p>
      <w:pPr>
        <w:pStyle w:val="2"/>
        <w:rPr>
          <w:rFonts w:hint="eastAsia" w:ascii="仿宋" w:hAnsi="仿宋" w:eastAsia="仿宋" w:cs="仿宋"/>
          <w:color w:val="000000" w:themeColor="text1"/>
          <w:sz w:val="36"/>
          <w:szCs w:val="36"/>
          <w14:textFill>
            <w14:solidFill>
              <w14:schemeClr w14:val="tx1"/>
            </w14:solidFill>
          </w14:textFill>
        </w:rPr>
      </w:pPr>
    </w:p>
    <w:p>
      <w:pPr>
        <w:pStyle w:val="2"/>
        <w:rPr>
          <w:rFonts w:hint="eastAsia" w:ascii="仿宋" w:hAnsi="仿宋" w:eastAsia="仿宋" w:cs="仿宋"/>
          <w:color w:val="000000" w:themeColor="text1"/>
          <w:sz w:val="36"/>
          <w:szCs w:val="36"/>
          <w14:textFill>
            <w14:solidFill>
              <w14:schemeClr w14:val="tx1"/>
            </w14:solidFill>
          </w14:textFill>
        </w:rPr>
      </w:pPr>
    </w:p>
    <w:p>
      <w:pPr>
        <w:pStyle w:val="2"/>
        <w:rPr>
          <w:rFonts w:hint="eastAsia" w:ascii="仿宋" w:hAnsi="仿宋" w:eastAsia="仿宋" w:cs="仿宋"/>
          <w:color w:val="000000" w:themeColor="text1"/>
          <w:sz w:val="36"/>
          <w:szCs w:val="36"/>
          <w14:textFill>
            <w14:solidFill>
              <w14:schemeClr w14:val="tx1"/>
            </w14:solidFill>
          </w14:textFill>
        </w:rPr>
      </w:pPr>
    </w:p>
    <w:p>
      <w:pPr>
        <w:pStyle w:val="2"/>
        <w:rPr>
          <w:rFonts w:hint="eastAsia" w:ascii="仿宋" w:hAnsi="仿宋" w:eastAsia="仿宋" w:cs="仿宋"/>
          <w:color w:val="000000" w:themeColor="text1"/>
          <w:sz w:val="36"/>
          <w:szCs w:val="36"/>
          <w14:textFill>
            <w14:solidFill>
              <w14:schemeClr w14:val="tx1"/>
            </w14:solidFill>
          </w14:textFill>
        </w:rPr>
      </w:pPr>
    </w:p>
    <w:p>
      <w:pPr>
        <w:pStyle w:val="152"/>
        <w:keepNext/>
        <w:keepLines/>
        <w:pageBreakBefore w:val="0"/>
        <w:widowControl w:val="0"/>
        <w:kinsoku/>
        <w:wordWrap/>
        <w:overflowPunct/>
        <w:topLinePunct w:val="0"/>
        <w:autoSpaceDE/>
        <w:autoSpaceDN/>
        <w:bidi w:val="0"/>
        <w:adjustRightInd/>
        <w:snapToGrid/>
        <w:spacing w:beforeLines="0" w:afterLines="0" w:line="800" w:lineRule="exact"/>
        <w:textAlignment w:val="auto"/>
        <w:outlineLvl w:val="9"/>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第六章 合同授予</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一、成交供应商在《成交通知书》发出</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8"/>
          <w:szCs w:val="28"/>
          <w14:textFill>
            <w14:solidFill>
              <w14:schemeClr w14:val="tx1"/>
            </w14:solidFill>
          </w14:textFill>
        </w:rPr>
        <w:t>日内必须按照采购文件确定的事项签订采购合同。合同一式</w:t>
      </w:r>
      <w:r>
        <w:rPr>
          <w:rFonts w:hint="eastAsia" w:ascii="方正仿宋_GBK" w:hAnsi="方正仿宋_GBK" w:eastAsia="方正仿宋_GBK" w:cs="方正仿宋_GBK"/>
          <w:sz w:val="28"/>
          <w:szCs w:val="28"/>
        </w:rPr>
        <w:t>柒</w:t>
      </w:r>
      <w:r>
        <w:rPr>
          <w:rFonts w:hint="eastAsia" w:ascii="方正仿宋_GBK" w:hAnsi="方正仿宋_GBK" w:eastAsia="方正仿宋_GBK" w:cs="方正仿宋_GBK"/>
          <w:color w:val="000000" w:themeColor="text1"/>
          <w:sz w:val="28"/>
          <w:szCs w:val="28"/>
          <w14:textFill>
            <w14:solidFill>
              <w14:schemeClr w14:val="tx1"/>
            </w14:solidFill>
          </w14:textFill>
        </w:rPr>
        <w:t>份，采购单位伍份、供应商</w:t>
      </w:r>
      <w:r>
        <w:rPr>
          <w:rFonts w:hint="eastAsia" w:ascii="方正仿宋_GBK" w:hAnsi="方正仿宋_GBK" w:eastAsia="方正仿宋_GBK" w:cs="方正仿宋_GBK"/>
          <w:sz w:val="28"/>
          <w:szCs w:val="28"/>
        </w:rPr>
        <w:t>贰</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份。所签合同不得对采购文件作实质性修改。采购单位不得向成交供应商提出不合理的要求作为签订合同的条件，不得与成交供应商私下订立背离采购文件实质性内容的协议。  </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采购人按合同约定积极配合中标人履约，中标人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四、中标人出现违约情形，应当及时纠正或补偿；造成损失的，按合同约定追究违约责任；发现有假冒、伪劣、走私产品、商业贿赂等违法情形的，应由采购人移交工商、质监、公安等行政执法部门依法查处。</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五、按政府采购合同约定支付的货款进行支付。</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六、不响应付款方式的，视同响应文件无效，按无效响应文件处理。</w:t>
      </w:r>
    </w:p>
    <w:p>
      <w:pPr>
        <w:pStyle w:val="152"/>
        <w:spacing w:before="312" w:after="312" w:line="360" w:lineRule="auto"/>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br w:type="page"/>
      </w:r>
      <w:r>
        <w:rPr>
          <w:rFonts w:hint="eastAsia" w:ascii="宋体" w:hAnsi="宋体" w:eastAsia="宋体" w:cs="宋体"/>
          <w:color w:val="000000" w:themeColor="text1"/>
          <w:sz w:val="36"/>
          <w:szCs w:val="36"/>
          <w14:textFill>
            <w14:solidFill>
              <w14:schemeClr w14:val="tx1"/>
            </w14:solidFill>
          </w14:textFill>
        </w:rPr>
        <w:t>第七章 质疑与投诉</w:t>
      </w:r>
      <w:bookmarkEnd w:id="9"/>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一、质疑的提出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1.质疑人必须是直接参加本次投标活动的当事人。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下载招标文件的供应商应根据第二章“投标供应商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对不能提供相关佐证材料的、涉及商业秘密的、非书面形式的、非送达的、匿名的《质疑函》将不予受理。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相关佐证材料要具备客观性、关联性、合法性，无法查实的（如宣传册、媒体报道、猜测、推理等）不能作为佐证材料。</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采购单位不负责搜集相关佐证材料等工作。</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二、《质疑函》的受理和回复</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1.《质疑函》须由质疑人的法定代表人或参加本次投标授权人送达采购单位。</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4.采购单位负责将质疑人提出的质疑相关材料提供给相关专家或评标小组审核，并将审核意见回复质疑人。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5.因质疑情况复杂，组织论证或审查时间较长的，采购单位以书面形式通知质疑人，可适当延长质疑回复处理时间。</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三、质疑处理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1.质疑成立的处理。采购单位终止采购，并建议有关部门给相关当事人予以处理。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2.质疑不成立的处理。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（1）质疑人</w:t>
      </w:r>
      <w:r>
        <w:rPr>
          <w:rFonts w:hint="eastAsia" w:ascii="方正仿宋_GBK" w:hAnsi="方正仿宋_GBK" w:eastAsia="方正仿宋_GBK" w:cs="方正仿宋_GBK"/>
          <w:color w:val="000000" w:themeColor="text1"/>
          <w:sz w:val="28"/>
          <w:szCs w:val="28"/>
          <w:shd w:val="clear" w:color="auto" w:fill="FFFFFF" w:themeFill="background1"/>
          <w14:textFill>
            <w14:solidFill>
              <w14:schemeClr w14:val="tx1"/>
            </w14:solidFill>
          </w14:textFill>
        </w:rPr>
        <w:t>书面提供《申请</w:t>
      </w:r>
      <w:r>
        <w:rPr>
          <w:rFonts w:hint="eastAsia" w:ascii="方正仿宋_GBK" w:hAnsi="方正仿宋_GBK" w:eastAsia="方正仿宋_GBK" w:cs="方正仿宋_GBK"/>
          <w:color w:val="000000" w:themeColor="text1"/>
          <w:sz w:val="28"/>
          <w:szCs w:val="28"/>
          <w14:textFill>
            <w14:solidFill>
              <w14:schemeClr w14:val="tx1"/>
            </w14:solidFill>
          </w14:textFill>
        </w:rPr>
        <w:t>撤回质疑函》的，不作违约处理。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（2）质疑人在规定的时间内不配合进行质疑调查处理的，按自动撤回《质疑函》处理。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（3）质疑人不按《质疑函》格式就提出质疑的，作违约处理。同时，视情列入不良供应商名单。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（4）质疑人虽提供了相关佐证材料，但不能证明其质疑成立的，采购单位请质疑人补充相关佐证材料，仍不能证明其质疑成立的，作违约处理。并将其列入不良供应商名单。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（5）质疑人不能提供相关佐证材料的，采购单位已指出，质疑人仍然坚持提出质疑的，作违约处理。同时，列入不良供应商名单。</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（7）质疑人承担使用虚假材料或恶意方式质疑的法律责任。</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d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七、质疑供应商对采购单位的答复不满意或者采购单位未在规定的时间内作出答复的，可以在答复期满后15个工作日内向相关监督管理部门投诉。</w:t>
      </w:r>
    </w:p>
    <w:p>
      <w:pPr>
        <w:pStyle w:val="152"/>
        <w:spacing w:before="312" w:after="312" w:line="400" w:lineRule="exact"/>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val="0"/>
          <w:color w:val="000000" w:themeColor="text1"/>
          <w:w w:val="80"/>
          <w:sz w:val="24"/>
          <w:szCs w:val="24"/>
          <w14:textFill>
            <w14:solidFill>
              <w14:schemeClr w14:val="tx1"/>
            </w14:solidFill>
          </w14:textFill>
        </w:rPr>
        <w:br w:type="page"/>
      </w:r>
      <w:r>
        <w:rPr>
          <w:rFonts w:hint="eastAsia" w:ascii="宋体" w:hAnsi="宋体" w:eastAsia="宋体" w:cs="宋体"/>
          <w:color w:val="000000" w:themeColor="text1"/>
          <w:sz w:val="36"/>
          <w:szCs w:val="36"/>
          <w14:textFill>
            <w14:solidFill>
              <w14:schemeClr w14:val="tx1"/>
            </w14:solidFill>
          </w14:textFill>
        </w:rPr>
        <w:t>第八章 投标文件组成及格式</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投标文件由资格审查文件、商务技术标和价格标三部分组成。本次招标采用资格后审方式。</w:t>
      </w:r>
    </w:p>
    <w:p>
      <w:pPr>
        <w:keepNext w:val="0"/>
        <w:keepLines w:val="0"/>
        <w:pageBreakBefore w:val="0"/>
        <w:kinsoku/>
        <w:wordWrap/>
        <w:overflowPunct/>
        <w:topLinePunct w:val="0"/>
        <w:autoSpaceDE/>
        <w:autoSpaceDN/>
        <w:bidi w:val="0"/>
        <w:adjustRightInd w:val="0"/>
        <w:snapToGrid w:val="0"/>
        <w:spacing w:line="460" w:lineRule="exact"/>
        <w:ind w:firstLine="551" w:firstLineChars="196"/>
        <w:textAlignment w:val="auto"/>
        <w:rPr>
          <w:rFonts w:hint="eastAsia" w:ascii="方正仿宋_GBK" w:hAnsi="方正仿宋_GBK" w:eastAsia="方正仿宋_GBK" w:cs="方正仿宋_GBK"/>
          <w:b/>
          <w:bCs/>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本项目资格审查文件、商务技术标和价格标</w:t>
      </w:r>
      <w:r>
        <w:rPr>
          <w:rFonts w:hint="eastAsia" w:ascii="方正仿宋_GBK" w:hAnsi="方正仿宋_GBK" w:eastAsia="方正仿宋_GBK" w:cs="方正仿宋_GBK"/>
          <w:b/>
          <w:bCs/>
          <w:color w:val="000000" w:themeColor="text1"/>
          <w:spacing w:val="-6"/>
          <w:sz w:val="28"/>
          <w:szCs w:val="28"/>
          <w14:textFill>
            <w14:solidFill>
              <w14:schemeClr w14:val="tx1"/>
            </w14:solidFill>
          </w14:textFill>
        </w:rPr>
        <w:t>请分别装订、分别单独密封后一起递交。</w:t>
      </w:r>
    </w:p>
    <w:p>
      <w:pPr>
        <w:keepNext w:val="0"/>
        <w:keepLines w:val="0"/>
        <w:pageBreakBefore w:val="0"/>
        <w:kinsoku/>
        <w:wordWrap/>
        <w:overflowPunct/>
        <w:topLinePunct w:val="0"/>
        <w:autoSpaceDE/>
        <w:autoSpaceDN/>
        <w:bidi w:val="0"/>
        <w:adjustRightInd w:val="0"/>
        <w:snapToGrid w:val="0"/>
        <w:spacing w:line="460" w:lineRule="exact"/>
        <w:ind w:left="487"/>
        <w:jc w:val="left"/>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一、资格审查文件（单独密封）：</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1.投标供应商提供有效的营业执照复印件加盖公章；</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2.资格声明函（格式详见附件）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3．法定代表人参加投标的，必须提供法定代表人身份证明原件及法定代表人本人身份证复印件加盖公章；非法定代表人参加投标的，必须提供法定代表人签名或盖章的授权委托书原件及法定代表人和委托代理人（以下称被授权人）两个人的身份证复印件加盖公章（格式参见第八章）</w:t>
      </w:r>
      <w:r>
        <w:rPr>
          <w:rFonts w:hint="eastAsia" w:ascii="方正仿宋_GBK" w:hAnsi="方正仿宋_GBK" w:eastAsia="方正仿宋_GBK" w:cs="方正仿宋_GBK"/>
          <w:sz w:val="28"/>
          <w:szCs w:val="28"/>
          <w:lang w:eastAsia="zh-CN"/>
        </w:rPr>
        <w:t>。</w:t>
      </w:r>
    </w:p>
    <w:p>
      <w:pPr>
        <w:keepNext w:val="0"/>
        <w:keepLines w:val="0"/>
        <w:pageBreakBefore w:val="0"/>
        <w:numPr>
          <w:ilvl w:val="0"/>
          <w:numId w:val="3"/>
        </w:numPr>
        <w:kinsoku/>
        <w:wordWrap/>
        <w:overflowPunct/>
        <w:topLinePunct w:val="0"/>
        <w:autoSpaceDE/>
        <w:autoSpaceDN/>
        <w:bidi w:val="0"/>
        <w:spacing w:line="460" w:lineRule="exact"/>
        <w:ind w:firstLine="562" w:firstLineChars="200"/>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技术响应文件 （不得出现报价）</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1.投标人情况一览表（格式参见第八章）</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2.商务部分正负偏离表（格式参见第八章）</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3.技术部分正负偏离表（格式参见第八章）</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4.评审评分项技术响应评分中所涉及的事项需提供的所有资料。</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5.评审评分项中未涉及的事项，投标供应商认为需要提交的其他资料。</w:t>
      </w:r>
    </w:p>
    <w:p>
      <w:pPr>
        <w:pStyle w:val="179"/>
        <w:keepNext w:val="0"/>
        <w:keepLines w:val="0"/>
        <w:pageBreakBefore w:val="0"/>
        <w:kinsoku/>
        <w:wordWrap/>
        <w:overflowPunct/>
        <w:topLinePunct w:val="0"/>
        <w:autoSpaceDE/>
        <w:autoSpaceDN/>
        <w:bidi w:val="0"/>
        <w:spacing w:line="460" w:lineRule="exact"/>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注：为方便评委评审，请投标供应商按评审评分项中所涉及的事项顺序进行编制，可以补充相关材料。</w:t>
      </w:r>
    </w:p>
    <w:p>
      <w:pPr>
        <w:pStyle w:val="179"/>
        <w:keepNext w:val="0"/>
        <w:keepLines w:val="0"/>
        <w:pageBreakBefore w:val="0"/>
        <w:kinsoku/>
        <w:wordWrap/>
        <w:overflowPunct/>
        <w:topLinePunct w:val="0"/>
        <w:autoSpaceDE/>
        <w:autoSpaceDN/>
        <w:bidi w:val="0"/>
        <w:spacing w:line="460" w:lineRule="exact"/>
        <w:ind w:firstLine="481"/>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三、价格标</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1.开标一览表（格式参见第八章）</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.分项报价明细表</w:t>
      </w:r>
      <w:r>
        <w:rPr>
          <w:rFonts w:hint="eastAsia" w:ascii="方正仿宋_GBK" w:hAnsi="方正仿宋_GBK" w:eastAsia="方正仿宋_GBK" w:cs="方正仿宋_GBK"/>
          <w:color w:val="000000" w:themeColor="text1"/>
          <w:sz w:val="28"/>
          <w:szCs w:val="28"/>
          <w14:textFill>
            <w14:solidFill>
              <w14:schemeClr w14:val="tx1"/>
            </w14:solidFill>
          </w14:textFill>
        </w:rPr>
        <w:t>（格式参见第八章）</w:t>
      </w:r>
    </w:p>
    <w:p>
      <w:pPr>
        <w:keepNext w:val="0"/>
        <w:keepLines w:val="0"/>
        <w:pageBreakBefore w:val="0"/>
        <w:kinsoku/>
        <w:wordWrap/>
        <w:overflowPunct/>
        <w:topLinePunct w:val="0"/>
        <w:autoSpaceDE/>
        <w:autoSpaceDN/>
        <w:bidi w:val="0"/>
        <w:adjustRightInd w:val="0"/>
        <w:snapToGrid w:val="0"/>
        <w:spacing w:line="460" w:lineRule="exact"/>
        <w:ind w:firstLine="548" w:firstLineChars="196"/>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3.供应商信用承诺书（格式参见第八章）</w:t>
      </w:r>
    </w:p>
    <w:p>
      <w:pPr>
        <w:spacing w:line="400" w:lineRule="exact"/>
        <w:ind w:firstLine="42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sz w:val="32"/>
          <w:szCs w:val="32"/>
          <w14:textFill>
            <w14:solidFill>
              <w14:schemeClr w14:val="tx1"/>
            </w14:solidFill>
          </w14:textFill>
        </w:rPr>
        <w:t>附件：</w:t>
      </w:r>
    </w:p>
    <w:p>
      <w:pPr>
        <w:spacing w:line="360" w:lineRule="auto"/>
        <w:jc w:val="left"/>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项目名称：</w:t>
      </w:r>
    </w:p>
    <w:p>
      <w:pPr>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项目编号：</w:t>
      </w:r>
    </w:p>
    <w:p>
      <w:pPr>
        <w:spacing w:line="360" w:lineRule="auto"/>
        <w:ind w:firstLine="3000" w:firstLineChars="1000"/>
        <w:rPr>
          <w:rFonts w:ascii="仿宋" w:hAnsi="仿宋" w:eastAsia="仿宋" w:cs="仿宋"/>
          <w:color w:val="000000" w:themeColor="text1"/>
          <w:sz w:val="30"/>
          <w:szCs w:val="30"/>
          <w14:textFill>
            <w14:solidFill>
              <w14:schemeClr w14:val="tx1"/>
            </w14:solidFill>
          </w14:textFill>
        </w:rPr>
      </w:pPr>
    </w:p>
    <w:p>
      <w:pPr>
        <w:spacing w:line="360" w:lineRule="auto"/>
        <w:rPr>
          <w:rFonts w:ascii="仿宋" w:hAnsi="仿宋" w:eastAsia="仿宋" w:cs="仿宋"/>
          <w:color w:val="000000" w:themeColor="text1"/>
          <w:sz w:val="36"/>
          <w:szCs w:val="36"/>
          <w14:textFill>
            <w14:solidFill>
              <w14:schemeClr w14:val="tx1"/>
            </w14:solidFill>
          </w14:textFill>
        </w:rPr>
      </w:pPr>
    </w:p>
    <w:p>
      <w:pPr>
        <w:spacing w:line="360" w:lineRule="auto"/>
        <w:rPr>
          <w:rFonts w:ascii="仿宋" w:hAnsi="仿宋" w:eastAsia="仿宋" w:cs="仿宋"/>
          <w:color w:val="000000" w:themeColor="text1"/>
          <w:sz w:val="36"/>
          <w:szCs w:val="36"/>
          <w14:textFill>
            <w14:solidFill>
              <w14:schemeClr w14:val="tx1"/>
            </w14:solidFill>
          </w14:textFill>
        </w:rPr>
      </w:pPr>
    </w:p>
    <w:p>
      <w:pPr>
        <w:spacing w:line="360" w:lineRule="auto"/>
        <w:jc w:val="center"/>
        <w:rPr>
          <w:rFonts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投标文件</w:t>
      </w: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ind w:firstLine="2400" w:firstLineChars="8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对应投标文件填写：资格审查文件</w:t>
      </w:r>
    </w:p>
    <w:p>
      <w:pPr>
        <w:spacing w:line="360" w:lineRule="auto"/>
        <w:ind w:firstLine="2400" w:firstLineChars="8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对应投标文件填写：商务技术标</w:t>
      </w:r>
    </w:p>
    <w:p>
      <w:pPr>
        <w:spacing w:line="360" w:lineRule="auto"/>
        <w:ind w:firstLine="2400" w:firstLineChars="8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对应投标文件填写：价格标</w:t>
      </w:r>
    </w:p>
    <w:p>
      <w:pPr>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（资格后审）</w:t>
      </w:r>
    </w:p>
    <w:p>
      <w:pPr>
        <w:jc w:val="center"/>
        <w:rPr>
          <w:rFonts w:ascii="仿宋" w:hAnsi="仿宋" w:eastAsia="仿宋" w:cs="仿宋"/>
          <w:b/>
          <w:bCs/>
          <w:color w:val="000000" w:themeColor="text1"/>
          <w:sz w:val="44"/>
          <w:szCs w:val="44"/>
          <w14:textFill>
            <w14:solidFill>
              <w14:schemeClr w14:val="tx1"/>
            </w14:solidFill>
          </w14:textFill>
        </w:rPr>
      </w:pPr>
    </w:p>
    <w:p>
      <w:pPr>
        <w:snapToGrid w:val="0"/>
        <w:spacing w:line="520" w:lineRule="exact"/>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 xml:space="preserve"> </w:t>
      </w:r>
    </w:p>
    <w:p>
      <w:pPr>
        <w:spacing w:line="360" w:lineRule="auto"/>
        <w:rPr>
          <w:rFonts w:ascii="仿宋" w:hAnsi="仿宋" w:eastAsia="仿宋" w:cs="仿宋"/>
          <w:color w:val="000000" w:themeColor="text1"/>
          <w:sz w:val="44"/>
          <w:szCs w:val="44"/>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ind w:firstLine="1920" w:firstLineChars="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投标供应商：参加投标供应商全称（公章）</w:t>
      </w:r>
    </w:p>
    <w:p>
      <w:pPr>
        <w:spacing w:line="360" w:lineRule="auto"/>
        <w:ind w:firstLine="1920" w:firstLineChars="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      年  月  日</w:t>
      </w:r>
    </w:p>
    <w:p>
      <w:pPr>
        <w:spacing w:line="360" w:lineRule="auto"/>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4"/>
          <w:szCs w:val="24"/>
          <w14:textFill>
            <w14:solidFill>
              <w14:schemeClr w14:val="tx1"/>
            </w14:solidFill>
          </w14:textFill>
        </w:rPr>
        <w:t xml:space="preserve"> </w:t>
      </w:r>
    </w:p>
    <w:p>
      <w:pPr>
        <w:spacing w:line="360" w:lineRule="auto"/>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一、资格审查文件相关的格式文件及表格</w:t>
      </w:r>
    </w:p>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1、法定代表人身份证明</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（法定代表人参加投标时，须出示此证明）</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江苏省南通卫生高等职业技术学校</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我公司法定代表人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参加贵单位组织的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（采购项目名称及项目编号)项目公开招标采购活动，全权代表我公司处理投标的有关事宜。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附：法定代表人情况：</w:t>
      </w:r>
    </w:p>
    <w:p>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职务：</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手机：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传真：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单位名称（公章）             法定代表人（签字或盖章）</w:t>
      </w:r>
    </w:p>
    <w:p>
      <w:pPr>
        <w:spacing w:line="360" w:lineRule="auto"/>
        <w:ind w:firstLine="1200" w:firstLineChars="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年   月   日                 年   月    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法定代表人身份证复印件</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2280" w:firstLineChars="9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（粘贴此处）</w:t>
      </w:r>
    </w:p>
    <w:p>
      <w:pPr>
        <w:spacing w:line="360" w:lineRule="auto"/>
        <w:ind w:firstLine="2289" w:firstLineChars="95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w:t>
      </w:r>
    </w:p>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4"/>
          <w:szCs w:val="24"/>
          <w14:textFill>
            <w14:solidFill>
              <w14:schemeClr w14:val="tx1"/>
            </w14:solidFill>
          </w14:textFill>
        </w:rPr>
        <w:t>2、授权委托书</w:t>
      </w:r>
    </w:p>
    <w:p>
      <w:pPr>
        <w:snapToGrid w:val="0"/>
        <w:spacing w:line="360" w:lineRule="auto"/>
        <w:jc w:val="center"/>
        <w:rPr>
          <w:rFonts w:ascii="仿宋" w:hAnsi="仿宋" w:eastAsia="仿宋" w:cs="仿宋"/>
          <w:color w:val="000000" w:themeColor="text1"/>
          <w:sz w:val="24"/>
          <w:szCs w:val="24"/>
          <w:u w:val="single"/>
          <w14:textFill>
            <w14:solidFill>
              <w14:schemeClr w14:val="tx1"/>
            </w14:solidFill>
          </w14:textFill>
        </w:rPr>
      </w:pPr>
      <w:bookmarkStart w:id="10" w:name="_Toc360526534"/>
      <w:r>
        <w:rPr>
          <w:rFonts w:hint="eastAsia" w:ascii="仿宋" w:hAnsi="仿宋" w:eastAsia="仿宋" w:cs="仿宋"/>
          <w:color w:val="000000" w:themeColor="text1"/>
          <w:sz w:val="24"/>
          <w:szCs w:val="24"/>
          <w:u w:val="single"/>
          <w14:textFill>
            <w14:solidFill>
              <w14:schemeClr w14:val="tx1"/>
            </w14:solidFill>
          </w14:textFill>
        </w:rPr>
        <w:t>（被授权人参加投标时，须出示此证明）</w:t>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江苏省南通卫生高等职业技术学校</w:t>
      </w:r>
      <w:r>
        <w:rPr>
          <w:rFonts w:hint="eastAsia" w:ascii="仿宋" w:hAnsi="仿宋" w:eastAsia="仿宋" w:cs="仿宋"/>
          <w:color w:val="000000" w:themeColor="text1"/>
          <w:sz w:val="24"/>
          <w:szCs w:val="24"/>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兹授权</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被授权人的姓名）代表我公司参加</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（采购项目名称及项目编号)项目的政府采购活动，全权处理一切与该项目公开招标有关的事务。其在办理上述事宜过程中所签署的所有文件我公司均予以承认。</w:t>
      </w:r>
    </w:p>
    <w:p>
      <w:pPr>
        <w:pStyle w:val="28"/>
        <w:adjustRightInd w:val="0"/>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被授权人无转委托权，特此委托。</w:t>
      </w:r>
    </w:p>
    <w:p>
      <w:pPr>
        <w:pStyle w:val="28"/>
        <w:adjustRightInd w:val="0"/>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附：被授权人情况：</w:t>
      </w:r>
    </w:p>
    <w:p>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职务：</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传真：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单位名称（公章）             法定代表人（签字或盖章）</w:t>
      </w:r>
    </w:p>
    <w:p>
      <w:pPr>
        <w:spacing w:line="360" w:lineRule="auto"/>
        <w:ind w:firstLine="1200" w:firstLineChars="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年   月   日                 年   月    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法定代表人身份证复印件</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被授权人身份证复印件</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2280" w:firstLineChars="9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（粘贴此处）</w:t>
      </w:r>
    </w:p>
    <w:p>
      <w:pPr>
        <w:spacing w:line="360" w:lineRule="auto"/>
        <w:ind w:firstLine="2289" w:firstLineChars="950"/>
        <w:rPr>
          <w:rFonts w:ascii="仿宋" w:hAnsi="仿宋" w:eastAsia="仿宋" w:cs="仿宋"/>
          <w:b/>
          <w:bCs/>
          <w:color w:val="000000" w:themeColor="text1"/>
          <w:sz w:val="24"/>
          <w:szCs w:val="24"/>
          <w14:textFill>
            <w14:solidFill>
              <w14:schemeClr w14:val="tx1"/>
            </w14:solidFill>
          </w14:textFill>
        </w:rPr>
      </w:pPr>
    </w:p>
    <w:p>
      <w:pPr>
        <w:snapToGrid w:val="0"/>
        <w:spacing w:line="360" w:lineRule="auto"/>
        <w:jc w:val="center"/>
        <w:outlineLvl w:val="4"/>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4"/>
          <w:szCs w:val="24"/>
          <w14:textFill>
            <w14:solidFill>
              <w14:schemeClr w14:val="tx1"/>
            </w14:solidFill>
          </w14:textFill>
        </w:rPr>
        <w:t>3、资格声明函</w:t>
      </w: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u w:val="single"/>
        </w:rPr>
        <w:t>________________ _</w:t>
      </w:r>
      <w:r>
        <w:rPr>
          <w:rFonts w:hint="eastAsia" w:ascii="仿宋" w:hAnsi="仿宋" w:eastAsia="仿宋" w:cs="仿宋"/>
          <w:bCs/>
          <w:sz w:val="24"/>
        </w:rPr>
        <w:t>（项目名称），</w:t>
      </w:r>
      <w:r>
        <w:rPr>
          <w:rFonts w:hint="eastAsia" w:ascii="仿宋" w:hAnsi="仿宋" w:eastAsia="仿宋" w:cs="仿宋"/>
          <w:bCs/>
          <w:sz w:val="24"/>
          <w:u w:val="single"/>
        </w:rPr>
        <w:t>_______ __________</w:t>
      </w:r>
      <w:r>
        <w:rPr>
          <w:rFonts w:hint="eastAsia" w:ascii="仿宋" w:hAnsi="仿宋" w:eastAsia="仿宋" w:cs="仿宋"/>
          <w:bCs/>
          <w:sz w:val="24"/>
        </w:rPr>
        <w:t>（项目编号）投标活动，现做出如下声明：</w:t>
      </w:r>
    </w:p>
    <w:p>
      <w:pPr>
        <w:spacing w:line="520" w:lineRule="exact"/>
        <w:ind w:firstLine="482"/>
        <w:rPr>
          <w:rFonts w:ascii="仿宋" w:hAnsi="仿宋" w:eastAsia="仿宋" w:cs="仿宋"/>
          <w:sz w:val="24"/>
        </w:rPr>
      </w:pPr>
      <w:r>
        <w:rPr>
          <w:rFonts w:hint="eastAsia" w:ascii="仿宋" w:hAnsi="仿宋" w:eastAsia="仿宋" w:cs="仿宋"/>
          <w:bCs/>
          <w:sz w:val="24"/>
        </w:rPr>
        <w:t>1.我单位具有独立承担民事责任的能力；</w:t>
      </w:r>
    </w:p>
    <w:p>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2"/>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2"/>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bCs/>
          <w:sz w:val="24"/>
        </w:rPr>
      </w:pPr>
    </w:p>
    <w:p>
      <w:pPr>
        <w:spacing w:line="500" w:lineRule="exact"/>
        <w:rPr>
          <w:rFonts w:ascii="仿宋" w:hAnsi="仿宋" w:eastAsia="仿宋" w:cs="仿宋"/>
          <w:bCs/>
          <w:sz w:val="24"/>
        </w:rPr>
      </w:pPr>
    </w:p>
    <w:p>
      <w:pPr>
        <w:spacing w:line="500" w:lineRule="exact"/>
        <w:rPr>
          <w:rFonts w:ascii="仿宋" w:hAnsi="仿宋" w:eastAsia="仿宋" w:cs="仿宋"/>
          <w:bCs/>
          <w:sz w:val="24"/>
        </w:rPr>
      </w:pPr>
    </w:p>
    <w:p>
      <w:pPr>
        <w:spacing w:line="460" w:lineRule="exact"/>
        <w:jc w:val="center"/>
        <w:rPr>
          <w:rFonts w:ascii="仿宋" w:hAnsi="仿宋" w:eastAsia="仿宋" w:cs="仿宋"/>
          <w:bCs/>
          <w:sz w:val="24"/>
        </w:rPr>
      </w:pPr>
      <w:r>
        <w:rPr>
          <w:rFonts w:hint="eastAsia" w:ascii="仿宋" w:hAnsi="仿宋" w:eastAsia="仿宋" w:cs="仿宋"/>
          <w:bCs/>
          <w:sz w:val="24"/>
        </w:rPr>
        <w:t xml:space="preserve">                                             承诺人名称（公章）：</w:t>
      </w:r>
    </w:p>
    <w:p>
      <w:pPr>
        <w:spacing w:line="460" w:lineRule="exact"/>
        <w:jc w:val="right"/>
        <w:rPr>
          <w:rFonts w:ascii="仿宋" w:hAnsi="仿宋" w:eastAsia="仿宋" w:cs="仿宋"/>
          <w:bCs/>
          <w:sz w:val="24"/>
        </w:rPr>
      </w:pPr>
    </w:p>
    <w:p>
      <w:pPr>
        <w:spacing w:line="460" w:lineRule="exact"/>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年月日</w:t>
      </w:r>
    </w:p>
    <w:p>
      <w:pPr>
        <w:rPr>
          <w:rFonts w:ascii="仿宋" w:hAnsi="仿宋" w:eastAsia="仿宋" w:cs="仿宋"/>
        </w:rPr>
      </w:pPr>
    </w:p>
    <w:p>
      <w:pPr>
        <w:spacing w:line="480" w:lineRule="exac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8"/>
          <w:szCs w:val="28"/>
          <w14:textFill>
            <w14:solidFill>
              <w14:schemeClr w14:val="tx1"/>
            </w14:solidFill>
          </w14:textFill>
        </w:rPr>
        <w:t>二、商务技术标相关的格式文件及表格</w:t>
      </w:r>
    </w:p>
    <w:p>
      <w:pPr>
        <w:tabs>
          <w:tab w:val="left" w:pos="1260"/>
        </w:tabs>
        <w:snapToGrid w:val="0"/>
        <w:spacing w:line="300" w:lineRule="auto"/>
        <w:contextualSpacing/>
        <w:jc w:val="center"/>
      </w:pP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供应商情况一览表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ascii="宋体" w:hAnsi="宋体" w:cs="宋体"/>
                <w:sz w:val="24"/>
              </w:rPr>
            </w:pPr>
            <w:bookmarkStart w:id="11" w:name="_Toc342487729"/>
            <w:bookmarkStart w:id="12" w:name="_Toc360526535"/>
            <w:r>
              <w:rPr>
                <w:rFonts w:hint="eastAsia" w:ascii="宋体" w:hAnsi="宋体" w:cs="宋体"/>
                <w:sz w:val="24"/>
              </w:rPr>
              <w:t>单位名称</w:t>
            </w:r>
          </w:p>
        </w:tc>
        <w:tc>
          <w:tcPr>
            <w:tcW w:w="7923" w:type="dxa"/>
            <w:gridSpan w:val="10"/>
            <w:tcBorders>
              <w:top w:val="double" w:color="auto" w:sz="4" w:space="0"/>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ascii="宋体" w:hAnsi="宋体" w:cs="宋体"/>
                <w:sz w:val="24"/>
              </w:rPr>
            </w:pPr>
            <w:r>
              <w:rPr>
                <w:rFonts w:hint="eastAsia" w:ascii="宋体" w:hAnsi="宋体" w:cs="宋体"/>
                <w:sz w:val="24"/>
              </w:rPr>
              <w:t>单位优势及特长</w:t>
            </w:r>
          </w:p>
        </w:tc>
        <w:tc>
          <w:tcPr>
            <w:tcW w:w="7072" w:type="dxa"/>
            <w:gridSpan w:val="9"/>
            <w:tcBorders>
              <w:left w:val="single" w:color="auto" w:sz="4" w:space="0"/>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ascii="宋体" w:hAnsi="宋体" w:cs="宋体"/>
                <w:sz w:val="24"/>
              </w:rPr>
            </w:pPr>
            <w:r>
              <w:rPr>
                <w:rFonts w:hint="eastAsia" w:ascii="宋体" w:hAnsi="宋体" w:cs="宋体"/>
                <w:sz w:val="24"/>
              </w:rPr>
              <w:t>单位</w:t>
            </w:r>
          </w:p>
          <w:p>
            <w:pPr>
              <w:tabs>
                <w:tab w:val="left" w:pos="4320"/>
              </w:tabs>
              <w:ind w:left="266" w:hanging="266" w:hangingChars="111"/>
              <w:rPr>
                <w:rFonts w:ascii="宋体" w:hAnsi="宋体" w:cs="宋体"/>
                <w:sz w:val="24"/>
              </w:rPr>
            </w:pPr>
            <w:r>
              <w:rPr>
                <w:rFonts w:hint="eastAsia" w:ascii="宋体" w:hAnsi="宋体" w:cs="宋体"/>
                <w:sz w:val="24"/>
              </w:rPr>
              <w:t>概况</w:t>
            </w: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职工总数</w:t>
            </w:r>
          </w:p>
        </w:tc>
        <w:tc>
          <w:tcPr>
            <w:tcW w:w="1417" w:type="dxa"/>
            <w:gridSpan w:val="2"/>
            <w:vAlign w:val="center"/>
          </w:tcPr>
          <w:p>
            <w:pPr>
              <w:tabs>
                <w:tab w:val="left" w:pos="4320"/>
              </w:tabs>
              <w:jc w:val="right"/>
              <w:rPr>
                <w:rFonts w:ascii="宋体" w:hAnsi="宋体" w:cs="宋体"/>
                <w:sz w:val="24"/>
              </w:rPr>
            </w:pPr>
            <w:r>
              <w:rPr>
                <w:rFonts w:hint="eastAsia" w:ascii="宋体" w:hAnsi="宋体" w:cs="宋体"/>
                <w:sz w:val="24"/>
              </w:rPr>
              <w:t>人</w:t>
            </w:r>
          </w:p>
        </w:tc>
        <w:tc>
          <w:tcPr>
            <w:tcW w:w="567" w:type="dxa"/>
            <w:vMerge w:val="restart"/>
            <w:vAlign w:val="center"/>
          </w:tcPr>
          <w:p>
            <w:pPr>
              <w:tabs>
                <w:tab w:val="left" w:pos="4320"/>
              </w:tabs>
              <w:rPr>
                <w:rFonts w:ascii="宋体" w:hAnsi="宋体" w:cs="宋体"/>
                <w:sz w:val="24"/>
              </w:rPr>
            </w:pPr>
            <w:r>
              <w:rPr>
                <w:rFonts w:hint="eastAsia" w:ascii="宋体" w:hAnsi="宋体" w:cs="宋体"/>
                <w:sz w:val="24"/>
              </w:rPr>
              <w:t>上一年主要经济指标</w:t>
            </w:r>
          </w:p>
        </w:tc>
        <w:tc>
          <w:tcPr>
            <w:tcW w:w="946" w:type="dxa"/>
            <w:vAlign w:val="center"/>
          </w:tcPr>
          <w:p>
            <w:pPr>
              <w:tabs>
                <w:tab w:val="left" w:pos="4320"/>
              </w:tabs>
              <w:jc w:val="center"/>
              <w:rPr>
                <w:rFonts w:ascii="宋体" w:hAnsi="宋体" w:cs="宋体"/>
                <w:sz w:val="24"/>
              </w:rPr>
            </w:pPr>
            <w:r>
              <w:rPr>
                <w:rFonts w:hint="eastAsia" w:ascii="宋体" w:hAnsi="宋体" w:cs="宋体"/>
                <w:sz w:val="24"/>
              </w:rPr>
              <w:t>营业额</w:t>
            </w:r>
          </w:p>
        </w:tc>
        <w:tc>
          <w:tcPr>
            <w:tcW w:w="1414" w:type="dxa"/>
            <w:gridSpan w:val="2"/>
            <w:vAlign w:val="center"/>
          </w:tcPr>
          <w:p>
            <w:pPr>
              <w:tabs>
                <w:tab w:val="left" w:pos="4320"/>
              </w:tabs>
              <w:rPr>
                <w:rFonts w:ascii="宋体" w:hAnsi="宋体" w:cs="宋体"/>
                <w:sz w:val="24"/>
              </w:rPr>
            </w:pPr>
          </w:p>
        </w:tc>
        <w:tc>
          <w:tcPr>
            <w:tcW w:w="1184" w:type="dxa"/>
            <w:gridSpan w:val="2"/>
            <w:vAlign w:val="center"/>
          </w:tcPr>
          <w:p>
            <w:pPr>
              <w:tabs>
                <w:tab w:val="left" w:pos="4320"/>
              </w:tabs>
              <w:jc w:val="center"/>
              <w:rPr>
                <w:rFonts w:ascii="宋体" w:hAnsi="宋体" w:cs="宋体"/>
                <w:sz w:val="24"/>
              </w:rPr>
            </w:pPr>
            <w:r>
              <w:rPr>
                <w:rFonts w:hint="eastAsia" w:ascii="宋体" w:hAnsi="宋体" w:cs="宋体"/>
                <w:sz w:val="24"/>
              </w:rPr>
              <w:t>实现利润</w:t>
            </w:r>
          </w:p>
        </w:tc>
        <w:tc>
          <w:tcPr>
            <w:tcW w:w="1544" w:type="dxa"/>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cs="宋体"/>
                <w:sz w:val="24"/>
              </w:rPr>
            </w:pP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流动资金</w:t>
            </w:r>
          </w:p>
        </w:tc>
        <w:tc>
          <w:tcPr>
            <w:tcW w:w="1417" w:type="dxa"/>
            <w:gridSpan w:val="2"/>
            <w:vAlign w:val="center"/>
          </w:tcPr>
          <w:p>
            <w:pPr>
              <w:tabs>
                <w:tab w:val="left" w:pos="4320"/>
              </w:tabs>
              <w:jc w:val="right"/>
              <w:rPr>
                <w:rFonts w:ascii="宋体" w:hAnsi="宋体" w:cs="宋体"/>
                <w:sz w:val="24"/>
              </w:rPr>
            </w:pPr>
            <w:r>
              <w:rPr>
                <w:rFonts w:hint="eastAsia" w:ascii="宋体" w:hAnsi="宋体" w:cs="宋体"/>
                <w:sz w:val="24"/>
              </w:rPr>
              <w:t>万元</w:t>
            </w:r>
          </w:p>
        </w:tc>
        <w:tc>
          <w:tcPr>
            <w:tcW w:w="567" w:type="dxa"/>
            <w:vMerge w:val="continue"/>
            <w:vAlign w:val="center"/>
          </w:tcPr>
          <w:p>
            <w:pPr>
              <w:tabs>
                <w:tab w:val="left" w:pos="4320"/>
              </w:tabs>
              <w:rPr>
                <w:rFonts w:ascii="宋体" w:hAnsi="宋体" w:cs="宋体"/>
                <w:sz w:val="24"/>
              </w:rPr>
            </w:pPr>
          </w:p>
        </w:tc>
        <w:tc>
          <w:tcPr>
            <w:tcW w:w="946" w:type="dxa"/>
            <w:vMerge w:val="restart"/>
            <w:vAlign w:val="center"/>
          </w:tcPr>
          <w:p>
            <w:pPr>
              <w:tabs>
                <w:tab w:val="left" w:pos="4320"/>
              </w:tabs>
              <w:jc w:val="center"/>
              <w:rPr>
                <w:rFonts w:ascii="宋体" w:hAnsi="宋体" w:cs="宋体"/>
                <w:sz w:val="24"/>
              </w:rPr>
            </w:pPr>
            <w:r>
              <w:rPr>
                <w:rFonts w:hint="eastAsia" w:ascii="宋体" w:hAnsi="宋体" w:cs="宋体"/>
                <w:sz w:val="24"/>
              </w:rPr>
              <w:t>主要</w:t>
            </w:r>
          </w:p>
          <w:p>
            <w:pPr>
              <w:tabs>
                <w:tab w:val="left" w:pos="4320"/>
              </w:tabs>
              <w:jc w:val="center"/>
              <w:rPr>
                <w:rFonts w:ascii="宋体" w:hAnsi="宋体" w:cs="宋体"/>
                <w:sz w:val="24"/>
              </w:rPr>
            </w:pPr>
            <w:r>
              <w:rPr>
                <w:rFonts w:hint="eastAsia" w:ascii="宋体" w:hAnsi="宋体" w:cs="宋体"/>
                <w:sz w:val="24"/>
              </w:rPr>
              <w:t>产品</w:t>
            </w:r>
          </w:p>
        </w:tc>
        <w:tc>
          <w:tcPr>
            <w:tcW w:w="4142" w:type="dxa"/>
            <w:gridSpan w:val="5"/>
            <w:tcBorders>
              <w:right w:val="double" w:color="auto" w:sz="4" w:space="0"/>
            </w:tcBorders>
            <w:vAlign w:val="center"/>
          </w:tcPr>
          <w:p>
            <w:pPr>
              <w:tabs>
                <w:tab w:val="left" w:pos="4320"/>
              </w:tabs>
              <w:spacing w:before="120" w:after="120"/>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cs="宋体"/>
                <w:sz w:val="24"/>
              </w:rPr>
            </w:pP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固定资产</w:t>
            </w:r>
          </w:p>
          <w:p>
            <w:pPr>
              <w:tabs>
                <w:tab w:val="left" w:pos="4320"/>
              </w:tabs>
              <w:jc w:val="center"/>
              <w:rPr>
                <w:rFonts w:ascii="宋体" w:hAnsi="宋体" w:cs="宋体"/>
                <w:sz w:val="24"/>
              </w:rPr>
            </w:pPr>
            <w:r>
              <w:rPr>
                <w:rFonts w:hint="eastAsia" w:ascii="宋体" w:hAnsi="宋体" w:cs="宋体"/>
                <w:sz w:val="24"/>
              </w:rPr>
              <w:t>（万元）</w:t>
            </w:r>
          </w:p>
        </w:tc>
        <w:tc>
          <w:tcPr>
            <w:tcW w:w="1417" w:type="dxa"/>
            <w:gridSpan w:val="2"/>
            <w:vAlign w:val="center"/>
          </w:tcPr>
          <w:p>
            <w:pPr>
              <w:tabs>
                <w:tab w:val="left" w:pos="-48"/>
                <w:tab w:val="left" w:pos="4320"/>
              </w:tabs>
              <w:ind w:right="-133" w:hanging="48"/>
              <w:rPr>
                <w:rFonts w:ascii="宋体" w:hAnsi="宋体" w:cs="宋体"/>
                <w:sz w:val="24"/>
              </w:rPr>
            </w:pPr>
            <w:r>
              <w:rPr>
                <w:rFonts w:hint="eastAsia" w:ascii="宋体" w:hAnsi="宋体" w:cs="宋体"/>
                <w:sz w:val="24"/>
              </w:rPr>
              <w:t>原值：</w:t>
            </w:r>
          </w:p>
          <w:p>
            <w:pPr>
              <w:tabs>
                <w:tab w:val="left" w:pos="-48"/>
                <w:tab w:val="left" w:pos="4320"/>
              </w:tabs>
              <w:ind w:hanging="48"/>
              <w:jc w:val="right"/>
              <w:rPr>
                <w:rFonts w:ascii="宋体" w:hAnsi="宋体" w:cs="宋体"/>
                <w:sz w:val="24"/>
              </w:rPr>
            </w:pPr>
          </w:p>
          <w:p>
            <w:pPr>
              <w:tabs>
                <w:tab w:val="left" w:pos="-48"/>
                <w:tab w:val="left" w:pos="4320"/>
              </w:tabs>
              <w:ind w:right="-133" w:hanging="48"/>
              <w:rPr>
                <w:rFonts w:ascii="宋体" w:hAnsi="宋体" w:cs="宋体"/>
                <w:sz w:val="24"/>
              </w:rPr>
            </w:pPr>
            <w:r>
              <w:rPr>
                <w:rFonts w:hint="eastAsia" w:ascii="宋体" w:hAnsi="宋体" w:cs="宋体"/>
                <w:sz w:val="24"/>
              </w:rPr>
              <w:t>净值：</w:t>
            </w:r>
          </w:p>
          <w:p>
            <w:pPr>
              <w:tabs>
                <w:tab w:val="left" w:pos="-48"/>
                <w:tab w:val="left" w:pos="4320"/>
              </w:tabs>
              <w:ind w:hanging="48"/>
              <w:jc w:val="right"/>
              <w:rPr>
                <w:rFonts w:ascii="宋体" w:hAnsi="宋体" w:cs="宋体"/>
                <w:sz w:val="24"/>
              </w:rPr>
            </w:pPr>
          </w:p>
        </w:tc>
        <w:tc>
          <w:tcPr>
            <w:tcW w:w="567" w:type="dxa"/>
            <w:vMerge w:val="continue"/>
            <w:vAlign w:val="center"/>
          </w:tcPr>
          <w:p>
            <w:pPr>
              <w:tabs>
                <w:tab w:val="left" w:pos="4320"/>
              </w:tabs>
              <w:rPr>
                <w:rFonts w:ascii="宋体" w:hAnsi="宋体" w:cs="宋体"/>
                <w:sz w:val="24"/>
              </w:rPr>
            </w:pPr>
          </w:p>
        </w:tc>
        <w:tc>
          <w:tcPr>
            <w:tcW w:w="946" w:type="dxa"/>
            <w:vMerge w:val="continue"/>
            <w:vAlign w:val="center"/>
          </w:tcPr>
          <w:p>
            <w:pPr>
              <w:tabs>
                <w:tab w:val="left" w:pos="4320"/>
              </w:tabs>
              <w:jc w:val="center"/>
              <w:rPr>
                <w:rFonts w:ascii="宋体" w:hAnsi="宋体" w:cs="宋体"/>
                <w:sz w:val="24"/>
              </w:rPr>
            </w:pPr>
          </w:p>
        </w:tc>
        <w:tc>
          <w:tcPr>
            <w:tcW w:w="4142" w:type="dxa"/>
            <w:gridSpan w:val="5"/>
            <w:tcBorders>
              <w:right w:val="double" w:color="auto" w:sz="4" w:space="0"/>
            </w:tcBorders>
            <w:vAlign w:val="center"/>
          </w:tcPr>
          <w:p>
            <w:pPr>
              <w:tabs>
                <w:tab w:val="left" w:pos="4320"/>
              </w:tabs>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cs="宋体"/>
                <w:sz w:val="24"/>
              </w:rPr>
            </w:pPr>
          </w:p>
        </w:tc>
        <w:tc>
          <w:tcPr>
            <w:tcW w:w="1276" w:type="dxa"/>
            <w:gridSpan w:val="2"/>
            <w:vAlign w:val="center"/>
          </w:tcPr>
          <w:p>
            <w:pPr>
              <w:tabs>
                <w:tab w:val="left" w:pos="4320"/>
              </w:tabs>
              <w:jc w:val="center"/>
              <w:rPr>
                <w:rFonts w:ascii="宋体" w:hAnsi="宋体" w:cs="宋体"/>
                <w:sz w:val="24"/>
              </w:rPr>
            </w:pPr>
            <w:r>
              <w:rPr>
                <w:rFonts w:hint="eastAsia" w:ascii="宋体" w:hAnsi="宋体" w:cs="宋体"/>
                <w:sz w:val="24"/>
              </w:rPr>
              <w:t>占地面积</w:t>
            </w:r>
          </w:p>
        </w:tc>
        <w:tc>
          <w:tcPr>
            <w:tcW w:w="1417" w:type="dxa"/>
            <w:gridSpan w:val="2"/>
            <w:vAlign w:val="center"/>
          </w:tcPr>
          <w:p>
            <w:pPr>
              <w:tabs>
                <w:tab w:val="left" w:pos="4320"/>
              </w:tabs>
              <w:jc w:val="right"/>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567" w:type="dxa"/>
            <w:vMerge w:val="continue"/>
            <w:vAlign w:val="center"/>
          </w:tcPr>
          <w:p>
            <w:pPr>
              <w:tabs>
                <w:tab w:val="left" w:pos="4320"/>
              </w:tabs>
              <w:rPr>
                <w:rFonts w:ascii="宋体" w:hAnsi="宋体" w:cs="宋体"/>
                <w:sz w:val="24"/>
              </w:rPr>
            </w:pPr>
          </w:p>
        </w:tc>
        <w:tc>
          <w:tcPr>
            <w:tcW w:w="946" w:type="dxa"/>
            <w:vMerge w:val="continue"/>
            <w:vAlign w:val="center"/>
          </w:tcPr>
          <w:p>
            <w:pPr>
              <w:tabs>
                <w:tab w:val="left" w:pos="4320"/>
              </w:tabs>
              <w:jc w:val="center"/>
              <w:rPr>
                <w:rFonts w:ascii="宋体" w:hAnsi="宋体" w:cs="宋体"/>
                <w:sz w:val="24"/>
              </w:rPr>
            </w:pPr>
          </w:p>
        </w:tc>
        <w:tc>
          <w:tcPr>
            <w:tcW w:w="4142" w:type="dxa"/>
            <w:gridSpan w:val="5"/>
            <w:tcBorders>
              <w:right w:val="double" w:color="auto" w:sz="4" w:space="0"/>
            </w:tcBorders>
            <w:vAlign w:val="center"/>
          </w:tcPr>
          <w:p>
            <w:pPr>
              <w:tabs>
                <w:tab w:val="left" w:pos="4320"/>
              </w:tabs>
              <w:spacing w:before="120" w:after="120"/>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ascii="宋体" w:hAnsi="宋体" w:cs="宋体"/>
                <w:sz w:val="24"/>
              </w:rPr>
            </w:pPr>
            <w:r>
              <w:rPr>
                <w:rFonts w:hint="eastAsia" w:ascii="宋体" w:hAnsi="宋体" w:cs="宋体"/>
                <w:sz w:val="24"/>
              </w:rPr>
              <w:t>本次</w:t>
            </w:r>
          </w:p>
          <w:p>
            <w:pPr>
              <w:tabs>
                <w:tab w:val="left" w:pos="4320"/>
              </w:tabs>
              <w:ind w:left="266" w:hanging="266" w:hangingChars="111"/>
              <w:rPr>
                <w:rFonts w:ascii="宋体" w:hAnsi="宋体" w:cs="宋体"/>
                <w:sz w:val="24"/>
              </w:rPr>
            </w:pPr>
            <w:r>
              <w:rPr>
                <w:rFonts w:hint="eastAsia" w:ascii="宋体" w:hAnsi="宋体" w:cs="宋体"/>
                <w:sz w:val="24"/>
              </w:rPr>
              <w:t>投标</w:t>
            </w:r>
          </w:p>
          <w:p>
            <w:pPr>
              <w:tabs>
                <w:tab w:val="left" w:pos="4320"/>
              </w:tabs>
              <w:ind w:left="266" w:hanging="266" w:hangingChars="111"/>
              <w:rPr>
                <w:rFonts w:ascii="宋体" w:hAnsi="宋体" w:cs="宋体"/>
                <w:sz w:val="24"/>
              </w:rPr>
            </w:pPr>
            <w:r>
              <w:rPr>
                <w:rFonts w:hint="eastAsia" w:ascii="宋体" w:hAnsi="宋体" w:cs="宋体"/>
                <w:sz w:val="24"/>
              </w:rPr>
              <w:t>产品</w:t>
            </w:r>
          </w:p>
          <w:p>
            <w:pPr>
              <w:tabs>
                <w:tab w:val="left" w:pos="4320"/>
              </w:tabs>
              <w:ind w:left="266" w:hanging="266" w:hangingChars="111"/>
              <w:rPr>
                <w:rFonts w:ascii="宋体" w:hAnsi="宋体" w:cs="宋体"/>
                <w:sz w:val="24"/>
              </w:rPr>
            </w:pPr>
            <w:r>
              <w:rPr>
                <w:rFonts w:hint="eastAsia" w:ascii="宋体" w:hAnsi="宋体" w:cs="宋体"/>
                <w:sz w:val="24"/>
              </w:rPr>
              <w:t>情况</w:t>
            </w:r>
          </w:p>
        </w:tc>
        <w:tc>
          <w:tcPr>
            <w:tcW w:w="1643" w:type="dxa"/>
            <w:gridSpan w:val="3"/>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cs="宋体"/>
                <w:sz w:val="24"/>
              </w:rPr>
              <w:t>本次投标</w:t>
            </w:r>
          </w:p>
          <w:p>
            <w:pPr>
              <w:tabs>
                <w:tab w:val="left" w:pos="4320"/>
              </w:tabs>
              <w:spacing w:before="60" w:after="60"/>
              <w:jc w:val="center"/>
              <w:rPr>
                <w:rFonts w:ascii="宋体" w:hAnsi="宋体" w:cs="宋体"/>
                <w:sz w:val="24"/>
              </w:rPr>
            </w:pPr>
            <w:r>
              <w:rPr>
                <w:rFonts w:hint="eastAsia" w:ascii="宋体" w:hAnsi="宋体" w:cs="宋体"/>
                <w:sz w:val="24"/>
              </w:rPr>
              <w:t>产品名称</w:t>
            </w:r>
          </w:p>
        </w:tc>
        <w:tc>
          <w:tcPr>
            <w:tcW w:w="1617" w:type="dxa"/>
            <w:gridSpan w:val="2"/>
            <w:vAlign w:val="center"/>
          </w:tcPr>
          <w:p>
            <w:pPr>
              <w:tabs>
                <w:tab w:val="left" w:pos="4320"/>
              </w:tabs>
              <w:spacing w:before="60" w:after="60"/>
              <w:jc w:val="center"/>
              <w:rPr>
                <w:rFonts w:ascii="宋体" w:hAnsi="宋体" w:cs="宋体"/>
                <w:sz w:val="24"/>
              </w:rPr>
            </w:pPr>
            <w:r>
              <w:rPr>
                <w:rFonts w:hint="eastAsia" w:ascii="宋体" w:hAnsi="宋体" w:cs="宋体"/>
                <w:sz w:val="24"/>
              </w:rPr>
              <w:t>型    号</w:t>
            </w:r>
          </w:p>
        </w:tc>
        <w:tc>
          <w:tcPr>
            <w:tcW w:w="946" w:type="dxa"/>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cs="宋体"/>
                <w:sz w:val="24"/>
              </w:rPr>
              <w:t>上年</w:t>
            </w:r>
          </w:p>
          <w:p>
            <w:pPr>
              <w:tabs>
                <w:tab w:val="left" w:pos="4320"/>
              </w:tabs>
              <w:spacing w:before="60" w:after="60"/>
              <w:jc w:val="center"/>
              <w:rPr>
                <w:rFonts w:ascii="宋体" w:hAnsi="宋体" w:cs="宋体"/>
                <w:sz w:val="24"/>
              </w:rPr>
            </w:pPr>
            <w:r>
              <w:rPr>
                <w:rFonts w:hint="eastAsia" w:ascii="宋体" w:hAnsi="宋体" w:cs="宋体"/>
                <w:sz w:val="24"/>
              </w:rPr>
              <w:t>产销量</w:t>
            </w:r>
          </w:p>
        </w:tc>
        <w:tc>
          <w:tcPr>
            <w:tcW w:w="1263" w:type="dxa"/>
            <w:vAlign w:val="center"/>
          </w:tcPr>
          <w:p>
            <w:pPr>
              <w:tabs>
                <w:tab w:val="left" w:pos="4320"/>
              </w:tabs>
              <w:spacing w:before="60" w:after="60"/>
              <w:jc w:val="center"/>
              <w:rPr>
                <w:rFonts w:ascii="宋体" w:hAnsi="宋体" w:cs="宋体"/>
                <w:sz w:val="24"/>
              </w:rPr>
            </w:pPr>
            <w:r>
              <w:rPr>
                <w:rFonts w:hint="eastAsia" w:ascii="宋体" w:hAnsi="宋体" w:cs="宋体"/>
                <w:sz w:val="24"/>
              </w:rPr>
              <w:t>产品技术</w:t>
            </w:r>
          </w:p>
          <w:p>
            <w:pPr>
              <w:tabs>
                <w:tab w:val="left" w:pos="4320"/>
              </w:tabs>
              <w:spacing w:before="60" w:after="60"/>
              <w:jc w:val="center"/>
              <w:rPr>
                <w:rFonts w:ascii="宋体" w:hAnsi="宋体" w:cs="宋体"/>
                <w:sz w:val="24"/>
              </w:rPr>
            </w:pPr>
            <w:r>
              <w:rPr>
                <w:rFonts w:hint="eastAsia" w:ascii="宋体" w:hAnsi="宋体" w:cs="宋体"/>
                <w:sz w:val="24"/>
              </w:rPr>
              <w:t>先进水平</w:t>
            </w:r>
          </w:p>
        </w:tc>
        <w:tc>
          <w:tcPr>
            <w:tcW w:w="1273" w:type="dxa"/>
            <w:gridSpan w:val="2"/>
            <w:vAlign w:val="center"/>
          </w:tcPr>
          <w:p>
            <w:pPr>
              <w:tabs>
                <w:tab w:val="left" w:pos="4320"/>
              </w:tabs>
              <w:spacing w:before="60" w:after="60"/>
              <w:jc w:val="center"/>
              <w:rPr>
                <w:rFonts w:ascii="宋体" w:hAnsi="宋体" w:cs="宋体"/>
                <w:sz w:val="24"/>
              </w:rPr>
            </w:pPr>
            <w:r>
              <w:rPr>
                <w:rFonts w:hint="eastAsia" w:ascii="宋体" w:hAnsi="宋体" w:cs="宋体"/>
                <w:sz w:val="24"/>
              </w:rPr>
              <w:t>曾获何级</w:t>
            </w:r>
          </w:p>
          <w:p>
            <w:pPr>
              <w:tabs>
                <w:tab w:val="left" w:pos="4320"/>
              </w:tabs>
              <w:spacing w:before="60" w:after="60"/>
              <w:jc w:val="center"/>
              <w:rPr>
                <w:rFonts w:ascii="宋体" w:hAnsi="宋体" w:cs="宋体"/>
                <w:sz w:val="24"/>
              </w:rPr>
            </w:pPr>
            <w:r>
              <w:rPr>
                <w:rFonts w:hint="eastAsia" w:ascii="宋体" w:hAnsi="宋体" w:cs="宋体"/>
                <w:sz w:val="24"/>
              </w:rPr>
              <w:t>何种奖励</w:t>
            </w:r>
          </w:p>
        </w:tc>
        <w:tc>
          <w:tcPr>
            <w:tcW w:w="1606" w:type="dxa"/>
            <w:gridSpan w:val="2"/>
            <w:tcBorders>
              <w:right w:val="double" w:color="auto" w:sz="4" w:space="0"/>
            </w:tcBorders>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cs="宋体"/>
                <w:sz w:val="24"/>
              </w:rPr>
              <w:t>主要用户</w:t>
            </w:r>
          </w:p>
          <w:p>
            <w:pPr>
              <w:tabs>
                <w:tab w:val="left" w:pos="4320"/>
              </w:tabs>
              <w:spacing w:before="60" w:after="60"/>
              <w:jc w:val="center"/>
              <w:rPr>
                <w:rFonts w:ascii="宋体" w:hAnsi="宋体" w:cs="宋体"/>
                <w:sz w:val="24"/>
              </w:rPr>
            </w:pPr>
            <w:r>
              <w:rPr>
                <w:rFonts w:hint="eastAsia" w:ascii="宋体" w:hAnsi="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cs="宋体"/>
                <w:sz w:val="24"/>
              </w:rPr>
            </w:pPr>
          </w:p>
        </w:tc>
        <w:tc>
          <w:tcPr>
            <w:tcW w:w="1643" w:type="dxa"/>
            <w:gridSpan w:val="3"/>
            <w:vAlign w:val="center"/>
          </w:tcPr>
          <w:p>
            <w:pPr>
              <w:tabs>
                <w:tab w:val="left" w:pos="4320"/>
              </w:tabs>
              <w:rPr>
                <w:rFonts w:ascii="宋体" w:hAnsi="宋体" w:cs="宋体"/>
                <w:sz w:val="24"/>
              </w:rPr>
            </w:pPr>
          </w:p>
        </w:tc>
        <w:tc>
          <w:tcPr>
            <w:tcW w:w="1617" w:type="dxa"/>
            <w:gridSpan w:val="2"/>
            <w:vAlign w:val="center"/>
          </w:tcPr>
          <w:p>
            <w:pPr>
              <w:tabs>
                <w:tab w:val="left" w:pos="4320"/>
              </w:tabs>
              <w:rPr>
                <w:rFonts w:ascii="宋体" w:hAnsi="宋体" w:cs="宋体"/>
                <w:sz w:val="24"/>
              </w:rPr>
            </w:pPr>
          </w:p>
        </w:tc>
        <w:tc>
          <w:tcPr>
            <w:tcW w:w="946" w:type="dxa"/>
            <w:vAlign w:val="center"/>
          </w:tcPr>
          <w:p>
            <w:pPr>
              <w:tabs>
                <w:tab w:val="left" w:pos="4320"/>
              </w:tabs>
              <w:rPr>
                <w:rFonts w:ascii="宋体" w:hAnsi="宋体" w:cs="宋体"/>
                <w:sz w:val="24"/>
              </w:rPr>
            </w:pPr>
          </w:p>
        </w:tc>
        <w:tc>
          <w:tcPr>
            <w:tcW w:w="1263" w:type="dxa"/>
            <w:vAlign w:val="center"/>
          </w:tcPr>
          <w:p>
            <w:pPr>
              <w:tabs>
                <w:tab w:val="left" w:pos="4320"/>
              </w:tabs>
              <w:rPr>
                <w:rFonts w:ascii="宋体" w:hAnsi="宋体" w:cs="宋体"/>
                <w:sz w:val="24"/>
              </w:rPr>
            </w:pPr>
          </w:p>
        </w:tc>
        <w:tc>
          <w:tcPr>
            <w:tcW w:w="1273" w:type="dxa"/>
            <w:gridSpan w:val="2"/>
            <w:vAlign w:val="center"/>
          </w:tcPr>
          <w:p>
            <w:pPr>
              <w:tabs>
                <w:tab w:val="left" w:pos="4320"/>
              </w:tabs>
              <w:rPr>
                <w:rFonts w:ascii="宋体" w:hAnsi="宋体" w:cs="宋体"/>
                <w:sz w:val="24"/>
              </w:rPr>
            </w:pPr>
          </w:p>
        </w:tc>
        <w:tc>
          <w:tcPr>
            <w:tcW w:w="1606" w:type="dxa"/>
            <w:gridSpan w:val="2"/>
            <w:tcBorders>
              <w:right w:val="double" w:color="auto" w:sz="4" w:space="0"/>
            </w:tcBorders>
            <w:vAlign w:val="center"/>
          </w:tcPr>
          <w:p>
            <w:pPr>
              <w:tabs>
                <w:tab w:val="left" w:pos="4320"/>
              </w:tabs>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ascii="宋体" w:hAnsi="宋体" w:cs="宋体"/>
                <w:sz w:val="24"/>
              </w:rPr>
            </w:pPr>
            <w:r>
              <w:rPr>
                <w:rFonts w:hint="eastAsia" w:ascii="宋体" w:hAnsi="宋体" w:cs="宋体"/>
                <w:sz w:val="24"/>
              </w:rPr>
              <w:t>其它</w:t>
            </w:r>
          </w:p>
        </w:tc>
        <w:tc>
          <w:tcPr>
            <w:tcW w:w="4206" w:type="dxa"/>
            <w:gridSpan w:val="6"/>
            <w:vAlign w:val="center"/>
          </w:tcPr>
          <w:p>
            <w:pPr>
              <w:tabs>
                <w:tab w:val="left" w:pos="4320"/>
              </w:tabs>
              <w:spacing w:before="60" w:after="60"/>
              <w:rPr>
                <w:rFonts w:ascii="宋体" w:hAnsi="宋体" w:cs="宋体"/>
                <w:sz w:val="24"/>
              </w:rPr>
            </w:pPr>
            <w:r>
              <w:rPr>
                <w:rFonts w:hint="eastAsia" w:ascii="宋体" w:hAnsi="宋体" w:cs="宋体"/>
                <w:sz w:val="24"/>
              </w:rPr>
              <w:t>近3年完成及正在执行的合同中发生的由于供应商违约或部分违约而引起诉讼和受到索赔的案件具体情况及结果（须如实填写，若对此进行隐瞒，尔后又被采购人或采购学校发现，或被它人举证成立，其投标资格将被取消）。</w:t>
            </w:r>
          </w:p>
        </w:tc>
        <w:tc>
          <w:tcPr>
            <w:tcW w:w="4142" w:type="dxa"/>
            <w:gridSpan w:val="5"/>
            <w:tcBorders>
              <w:right w:val="double" w:color="auto" w:sz="4" w:space="0"/>
            </w:tcBorders>
            <w:vAlign w:val="center"/>
          </w:tcPr>
          <w:p>
            <w:pPr>
              <w:tabs>
                <w:tab w:val="left" w:pos="4320"/>
              </w:tabs>
              <w:spacing w:before="60" w:after="60"/>
              <w:rPr>
                <w:rFonts w:ascii="宋体" w:hAnsi="宋体" w:cs="宋体"/>
                <w:sz w:val="24"/>
              </w:rPr>
            </w:pPr>
            <w:r>
              <w:rPr>
                <w:rFonts w:hint="eastAsia" w:ascii="宋体" w:hAnsi="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tabs>
                <w:tab w:val="left" w:pos="4320"/>
              </w:tabs>
              <w:rPr>
                <w:rFonts w:ascii="宋体" w:hAnsi="宋体" w:cs="宋体"/>
                <w:sz w:val="24"/>
              </w:rPr>
            </w:pPr>
          </w:p>
        </w:tc>
        <w:tc>
          <w:tcPr>
            <w:tcW w:w="4206" w:type="dxa"/>
            <w:gridSpan w:val="6"/>
            <w:tcBorders>
              <w:bottom w:val="double" w:color="auto" w:sz="4" w:space="0"/>
            </w:tcBorders>
            <w:vAlign w:val="center"/>
          </w:tcPr>
          <w:p>
            <w:pPr>
              <w:tabs>
                <w:tab w:val="left" w:pos="4320"/>
              </w:tabs>
              <w:rPr>
                <w:rFonts w:ascii="宋体" w:hAnsi="宋体" w:cs="宋体"/>
                <w:sz w:val="24"/>
              </w:rPr>
            </w:pPr>
          </w:p>
        </w:tc>
        <w:tc>
          <w:tcPr>
            <w:tcW w:w="4142" w:type="dxa"/>
            <w:gridSpan w:val="5"/>
            <w:tcBorders>
              <w:bottom w:val="double" w:color="auto" w:sz="4" w:space="0"/>
              <w:right w:val="double" w:color="auto" w:sz="4" w:space="0"/>
            </w:tcBorders>
            <w:vAlign w:val="center"/>
          </w:tcPr>
          <w:p>
            <w:pPr>
              <w:tabs>
                <w:tab w:val="left" w:pos="4320"/>
              </w:tabs>
              <w:rPr>
                <w:rFonts w:ascii="宋体" w:hAnsi="宋体" w:cs="宋体"/>
                <w:sz w:val="24"/>
              </w:rPr>
            </w:pPr>
          </w:p>
        </w:tc>
      </w:tr>
    </w:tbl>
    <w:p>
      <w:pPr>
        <w:spacing w:line="360" w:lineRule="auto"/>
        <w:jc w:val="right"/>
        <w:rPr>
          <w:rFonts w:ascii="仿宋" w:hAnsi="仿宋" w:eastAsia="仿宋" w:cs="仿宋"/>
          <w:b/>
          <w:bCs/>
          <w:color w:val="000000" w:themeColor="text1"/>
          <w:sz w:val="24"/>
          <w:szCs w:val="24"/>
          <w14:textFill>
            <w14:solidFill>
              <w14:schemeClr w14:val="tx1"/>
            </w14:solidFill>
          </w14:textFill>
        </w:rPr>
      </w:pPr>
    </w:p>
    <w:bookmarkEnd w:id="10"/>
    <w:bookmarkEnd w:id="11"/>
    <w:bookmarkEnd w:id="12"/>
    <w:p>
      <w:pPr>
        <w:spacing w:line="520" w:lineRule="exact"/>
        <w:rPr>
          <w:rFonts w:ascii="仿宋" w:hAnsi="仿宋" w:eastAsia="仿宋" w:cs="仿宋"/>
          <w:b/>
          <w:bCs/>
          <w:color w:val="000000" w:themeColor="text1"/>
          <w:sz w:val="24"/>
          <w:szCs w:val="24"/>
          <w14:textFill>
            <w14:solidFill>
              <w14:schemeClr w14:val="tx1"/>
            </w14:solidFill>
          </w14:textFill>
        </w:rPr>
      </w:pPr>
    </w:p>
    <w:p>
      <w:pPr>
        <w:snapToGrid w:val="0"/>
        <w:spacing w:line="300" w:lineRule="auto"/>
        <w:contextualSpacing/>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2.</w:t>
      </w:r>
      <w:r>
        <w:rPr>
          <w:rFonts w:hint="eastAsia" w:ascii="方正仿宋_GBK" w:hAnsi="方正仿宋_GBK" w:eastAsia="方正仿宋_GBK" w:cs="方正仿宋_GBK"/>
          <w:b/>
          <w:sz w:val="32"/>
          <w:szCs w:val="32"/>
        </w:rPr>
        <w:t>商务部分正负偏离表</w:t>
      </w:r>
    </w:p>
    <w:p>
      <w:pPr>
        <w:ind w:firstLine="560" w:firstLineChars="2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（由供应商据实填写，表格不够自行添加）</w:t>
      </w:r>
    </w:p>
    <w:tbl>
      <w:tblPr>
        <w:tblStyle w:val="5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方正仿宋_GBK" w:hAnsi="方正仿宋_GBK" w:eastAsia="方正仿宋_GBK" w:cs="方正仿宋_GBK"/>
                <w:sz w:val="24"/>
              </w:rPr>
            </w:pPr>
          </w:p>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bl>
    <w:p>
      <w:pPr>
        <w:snapToGrid w:val="0"/>
        <w:spacing w:line="300" w:lineRule="auto"/>
        <w:contextualSpacing/>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注：</w:t>
      </w:r>
    </w:p>
    <w:p>
      <w:pPr>
        <w:snapToGrid w:val="0"/>
        <w:spacing w:line="300" w:lineRule="auto"/>
        <w:ind w:firstLine="480" w:firstLineChars="200"/>
        <w:contextualSpacing/>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1.供应商提交的响应文件中与采购文件第三部分“项目需求”中的商务部分的要求，应逐条填列在偏离表中。</w:t>
      </w:r>
    </w:p>
    <w:p>
      <w:pPr>
        <w:snapToGrid w:val="0"/>
        <w:spacing w:line="300" w:lineRule="auto"/>
        <w:ind w:firstLine="480" w:firstLineChars="200"/>
        <w:contextualSpacing/>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2.“偏离说明”一栏选择“正偏离”、“无偏离”、“负偏离”进行填写。正偏离、无偏离的确认和负偏离的是否响应采购文件，由评标小组认定。</w:t>
      </w:r>
    </w:p>
    <w:p>
      <w:pPr>
        <w:snapToGrid w:val="0"/>
        <w:spacing w:line="300" w:lineRule="auto"/>
        <w:ind w:firstLine="480" w:firstLineChars="200"/>
        <w:contextualSpacing/>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3.供应商如果虚假响应，将被暂停参加采购人组织政府采购活动。</w:t>
      </w:r>
    </w:p>
    <w:p>
      <w:pPr>
        <w:snapToGrid w:val="0"/>
        <w:spacing w:line="300" w:lineRule="auto"/>
        <w:ind w:firstLine="480" w:firstLineChars="200"/>
        <w:contextualSpacing/>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4.供应商若提供其他增值服务，可以在表中自行据实填写。</w:t>
      </w:r>
    </w:p>
    <w:p>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p>
      <w:pPr>
        <w:snapToGrid w:val="0"/>
        <w:spacing w:line="300" w:lineRule="auto"/>
        <w:contextualSpacing/>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b/>
          <w:sz w:val="32"/>
          <w:szCs w:val="32"/>
        </w:rPr>
        <w:t>技术部分正负偏离表</w:t>
      </w:r>
    </w:p>
    <w:p>
      <w:pPr>
        <w:ind w:firstLine="560" w:firstLineChars="2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（由供应商据实填写，表格不够自行添加）</w:t>
      </w:r>
    </w:p>
    <w:tbl>
      <w:tblPr>
        <w:tblStyle w:val="5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方正仿宋_GBK" w:hAnsi="方正仿宋_GBK" w:eastAsia="方正仿宋_GBK" w:cs="方正仿宋_GBK"/>
                <w:sz w:val="24"/>
              </w:rPr>
            </w:pPr>
          </w:p>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4"/>
              </w:rPr>
            </w:pPr>
          </w:p>
        </w:tc>
      </w:tr>
    </w:tbl>
    <w:p>
      <w:pPr>
        <w:snapToGrid w:val="0"/>
        <w:spacing w:line="300" w:lineRule="auto"/>
        <w:contextualSpacing/>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注：</w:t>
      </w:r>
    </w:p>
    <w:p>
      <w:pPr>
        <w:snapToGrid w:val="0"/>
        <w:spacing w:line="300" w:lineRule="auto"/>
        <w:ind w:firstLine="480" w:firstLineChars="200"/>
        <w:contextualSpacing/>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1.供应商提交的响应文件中与采购文件第三部分“项目需求”中的技术部分的要求，应逐条填列在偏离表中。</w:t>
      </w:r>
    </w:p>
    <w:p>
      <w:pPr>
        <w:snapToGrid w:val="0"/>
        <w:spacing w:line="300" w:lineRule="auto"/>
        <w:ind w:firstLine="480" w:firstLineChars="200"/>
        <w:contextualSpacing/>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2.“偏离说明”一栏选择“正偏离”、“无偏离”、“负偏离”进行填写。正偏离、无偏离的确认和负偏离的是否响应采购文件，由评标小组认定。</w:t>
      </w:r>
    </w:p>
    <w:p>
      <w:pPr>
        <w:snapToGrid w:val="0"/>
        <w:spacing w:line="300" w:lineRule="auto"/>
        <w:ind w:firstLine="480" w:firstLineChars="200"/>
        <w:contextualSpacing/>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3.供应商如果虚假响应，将被暂停参加采购人组织政府采购活动。</w:t>
      </w:r>
    </w:p>
    <w:p>
      <w:pPr>
        <w:snapToGrid w:val="0"/>
        <w:spacing w:line="300" w:lineRule="auto"/>
        <w:ind w:firstLine="480" w:firstLineChars="200"/>
        <w:contextualSpacing/>
        <w:rPr>
          <w:rFonts w:ascii="宋体" w:hAnsi="宋体" w:cs="宋体"/>
          <w:kern w:val="0"/>
          <w:sz w:val="32"/>
          <w:szCs w:val="32"/>
        </w:rPr>
        <w:sectPr>
          <w:pgSz w:w="11906" w:h="16838"/>
          <w:pgMar w:top="1440" w:right="1797" w:bottom="1440" w:left="1797" w:header="851" w:footer="992" w:gutter="0"/>
          <w:cols w:space="720" w:num="1"/>
          <w:docGrid w:type="lines" w:linePitch="312" w:charSpace="0"/>
        </w:sectPr>
      </w:pPr>
      <w:r>
        <w:rPr>
          <w:rFonts w:hint="eastAsia" w:ascii="方正仿宋_GBK" w:hAnsi="方正仿宋_GBK" w:eastAsia="方正仿宋_GBK" w:cs="方正仿宋_GBK"/>
          <w:bCs/>
          <w:sz w:val="24"/>
        </w:rPr>
        <w:t>4.供应商若提供其他增值服务，可以在表中自行据实填写。</w:t>
      </w:r>
    </w:p>
    <w:p>
      <w:pPr>
        <w:spacing w:line="520" w:lineRule="exact"/>
        <w:rPr>
          <w:rFonts w:ascii="仿宋" w:hAnsi="仿宋" w:eastAsia="仿宋" w:cs="仿宋"/>
          <w:b/>
          <w:bCs/>
          <w:color w:val="000000" w:themeColor="text1"/>
          <w:sz w:val="24"/>
          <w:szCs w:val="24"/>
          <w14:textFill>
            <w14:solidFill>
              <w14:schemeClr w14:val="tx1"/>
            </w14:solidFill>
          </w14:textFill>
        </w:rPr>
      </w:pPr>
    </w:p>
    <w:p>
      <w:pPr>
        <w:spacing w:line="52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价格标相关的格式文件及表格</w:t>
      </w:r>
    </w:p>
    <w:p>
      <w:pPr>
        <w:widowControl/>
        <w:spacing w:before="100" w:beforeAutospacing="1" w:after="100" w:afterAutospacing="1" w:line="500" w:lineRule="atLeas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lang w:val="en-US" w:eastAsia="zh-CN"/>
        </w:rPr>
        <w:t>1.</w:t>
      </w:r>
      <w:r>
        <w:rPr>
          <w:rFonts w:hint="eastAsia" w:ascii="方正仿宋_GBK" w:hAnsi="方正仿宋_GBK" w:eastAsia="方正仿宋_GBK" w:cs="方正仿宋_GBK"/>
          <w:b/>
          <w:bCs/>
          <w:kern w:val="0"/>
          <w:sz w:val="32"/>
          <w:szCs w:val="32"/>
        </w:rPr>
        <w:t>开  标 一 览  表</w:t>
      </w:r>
    </w:p>
    <w:p>
      <w:pPr>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投标人全称（加盖公章）：</w:t>
      </w:r>
    </w:p>
    <w:p>
      <w:pPr>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项目名称：</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项目编号：</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分包号：</w:t>
      </w:r>
    </w:p>
    <w:tbl>
      <w:tblPr>
        <w:tblStyle w:val="5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8"/>
                <w:szCs w:val="28"/>
              </w:rPr>
              <w:t>投标服务名称</w:t>
            </w:r>
          </w:p>
        </w:tc>
        <w:tc>
          <w:tcPr>
            <w:tcW w:w="4607" w:type="dxa"/>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8"/>
                <w:szCs w:val="28"/>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hint="eastAsia" w:ascii="方正仿宋_GBK" w:hAnsi="方正仿宋_GBK" w:eastAsia="方正仿宋_GBK" w:cs="方正仿宋_GBK"/>
              </w:rPr>
            </w:pPr>
          </w:p>
        </w:tc>
        <w:tc>
          <w:tcPr>
            <w:tcW w:w="4607" w:type="dxa"/>
          </w:tcPr>
          <w:p>
            <w:pP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大写：</w:t>
            </w:r>
          </w:p>
          <w:p>
            <w:pPr>
              <w:rPr>
                <w:rFonts w:hint="eastAsia" w:ascii="方正仿宋_GBK" w:hAnsi="方正仿宋_GBK" w:eastAsia="方正仿宋_GBK" w:cs="方正仿宋_GBK"/>
                <w:u w:val="single"/>
              </w:rPr>
            </w:pPr>
            <w:r>
              <w:rPr>
                <w:rFonts w:hint="eastAsia" w:ascii="方正仿宋_GBK" w:hAnsi="方正仿宋_GBK" w:eastAsia="方正仿宋_GBK" w:cs="方正仿宋_GBK"/>
                <w:kern w:val="0"/>
                <w:sz w:val="28"/>
                <w:szCs w:val="28"/>
              </w:rPr>
              <w:t>小写：元（人民币）</w:t>
            </w:r>
          </w:p>
        </w:tc>
      </w:tr>
    </w:tbl>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填写说明：</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开标一览表必须加盖投标单位公章（复印件无效）。</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如有分包，投标人投任何一个包的标的，都需单独填写开标一览表。</w:t>
      </w:r>
    </w:p>
    <w:p>
      <w:pPr>
        <w:tabs>
          <w:tab w:val="left" w:pos="3521"/>
          <w:tab w:val="center" w:pos="4394"/>
        </w:tabs>
        <w:snapToGrid w:val="0"/>
        <w:spacing w:line="480" w:lineRule="exact"/>
        <w:ind w:firstLine="482" w:firstLineChars="200"/>
        <w:jc w:val="left"/>
        <w:rPr>
          <w:rFonts w:ascii="仿宋" w:hAnsi="仿宋" w:eastAsia="仿宋" w:cs="仿宋"/>
          <w:b/>
          <w:bCs/>
          <w:color w:val="000000" w:themeColor="text1"/>
          <w:sz w:val="24"/>
          <w:szCs w:val="24"/>
          <w14:textFill>
            <w14:solidFill>
              <w14:schemeClr w14:val="tx1"/>
            </w14:solidFill>
          </w14:textFill>
        </w:rPr>
      </w:pPr>
    </w:p>
    <w:p>
      <w:pPr>
        <w:snapToGrid w:val="0"/>
        <w:spacing w:line="400" w:lineRule="exact"/>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snapToGrid w:val="0"/>
        <w:spacing w:line="400" w:lineRule="exact"/>
        <w:ind w:firstLine="579" w:firstLineChars="206"/>
        <w:jc w:val="center"/>
        <w:rPr>
          <w:rFonts w:ascii="仿宋" w:hAnsi="仿宋" w:eastAsia="仿宋" w:cs="仿宋"/>
          <w:b/>
          <w:color w:val="000000" w:themeColor="text1"/>
          <w:sz w:val="28"/>
          <w:szCs w:val="28"/>
          <w14:textFill>
            <w14:solidFill>
              <w14:schemeClr w14:val="tx1"/>
            </w14:solidFill>
          </w14:textFill>
        </w:rPr>
      </w:pPr>
    </w:p>
    <w:p>
      <w:pPr>
        <w:pStyle w:val="3"/>
        <w:rPr>
          <w:rFonts w:ascii="仿宋" w:hAnsi="仿宋" w:eastAsia="仿宋" w:cs="仿宋"/>
          <w:b/>
          <w:color w:val="000000" w:themeColor="text1"/>
          <w:sz w:val="28"/>
          <w:szCs w:val="28"/>
          <w14:textFill>
            <w14:solidFill>
              <w14:schemeClr w14:val="tx1"/>
            </w14:solidFill>
          </w14:textFill>
        </w:rPr>
      </w:pPr>
    </w:p>
    <w:p>
      <w:pPr>
        <w:spacing w:line="400" w:lineRule="exact"/>
        <w:jc w:val="both"/>
        <w:rPr>
          <w:rFonts w:hint="eastAsia" w:ascii="仿宋" w:hAnsi="仿宋" w:eastAsia="仿宋" w:cs="仿宋"/>
          <w:b/>
          <w:bCs/>
          <w:sz w:val="28"/>
          <w:szCs w:val="28"/>
          <w:lang w:val="en-US" w:bidi="zh-CN"/>
        </w:rPr>
      </w:pPr>
    </w:p>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28"/>
          <w:szCs w:val="28"/>
          <w:lang w:val="en-US" w:bidi="zh-CN"/>
        </w:rPr>
        <w:t>2.</w:t>
      </w:r>
      <w:r>
        <w:rPr>
          <w:rFonts w:hint="eastAsia" w:ascii="方正仿宋_GBK" w:hAnsi="方正仿宋_GBK" w:eastAsia="方正仿宋_GBK" w:cs="方正仿宋_GBK"/>
          <w:b/>
          <w:bCs/>
          <w:sz w:val="32"/>
          <w:szCs w:val="32"/>
        </w:rPr>
        <w:t>分项报价明细表（货物类）</w:t>
      </w:r>
    </w:p>
    <w:p>
      <w:pPr>
        <w:snapToGrid w:val="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供应商（盖章）：</w:t>
      </w:r>
    </w:p>
    <w:tbl>
      <w:tblPr>
        <w:tblStyle w:val="5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340"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名称</w:t>
            </w:r>
          </w:p>
        </w:tc>
        <w:tc>
          <w:tcPr>
            <w:tcW w:w="1211"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规格型号</w:t>
            </w:r>
          </w:p>
        </w:tc>
        <w:tc>
          <w:tcPr>
            <w:tcW w:w="1276"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品牌</w:t>
            </w:r>
          </w:p>
        </w:tc>
        <w:tc>
          <w:tcPr>
            <w:tcW w:w="992"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单位</w:t>
            </w:r>
          </w:p>
        </w:tc>
        <w:tc>
          <w:tcPr>
            <w:tcW w:w="851"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数量</w:t>
            </w:r>
          </w:p>
        </w:tc>
        <w:tc>
          <w:tcPr>
            <w:tcW w:w="850"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单价</w:t>
            </w:r>
          </w:p>
        </w:tc>
        <w:tc>
          <w:tcPr>
            <w:tcW w:w="851" w:type="dxa"/>
            <w:vAlign w:val="center"/>
          </w:tcPr>
          <w:p>
            <w:pPr>
              <w:snapToGrid w:val="0"/>
              <w:spacing w:line="36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金额</w:t>
            </w:r>
          </w:p>
        </w:tc>
        <w:tc>
          <w:tcPr>
            <w:tcW w:w="1403" w:type="dxa"/>
            <w:vAlign w:val="center"/>
          </w:tcPr>
          <w:p>
            <w:pPr>
              <w:snapToGrid w:val="0"/>
              <w:spacing w:line="360" w:lineRule="auto"/>
              <w:ind w:firstLine="105" w:firstLineChars="50"/>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340" w:type="dxa"/>
            <w:vAlign w:val="center"/>
          </w:tcPr>
          <w:p>
            <w:pPr>
              <w:snapToGrid w:val="0"/>
              <w:spacing w:line="360" w:lineRule="auto"/>
              <w:jc w:val="center"/>
              <w:rPr>
                <w:rFonts w:hint="eastAsia" w:ascii="方正仿宋_GBK" w:hAnsi="方正仿宋_GBK" w:eastAsia="方正仿宋_GBK" w:cs="方正仿宋_GBK"/>
                <w:sz w:val="24"/>
              </w:rPr>
            </w:pPr>
          </w:p>
        </w:tc>
        <w:tc>
          <w:tcPr>
            <w:tcW w:w="1211" w:type="dxa"/>
            <w:vAlign w:val="center"/>
          </w:tcPr>
          <w:p>
            <w:pPr>
              <w:snapToGrid w:val="0"/>
              <w:spacing w:line="360" w:lineRule="auto"/>
              <w:jc w:val="center"/>
              <w:rPr>
                <w:rFonts w:hint="eastAsia" w:ascii="方正仿宋_GBK" w:hAnsi="方正仿宋_GBK" w:eastAsia="方正仿宋_GBK" w:cs="方正仿宋_GBK"/>
                <w:sz w:val="24"/>
              </w:rPr>
            </w:pPr>
          </w:p>
        </w:tc>
        <w:tc>
          <w:tcPr>
            <w:tcW w:w="1276" w:type="dxa"/>
            <w:vAlign w:val="center"/>
          </w:tcPr>
          <w:p>
            <w:pPr>
              <w:snapToGrid w:val="0"/>
              <w:spacing w:line="360" w:lineRule="auto"/>
              <w:jc w:val="center"/>
              <w:rPr>
                <w:rFonts w:hint="eastAsia" w:ascii="方正仿宋_GBK" w:hAnsi="方正仿宋_GBK" w:eastAsia="方正仿宋_GBK" w:cs="方正仿宋_GBK"/>
                <w:sz w:val="24"/>
              </w:rPr>
            </w:pPr>
          </w:p>
        </w:tc>
        <w:tc>
          <w:tcPr>
            <w:tcW w:w="992"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850"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1403" w:type="dxa"/>
            <w:vAlign w:val="center"/>
          </w:tcPr>
          <w:p>
            <w:pPr>
              <w:snapToGrid w:val="0"/>
              <w:spacing w:line="360" w:lineRule="auto"/>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340" w:type="dxa"/>
            <w:vAlign w:val="center"/>
          </w:tcPr>
          <w:p>
            <w:pPr>
              <w:snapToGrid w:val="0"/>
              <w:spacing w:line="360" w:lineRule="auto"/>
              <w:jc w:val="center"/>
              <w:rPr>
                <w:rFonts w:hint="eastAsia" w:ascii="方正仿宋_GBK" w:hAnsi="方正仿宋_GBK" w:eastAsia="方正仿宋_GBK" w:cs="方正仿宋_GBK"/>
                <w:sz w:val="24"/>
              </w:rPr>
            </w:pPr>
          </w:p>
        </w:tc>
        <w:tc>
          <w:tcPr>
            <w:tcW w:w="1211" w:type="dxa"/>
            <w:vAlign w:val="center"/>
          </w:tcPr>
          <w:p>
            <w:pPr>
              <w:snapToGrid w:val="0"/>
              <w:spacing w:line="360" w:lineRule="auto"/>
              <w:jc w:val="center"/>
              <w:rPr>
                <w:rFonts w:hint="eastAsia" w:ascii="方正仿宋_GBK" w:hAnsi="方正仿宋_GBK" w:eastAsia="方正仿宋_GBK" w:cs="方正仿宋_GBK"/>
                <w:sz w:val="24"/>
              </w:rPr>
            </w:pPr>
          </w:p>
        </w:tc>
        <w:tc>
          <w:tcPr>
            <w:tcW w:w="1276" w:type="dxa"/>
            <w:vAlign w:val="center"/>
          </w:tcPr>
          <w:p>
            <w:pPr>
              <w:snapToGrid w:val="0"/>
              <w:spacing w:line="360" w:lineRule="auto"/>
              <w:jc w:val="center"/>
              <w:rPr>
                <w:rFonts w:hint="eastAsia" w:ascii="方正仿宋_GBK" w:hAnsi="方正仿宋_GBK" w:eastAsia="方正仿宋_GBK" w:cs="方正仿宋_GBK"/>
                <w:sz w:val="24"/>
              </w:rPr>
            </w:pPr>
          </w:p>
        </w:tc>
        <w:tc>
          <w:tcPr>
            <w:tcW w:w="992"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850"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1403" w:type="dxa"/>
            <w:vAlign w:val="center"/>
          </w:tcPr>
          <w:p>
            <w:pPr>
              <w:snapToGrid w:val="0"/>
              <w:spacing w:line="360" w:lineRule="auto"/>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340" w:type="dxa"/>
            <w:vAlign w:val="center"/>
          </w:tcPr>
          <w:p>
            <w:pPr>
              <w:snapToGrid w:val="0"/>
              <w:spacing w:line="360" w:lineRule="auto"/>
              <w:jc w:val="center"/>
              <w:rPr>
                <w:rFonts w:hint="eastAsia" w:ascii="方正仿宋_GBK" w:hAnsi="方正仿宋_GBK" w:eastAsia="方正仿宋_GBK" w:cs="方正仿宋_GBK"/>
                <w:sz w:val="24"/>
              </w:rPr>
            </w:pPr>
          </w:p>
        </w:tc>
        <w:tc>
          <w:tcPr>
            <w:tcW w:w="1211" w:type="dxa"/>
            <w:vAlign w:val="center"/>
          </w:tcPr>
          <w:p>
            <w:pPr>
              <w:snapToGrid w:val="0"/>
              <w:spacing w:line="360" w:lineRule="auto"/>
              <w:jc w:val="center"/>
              <w:rPr>
                <w:rFonts w:hint="eastAsia" w:ascii="方正仿宋_GBK" w:hAnsi="方正仿宋_GBK" w:eastAsia="方正仿宋_GBK" w:cs="方正仿宋_GBK"/>
                <w:sz w:val="24"/>
              </w:rPr>
            </w:pPr>
          </w:p>
        </w:tc>
        <w:tc>
          <w:tcPr>
            <w:tcW w:w="1276" w:type="dxa"/>
            <w:vAlign w:val="center"/>
          </w:tcPr>
          <w:p>
            <w:pPr>
              <w:snapToGrid w:val="0"/>
              <w:spacing w:line="360" w:lineRule="auto"/>
              <w:jc w:val="center"/>
              <w:rPr>
                <w:rFonts w:hint="eastAsia" w:ascii="方正仿宋_GBK" w:hAnsi="方正仿宋_GBK" w:eastAsia="方正仿宋_GBK" w:cs="方正仿宋_GBK"/>
                <w:sz w:val="24"/>
              </w:rPr>
            </w:pPr>
          </w:p>
        </w:tc>
        <w:tc>
          <w:tcPr>
            <w:tcW w:w="992"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850"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1403" w:type="dxa"/>
            <w:vAlign w:val="center"/>
          </w:tcPr>
          <w:p>
            <w:pPr>
              <w:snapToGrid w:val="0"/>
              <w:spacing w:line="360" w:lineRule="auto"/>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340" w:type="dxa"/>
            <w:vAlign w:val="center"/>
          </w:tcPr>
          <w:p>
            <w:pPr>
              <w:snapToGrid w:val="0"/>
              <w:spacing w:line="360" w:lineRule="auto"/>
              <w:jc w:val="center"/>
              <w:rPr>
                <w:rFonts w:hint="eastAsia" w:ascii="方正仿宋_GBK" w:hAnsi="方正仿宋_GBK" w:eastAsia="方正仿宋_GBK" w:cs="方正仿宋_GBK"/>
                <w:sz w:val="24"/>
              </w:rPr>
            </w:pPr>
          </w:p>
        </w:tc>
        <w:tc>
          <w:tcPr>
            <w:tcW w:w="1211" w:type="dxa"/>
            <w:vAlign w:val="center"/>
          </w:tcPr>
          <w:p>
            <w:pPr>
              <w:snapToGrid w:val="0"/>
              <w:spacing w:line="360" w:lineRule="auto"/>
              <w:jc w:val="center"/>
              <w:rPr>
                <w:rFonts w:hint="eastAsia" w:ascii="方正仿宋_GBK" w:hAnsi="方正仿宋_GBK" w:eastAsia="方正仿宋_GBK" w:cs="方正仿宋_GBK"/>
                <w:sz w:val="24"/>
              </w:rPr>
            </w:pPr>
          </w:p>
        </w:tc>
        <w:tc>
          <w:tcPr>
            <w:tcW w:w="1276" w:type="dxa"/>
            <w:vAlign w:val="center"/>
          </w:tcPr>
          <w:p>
            <w:pPr>
              <w:snapToGrid w:val="0"/>
              <w:spacing w:line="360" w:lineRule="auto"/>
              <w:jc w:val="center"/>
              <w:rPr>
                <w:rFonts w:hint="eastAsia" w:ascii="方正仿宋_GBK" w:hAnsi="方正仿宋_GBK" w:eastAsia="方正仿宋_GBK" w:cs="方正仿宋_GBK"/>
                <w:sz w:val="24"/>
              </w:rPr>
            </w:pPr>
          </w:p>
        </w:tc>
        <w:tc>
          <w:tcPr>
            <w:tcW w:w="992"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850"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1403" w:type="dxa"/>
            <w:vAlign w:val="center"/>
          </w:tcPr>
          <w:p>
            <w:pPr>
              <w:snapToGrid w:val="0"/>
              <w:spacing w:line="360" w:lineRule="auto"/>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hint="eastAsia" w:ascii="方正仿宋_GBK" w:hAnsi="方正仿宋_GBK" w:eastAsia="方正仿宋_GBK" w:cs="方正仿宋_GBK"/>
                <w:sz w:val="24"/>
              </w:rPr>
            </w:pPr>
          </w:p>
        </w:tc>
        <w:tc>
          <w:tcPr>
            <w:tcW w:w="1340" w:type="dxa"/>
            <w:vAlign w:val="center"/>
          </w:tcPr>
          <w:p>
            <w:pPr>
              <w:snapToGrid w:val="0"/>
              <w:spacing w:line="360" w:lineRule="auto"/>
              <w:jc w:val="center"/>
              <w:rPr>
                <w:rFonts w:hint="eastAsia" w:ascii="方正仿宋_GBK" w:hAnsi="方正仿宋_GBK" w:eastAsia="方正仿宋_GBK" w:cs="方正仿宋_GBK"/>
                <w:sz w:val="24"/>
              </w:rPr>
            </w:pPr>
          </w:p>
        </w:tc>
        <w:tc>
          <w:tcPr>
            <w:tcW w:w="1211" w:type="dxa"/>
            <w:vAlign w:val="center"/>
          </w:tcPr>
          <w:p>
            <w:pPr>
              <w:snapToGrid w:val="0"/>
              <w:spacing w:line="360" w:lineRule="auto"/>
              <w:jc w:val="center"/>
              <w:rPr>
                <w:rFonts w:hint="eastAsia" w:ascii="方正仿宋_GBK" w:hAnsi="方正仿宋_GBK" w:eastAsia="方正仿宋_GBK" w:cs="方正仿宋_GBK"/>
                <w:sz w:val="24"/>
              </w:rPr>
            </w:pPr>
          </w:p>
        </w:tc>
        <w:tc>
          <w:tcPr>
            <w:tcW w:w="1276" w:type="dxa"/>
            <w:vAlign w:val="center"/>
          </w:tcPr>
          <w:p>
            <w:pPr>
              <w:snapToGrid w:val="0"/>
              <w:spacing w:line="360" w:lineRule="auto"/>
              <w:jc w:val="center"/>
              <w:rPr>
                <w:rFonts w:hint="eastAsia" w:ascii="方正仿宋_GBK" w:hAnsi="方正仿宋_GBK" w:eastAsia="方正仿宋_GBK" w:cs="方正仿宋_GBK"/>
                <w:sz w:val="24"/>
              </w:rPr>
            </w:pPr>
          </w:p>
        </w:tc>
        <w:tc>
          <w:tcPr>
            <w:tcW w:w="992"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850" w:type="dxa"/>
            <w:vAlign w:val="center"/>
          </w:tcPr>
          <w:p>
            <w:pPr>
              <w:snapToGrid w:val="0"/>
              <w:spacing w:line="360" w:lineRule="auto"/>
              <w:jc w:val="center"/>
              <w:rPr>
                <w:rFonts w:hint="eastAsia" w:ascii="方正仿宋_GBK" w:hAnsi="方正仿宋_GBK" w:eastAsia="方正仿宋_GBK" w:cs="方正仿宋_GBK"/>
                <w:sz w:val="24"/>
              </w:rPr>
            </w:pPr>
          </w:p>
        </w:tc>
        <w:tc>
          <w:tcPr>
            <w:tcW w:w="851" w:type="dxa"/>
            <w:vAlign w:val="center"/>
          </w:tcPr>
          <w:p>
            <w:pPr>
              <w:snapToGrid w:val="0"/>
              <w:spacing w:line="360" w:lineRule="auto"/>
              <w:jc w:val="center"/>
              <w:rPr>
                <w:rFonts w:hint="eastAsia" w:ascii="方正仿宋_GBK" w:hAnsi="方正仿宋_GBK" w:eastAsia="方正仿宋_GBK" w:cs="方正仿宋_GBK"/>
                <w:sz w:val="24"/>
              </w:rPr>
            </w:pPr>
          </w:p>
        </w:tc>
        <w:tc>
          <w:tcPr>
            <w:tcW w:w="1403" w:type="dxa"/>
            <w:vAlign w:val="center"/>
          </w:tcPr>
          <w:p>
            <w:pPr>
              <w:snapToGrid w:val="0"/>
              <w:spacing w:line="360" w:lineRule="auto"/>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pPr>
              <w:snapToGrid w:val="0"/>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合计</w:t>
            </w:r>
          </w:p>
        </w:tc>
        <w:tc>
          <w:tcPr>
            <w:tcW w:w="8774" w:type="dxa"/>
            <w:gridSpan w:val="8"/>
            <w:vAlign w:val="center"/>
          </w:tcPr>
          <w:p>
            <w:pPr>
              <w:snapToGrid w:val="0"/>
              <w:spacing w:line="360" w:lineRule="auto"/>
              <w:jc w:val="center"/>
              <w:rPr>
                <w:rFonts w:hint="eastAsia" w:ascii="方正仿宋_GBK" w:hAnsi="方正仿宋_GBK" w:eastAsia="方正仿宋_GBK" w:cs="方正仿宋_GBK"/>
                <w:sz w:val="24"/>
              </w:rPr>
            </w:pPr>
          </w:p>
        </w:tc>
      </w:tr>
    </w:tbl>
    <w:p>
      <w:pPr>
        <w:pStyle w:val="2"/>
        <w:ind w:firstLine="600"/>
        <w:rPr>
          <w:rFonts w:hint="eastAsia" w:ascii="方正仿宋_GBK" w:hAnsi="方正仿宋_GBK" w:eastAsia="方正仿宋_GBK" w:cs="方正仿宋_GBK"/>
        </w:rPr>
      </w:pPr>
    </w:p>
    <w:p>
      <w:pPr>
        <w:snapToGrid w:val="0"/>
        <w:spacing w:line="300" w:lineRule="auto"/>
        <w:outlineLvl w:val="0"/>
        <w:rPr>
          <w:rFonts w:ascii="宋体" w:hAnsi="宋体" w:cs="宋体"/>
          <w:b/>
          <w:kern w:val="0"/>
          <w:sz w:val="28"/>
          <w:szCs w:val="28"/>
          <w:lang w:val="zh-CN"/>
        </w:rPr>
      </w:pPr>
      <w:r>
        <w:rPr>
          <w:rFonts w:hint="eastAsia" w:ascii="方正仿宋_GBK" w:hAnsi="方正仿宋_GBK" w:eastAsia="方正仿宋_GBK" w:cs="方正仿宋_GBK"/>
          <w:b/>
          <w:kern w:val="0"/>
          <w:sz w:val="28"/>
          <w:szCs w:val="28"/>
          <w:lang w:val="zh-CN"/>
        </w:rPr>
        <w:t>注：供应商必须详细报出采购清单中各个子项的名称、品牌、规格型号、数量、单价。且本表各分项报价合计应当与报价总表报价合计相等。请各供应商务必按照以上要求填报，否则作为无效响应处理。</w:t>
      </w:r>
    </w:p>
    <w:p>
      <w:pPr>
        <w:snapToGrid w:val="0"/>
        <w:spacing w:line="300" w:lineRule="auto"/>
        <w:jc w:val="center"/>
        <w:outlineLvl w:val="0"/>
        <w:rPr>
          <w:rFonts w:ascii="仿宋" w:hAnsi="仿宋" w:eastAsia="仿宋" w:cs="仿宋"/>
          <w:sz w:val="28"/>
          <w:szCs w:val="28"/>
          <w:lang w:bidi="zh-CN"/>
        </w:rPr>
      </w:pPr>
    </w:p>
    <w:p>
      <w:pPr>
        <w:snapToGrid w:val="0"/>
        <w:spacing w:line="300" w:lineRule="auto"/>
        <w:outlineLvl w:val="0"/>
        <w:rPr>
          <w:rFonts w:ascii="仿宋" w:hAnsi="仿宋" w:eastAsia="仿宋" w:cs="仿宋"/>
          <w:sz w:val="28"/>
          <w:szCs w:val="28"/>
          <w:lang w:bidi="zh-CN"/>
        </w:rPr>
      </w:pPr>
    </w:p>
    <w:p>
      <w:pPr>
        <w:snapToGrid w:val="0"/>
        <w:spacing w:line="300" w:lineRule="auto"/>
        <w:outlineLvl w:val="0"/>
        <w:rPr>
          <w:rFonts w:ascii="仿宋" w:hAnsi="仿宋" w:eastAsia="仿宋" w:cs="仿宋"/>
          <w:sz w:val="28"/>
          <w:szCs w:val="28"/>
          <w:lang w:bidi="zh-CN"/>
        </w:rPr>
      </w:pPr>
    </w:p>
    <w:p>
      <w:pPr>
        <w:snapToGrid w:val="0"/>
        <w:spacing w:line="300" w:lineRule="auto"/>
        <w:outlineLvl w:val="0"/>
        <w:rPr>
          <w:rFonts w:ascii="仿宋" w:hAnsi="仿宋" w:eastAsia="仿宋" w:cs="仿宋"/>
          <w:sz w:val="28"/>
          <w:szCs w:val="28"/>
          <w:lang w:bidi="zh-CN"/>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pacing w:line="588" w:lineRule="exact"/>
        <w:ind w:firstLine="584" w:firstLineChars="200"/>
        <w:rPr>
          <w:rFonts w:ascii="仿宋" w:hAnsi="仿宋" w:eastAsia="仿宋" w:cs="仿宋"/>
          <w:spacing w:val="6"/>
          <w:sz w:val="28"/>
          <w:szCs w:val="28"/>
        </w:rPr>
      </w:pPr>
    </w:p>
    <w:p>
      <w:pPr>
        <w:spacing w:line="588" w:lineRule="exact"/>
        <w:ind w:firstLine="584" w:firstLineChars="200"/>
        <w:rPr>
          <w:rFonts w:ascii="仿宋" w:hAnsi="仿宋" w:eastAsia="仿宋" w:cs="仿宋"/>
          <w:spacing w:val="6"/>
          <w:sz w:val="28"/>
          <w:szCs w:val="28"/>
        </w:rPr>
      </w:pPr>
    </w:p>
    <w:p>
      <w:pPr>
        <w:spacing w:line="588" w:lineRule="exact"/>
        <w:ind w:firstLine="584" w:firstLineChars="200"/>
        <w:rPr>
          <w:rFonts w:ascii="仿宋" w:hAnsi="仿宋" w:eastAsia="仿宋" w:cs="仿宋"/>
          <w:spacing w:val="6"/>
          <w:sz w:val="28"/>
          <w:szCs w:val="28"/>
        </w:rPr>
      </w:pPr>
    </w:p>
    <w:p>
      <w:pPr>
        <w:spacing w:line="588" w:lineRule="exact"/>
        <w:ind w:firstLine="584" w:firstLineChars="200"/>
        <w:rPr>
          <w:rFonts w:ascii="仿宋" w:hAnsi="仿宋" w:eastAsia="仿宋" w:cs="仿宋"/>
          <w:spacing w:val="6"/>
          <w:sz w:val="28"/>
          <w:szCs w:val="28"/>
        </w:rPr>
      </w:pPr>
    </w:p>
    <w:p>
      <w:pPr>
        <w:tabs>
          <w:tab w:val="left" w:pos="4860"/>
        </w:tabs>
        <w:spacing w:line="588" w:lineRule="exact"/>
        <w:ind w:right="1560" w:firstLine="584" w:firstLineChars="200"/>
        <w:jc w:val="center"/>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w:t>
      </w:r>
    </w:p>
    <w:p>
      <w:pPr>
        <w:ind w:firstLine="42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pacing w:before="240" w:line="312" w:lineRule="auto"/>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b/>
          <w:sz w:val="32"/>
          <w:szCs w:val="32"/>
        </w:rPr>
        <w:t>供应商信用承诺书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为营造公开、公平、公正的公共资源交易环境，树立诚信守法的投标人形象，本人代表本单位作出以下承诺：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一、本单位对所提交的单位基本信息、单位负责人、项目负责人、技术负责人、从业资质和资格、业绩、财务状况、信誉等所有资料，均合法、真实、准确、有效，无任何伪造、修改、虚假成分；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二、严格依照国家和省、市、县关于政府采购等方面的法律、法规、规章、规范性文件，参加招标投标活动；积极履行社会责任，促进廉政建设；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三、严格遵守即时信息公示规定；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四、自我约束、自我管理，守合同、重信用，不参与围标串标、弄虚作假、骗取中标、干扰评标、违约毁约、恶意投诉等行为，主动维护招标投标的良好秩序；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六、自觉接受政府部门、行业组织、社会公众、新闻舆论等监督；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方正仿宋_GBK" w:eastAsia="方正仿宋_GBK" w:cs="方正仿宋_GBK"/>
          <w:kern w:val="0"/>
          <w:sz w:val="24"/>
          <w:lang w:val="zh-CN"/>
        </w:rPr>
      </w:pPr>
      <w:r>
        <w:rPr>
          <w:rFonts w:hint="eastAsia" w:ascii="方正仿宋_GBK" w:hAnsi="方正仿宋_GBK" w:eastAsia="方正仿宋_GBK" w:cs="方正仿宋_GBK"/>
          <w:kern w:val="0"/>
          <w:sz w:val="24"/>
          <w:lang w:val="zh-CN"/>
        </w:rPr>
        <w:t>七、上述承诺已向本单位员工作了宣传教育；</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方正仿宋_GBK" w:hAnsi="方正仿宋_GBK" w:eastAsia="方正仿宋_GBK" w:cs="方正仿宋_GBK"/>
          <w:b/>
          <w:kern w:val="0"/>
          <w:sz w:val="24"/>
          <w:lang w:val="zh-CN"/>
        </w:rPr>
      </w:pPr>
      <w:r>
        <w:rPr>
          <w:rFonts w:hint="eastAsia" w:ascii="方正仿宋_GBK" w:hAnsi="方正仿宋_GBK" w:eastAsia="方正仿宋_GBK" w:cs="方正仿宋_GBK"/>
          <w:b/>
          <w:kern w:val="0"/>
          <w:sz w:val="24"/>
          <w:lang w:val="zh-CN"/>
        </w:rPr>
        <w:t>如有违反上述承诺的不良行为，本单位同意将其予以上网公示。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kern w:val="0"/>
          <w:sz w:val="24"/>
          <w:lang w:val="zh-CN"/>
        </w:rPr>
      </w:pPr>
    </w:p>
    <w:p>
      <w:pPr>
        <w:keepNext w:val="0"/>
        <w:keepLines w:val="0"/>
        <w:pageBreakBefore w:val="0"/>
        <w:widowControl w:val="0"/>
        <w:kinsoku/>
        <w:wordWrap/>
        <w:overflowPunct/>
        <w:topLinePunct w:val="0"/>
        <w:autoSpaceDE/>
        <w:autoSpaceDN/>
        <w:bidi w:val="0"/>
        <w:adjustRightInd/>
        <w:snapToGrid/>
        <w:spacing w:line="460" w:lineRule="exact"/>
        <w:ind w:firstLine="4560" w:firstLineChars="1900"/>
        <w:textAlignment w:val="auto"/>
        <w:rPr>
          <w:rFonts w:hint="eastAsia" w:ascii="方正仿宋_GBK" w:hAnsi="方正仿宋_GBK" w:eastAsia="方正仿宋_GBK" w:cs="方正仿宋_GBK"/>
          <w:kern w:val="0"/>
          <w:sz w:val="24"/>
          <w:lang w:val="zh-CN"/>
        </w:rPr>
      </w:pPr>
    </w:p>
    <w:p>
      <w:pPr>
        <w:keepNext w:val="0"/>
        <w:keepLines w:val="0"/>
        <w:pageBreakBefore w:val="0"/>
        <w:widowControl w:val="0"/>
        <w:kinsoku/>
        <w:wordWrap/>
        <w:overflowPunct/>
        <w:topLinePunct w:val="0"/>
        <w:autoSpaceDE/>
        <w:autoSpaceDN/>
        <w:bidi w:val="0"/>
        <w:adjustRightInd/>
        <w:snapToGrid/>
        <w:spacing w:line="460" w:lineRule="exact"/>
        <w:ind w:firstLine="3080" w:firstLineChars="1100"/>
        <w:textAlignment w:val="auto"/>
        <w:rPr>
          <w:rFonts w:hint="eastAsia" w:ascii="方正仿宋_GBK" w:hAnsi="方正仿宋_GBK" w:eastAsia="方正仿宋_GBK" w:cs="方正仿宋_GBK"/>
          <w:kern w:val="0"/>
          <w:sz w:val="28"/>
          <w:szCs w:val="28"/>
          <w:u w:val="single"/>
          <w:lang w:val="zh-CN"/>
        </w:rPr>
      </w:pPr>
      <w:r>
        <w:rPr>
          <w:rFonts w:hint="eastAsia" w:ascii="方正仿宋_GBK" w:hAnsi="方正仿宋_GBK" w:eastAsia="方正仿宋_GBK" w:cs="方正仿宋_GBK"/>
          <w:kern w:val="0"/>
          <w:sz w:val="28"/>
          <w:szCs w:val="28"/>
          <w:lang w:val="zh-CN"/>
        </w:rPr>
        <w:t>投标供应商全称(盖公章)：</w:t>
      </w:r>
    </w:p>
    <w:p>
      <w:pPr>
        <w:keepNext w:val="0"/>
        <w:keepLines w:val="0"/>
        <w:pageBreakBefore w:val="0"/>
        <w:widowControl w:val="0"/>
        <w:kinsoku/>
        <w:wordWrap/>
        <w:overflowPunct/>
        <w:topLinePunct w:val="0"/>
        <w:autoSpaceDE/>
        <w:autoSpaceDN/>
        <w:bidi w:val="0"/>
        <w:adjustRightInd/>
        <w:snapToGrid/>
        <w:spacing w:line="460" w:lineRule="exact"/>
        <w:ind w:firstLine="3080" w:firstLineChars="110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kern w:val="0"/>
          <w:sz w:val="28"/>
          <w:szCs w:val="28"/>
          <w:lang w:val="zh-CN"/>
        </w:rPr>
        <w:t>法定代表人（签字或盖章）：</w:t>
      </w:r>
    </w:p>
    <w:p>
      <w:pPr>
        <w:keepNext w:val="0"/>
        <w:keepLines w:val="0"/>
        <w:pageBreakBefore w:val="0"/>
        <w:widowControl w:val="0"/>
        <w:kinsoku/>
        <w:wordWrap/>
        <w:overflowPunct/>
        <w:topLinePunct w:val="0"/>
        <w:autoSpaceDE/>
        <w:autoSpaceDN/>
        <w:bidi w:val="0"/>
        <w:adjustRightInd/>
        <w:snapToGrid/>
        <w:spacing w:line="460" w:lineRule="exact"/>
        <w:ind w:firstLine="3080" w:firstLineChars="1100"/>
        <w:textAlignment w:val="auto"/>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时间：  年  月   日</w:t>
      </w: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pStyle w:val="66"/>
        <w:ind w:firstLine="400"/>
        <w:rPr>
          <w:rFonts w:ascii="仿宋" w:hAnsi="仿宋" w:eastAsia="仿宋" w:cs="仿宋"/>
        </w:rPr>
      </w:pPr>
    </w:p>
    <w:p>
      <w:pPr>
        <w:snapToGrid w:val="0"/>
        <w:spacing w:line="420" w:lineRule="exact"/>
        <w:jc w:val="center"/>
        <w:outlineLvl w:val="3"/>
        <w:rPr>
          <w:rFonts w:ascii="仿宋" w:hAnsi="仿宋" w:eastAsia="仿宋" w:cs="仿宋"/>
          <w:b/>
          <w:bCs/>
          <w:sz w:val="32"/>
          <w:szCs w:val="32"/>
        </w:rPr>
      </w:pPr>
    </w:p>
    <w:p>
      <w:pPr>
        <w:pStyle w:val="65"/>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3"/>
      <w:numFmt w:val="chineseCounting"/>
      <w:pStyle w:val="17"/>
      <w:suff w:val="space"/>
      <w:lvlText w:val="第%1章"/>
      <w:lvlJc w:val="left"/>
    </w:lvl>
  </w:abstractNum>
  <w:abstractNum w:abstractNumId="1">
    <w:nsid w:val="5A1FC664"/>
    <w:multiLevelType w:val="singleLevel"/>
    <w:tmpl w:val="5A1FC664"/>
    <w:lvl w:ilvl="0" w:tentative="0">
      <w:start w:val="2"/>
      <w:numFmt w:val="chineseCounting"/>
      <w:suff w:val="nothing"/>
      <w:lvlText w:val="%1、"/>
      <w:lvlJc w:val="left"/>
    </w:lvl>
  </w:abstractNum>
  <w:abstractNum w:abstractNumId="2">
    <w:nsid w:val="5E2616E2"/>
    <w:multiLevelType w:val="multilevel"/>
    <w:tmpl w:val="5E2616E2"/>
    <w:lvl w:ilvl="0" w:tentative="0">
      <w:start w:val="1"/>
      <w:numFmt w:val="bullet"/>
      <w:pStyle w:val="20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00ED0C28"/>
    <w:rsid w:val="000009D7"/>
    <w:rsid w:val="0000156C"/>
    <w:rsid w:val="00001E5A"/>
    <w:rsid w:val="00004013"/>
    <w:rsid w:val="000055F6"/>
    <w:rsid w:val="00006396"/>
    <w:rsid w:val="00011796"/>
    <w:rsid w:val="00014068"/>
    <w:rsid w:val="00017BD5"/>
    <w:rsid w:val="00022C2E"/>
    <w:rsid w:val="00024ACB"/>
    <w:rsid w:val="00032D15"/>
    <w:rsid w:val="0003405F"/>
    <w:rsid w:val="0004382D"/>
    <w:rsid w:val="00047806"/>
    <w:rsid w:val="00055BF4"/>
    <w:rsid w:val="00057219"/>
    <w:rsid w:val="000657F1"/>
    <w:rsid w:val="00070B5A"/>
    <w:rsid w:val="00071E56"/>
    <w:rsid w:val="00081915"/>
    <w:rsid w:val="0009128A"/>
    <w:rsid w:val="00094326"/>
    <w:rsid w:val="000A44D8"/>
    <w:rsid w:val="000A48F2"/>
    <w:rsid w:val="000B0918"/>
    <w:rsid w:val="000B1CC6"/>
    <w:rsid w:val="000B4027"/>
    <w:rsid w:val="000B7021"/>
    <w:rsid w:val="000B7545"/>
    <w:rsid w:val="000C2F79"/>
    <w:rsid w:val="000D29E1"/>
    <w:rsid w:val="000E0565"/>
    <w:rsid w:val="000E0DD1"/>
    <w:rsid w:val="000E352B"/>
    <w:rsid w:val="000F30AB"/>
    <w:rsid w:val="000F3191"/>
    <w:rsid w:val="001064A7"/>
    <w:rsid w:val="0010685A"/>
    <w:rsid w:val="00110404"/>
    <w:rsid w:val="00113224"/>
    <w:rsid w:val="00114642"/>
    <w:rsid w:val="00114C98"/>
    <w:rsid w:val="00123633"/>
    <w:rsid w:val="00123ABE"/>
    <w:rsid w:val="0013073B"/>
    <w:rsid w:val="0013376F"/>
    <w:rsid w:val="00136AE4"/>
    <w:rsid w:val="001501B9"/>
    <w:rsid w:val="001509E2"/>
    <w:rsid w:val="001553E8"/>
    <w:rsid w:val="001646A2"/>
    <w:rsid w:val="001647E6"/>
    <w:rsid w:val="00165AC9"/>
    <w:rsid w:val="001717FF"/>
    <w:rsid w:val="00171D00"/>
    <w:rsid w:val="0017422A"/>
    <w:rsid w:val="00177F7A"/>
    <w:rsid w:val="00181218"/>
    <w:rsid w:val="00182392"/>
    <w:rsid w:val="00182586"/>
    <w:rsid w:val="00190940"/>
    <w:rsid w:val="0019180D"/>
    <w:rsid w:val="0019684F"/>
    <w:rsid w:val="001A0189"/>
    <w:rsid w:val="001A251F"/>
    <w:rsid w:val="001A360A"/>
    <w:rsid w:val="001B0622"/>
    <w:rsid w:val="001B1703"/>
    <w:rsid w:val="001C1D1C"/>
    <w:rsid w:val="001C2459"/>
    <w:rsid w:val="001C3051"/>
    <w:rsid w:val="001C6CF4"/>
    <w:rsid w:val="001C6D05"/>
    <w:rsid w:val="001D10B2"/>
    <w:rsid w:val="001F3D2B"/>
    <w:rsid w:val="001F7D24"/>
    <w:rsid w:val="00202EBA"/>
    <w:rsid w:val="002104BB"/>
    <w:rsid w:val="00210AF3"/>
    <w:rsid w:val="00210EDD"/>
    <w:rsid w:val="00211117"/>
    <w:rsid w:val="00212C22"/>
    <w:rsid w:val="00215CEE"/>
    <w:rsid w:val="00216AB3"/>
    <w:rsid w:val="002171E6"/>
    <w:rsid w:val="00220095"/>
    <w:rsid w:val="002229C4"/>
    <w:rsid w:val="00224010"/>
    <w:rsid w:val="00225EAF"/>
    <w:rsid w:val="002311E8"/>
    <w:rsid w:val="002319F8"/>
    <w:rsid w:val="00231D22"/>
    <w:rsid w:val="00234F3B"/>
    <w:rsid w:val="00236237"/>
    <w:rsid w:val="002363E3"/>
    <w:rsid w:val="002410A8"/>
    <w:rsid w:val="00242126"/>
    <w:rsid w:val="00243608"/>
    <w:rsid w:val="00243765"/>
    <w:rsid w:val="00244210"/>
    <w:rsid w:val="0024432D"/>
    <w:rsid w:val="00251DBD"/>
    <w:rsid w:val="002520A1"/>
    <w:rsid w:val="0026420B"/>
    <w:rsid w:val="002669EC"/>
    <w:rsid w:val="00267416"/>
    <w:rsid w:val="0027026E"/>
    <w:rsid w:val="0027055D"/>
    <w:rsid w:val="0027061E"/>
    <w:rsid w:val="0027258F"/>
    <w:rsid w:val="00273674"/>
    <w:rsid w:val="002747DD"/>
    <w:rsid w:val="002808F1"/>
    <w:rsid w:val="00284681"/>
    <w:rsid w:val="0029008F"/>
    <w:rsid w:val="00290830"/>
    <w:rsid w:val="00291052"/>
    <w:rsid w:val="0029166A"/>
    <w:rsid w:val="00293F27"/>
    <w:rsid w:val="002A0485"/>
    <w:rsid w:val="002A3CFF"/>
    <w:rsid w:val="002B3D70"/>
    <w:rsid w:val="002E7449"/>
    <w:rsid w:val="002F1EF9"/>
    <w:rsid w:val="002F20AD"/>
    <w:rsid w:val="002F2BBF"/>
    <w:rsid w:val="00301515"/>
    <w:rsid w:val="00304632"/>
    <w:rsid w:val="003068FD"/>
    <w:rsid w:val="00313E02"/>
    <w:rsid w:val="003237ED"/>
    <w:rsid w:val="00340106"/>
    <w:rsid w:val="00347976"/>
    <w:rsid w:val="0035406A"/>
    <w:rsid w:val="003543DD"/>
    <w:rsid w:val="00360366"/>
    <w:rsid w:val="00364B35"/>
    <w:rsid w:val="00364FA1"/>
    <w:rsid w:val="00365497"/>
    <w:rsid w:val="00367AF6"/>
    <w:rsid w:val="0037102E"/>
    <w:rsid w:val="00373715"/>
    <w:rsid w:val="00374847"/>
    <w:rsid w:val="00380555"/>
    <w:rsid w:val="003823FD"/>
    <w:rsid w:val="00386763"/>
    <w:rsid w:val="00391178"/>
    <w:rsid w:val="00393C36"/>
    <w:rsid w:val="00395EC3"/>
    <w:rsid w:val="003A011B"/>
    <w:rsid w:val="003A0495"/>
    <w:rsid w:val="003A1FA6"/>
    <w:rsid w:val="003A2E26"/>
    <w:rsid w:val="003A3B80"/>
    <w:rsid w:val="003A3C31"/>
    <w:rsid w:val="003A51E6"/>
    <w:rsid w:val="003B013A"/>
    <w:rsid w:val="003B2250"/>
    <w:rsid w:val="003B6022"/>
    <w:rsid w:val="003B665E"/>
    <w:rsid w:val="003C372F"/>
    <w:rsid w:val="003E1B13"/>
    <w:rsid w:val="003F404E"/>
    <w:rsid w:val="003F41E1"/>
    <w:rsid w:val="004002A0"/>
    <w:rsid w:val="00401107"/>
    <w:rsid w:val="004023C7"/>
    <w:rsid w:val="00403970"/>
    <w:rsid w:val="00406FEA"/>
    <w:rsid w:val="004142E0"/>
    <w:rsid w:val="0041587C"/>
    <w:rsid w:val="00417ECB"/>
    <w:rsid w:val="00420906"/>
    <w:rsid w:val="00422D3F"/>
    <w:rsid w:val="00422E84"/>
    <w:rsid w:val="00425A0C"/>
    <w:rsid w:val="00425DC7"/>
    <w:rsid w:val="00426C72"/>
    <w:rsid w:val="0042776C"/>
    <w:rsid w:val="0042793A"/>
    <w:rsid w:val="004310CA"/>
    <w:rsid w:val="00436BE6"/>
    <w:rsid w:val="004378D1"/>
    <w:rsid w:val="004439A0"/>
    <w:rsid w:val="004469F2"/>
    <w:rsid w:val="00451451"/>
    <w:rsid w:val="00452071"/>
    <w:rsid w:val="00452734"/>
    <w:rsid w:val="00461959"/>
    <w:rsid w:val="0046616D"/>
    <w:rsid w:val="0047388B"/>
    <w:rsid w:val="00473E27"/>
    <w:rsid w:val="004743EE"/>
    <w:rsid w:val="00476FCD"/>
    <w:rsid w:val="004778D8"/>
    <w:rsid w:val="00477AF5"/>
    <w:rsid w:val="00486A89"/>
    <w:rsid w:val="0048722F"/>
    <w:rsid w:val="004A2C45"/>
    <w:rsid w:val="004A2D20"/>
    <w:rsid w:val="004A303F"/>
    <w:rsid w:val="004A3F63"/>
    <w:rsid w:val="004B242D"/>
    <w:rsid w:val="004B38F8"/>
    <w:rsid w:val="004B63F8"/>
    <w:rsid w:val="004B7193"/>
    <w:rsid w:val="004C20A8"/>
    <w:rsid w:val="004C2267"/>
    <w:rsid w:val="004C3084"/>
    <w:rsid w:val="004C3BEE"/>
    <w:rsid w:val="004D444E"/>
    <w:rsid w:val="004D44BA"/>
    <w:rsid w:val="004D6559"/>
    <w:rsid w:val="004E6643"/>
    <w:rsid w:val="004E6A3D"/>
    <w:rsid w:val="004E7B4B"/>
    <w:rsid w:val="004F2942"/>
    <w:rsid w:val="004F5340"/>
    <w:rsid w:val="004F5532"/>
    <w:rsid w:val="00501198"/>
    <w:rsid w:val="00503968"/>
    <w:rsid w:val="005114A1"/>
    <w:rsid w:val="00512BDF"/>
    <w:rsid w:val="00513895"/>
    <w:rsid w:val="00522DEB"/>
    <w:rsid w:val="00522FCE"/>
    <w:rsid w:val="005231CB"/>
    <w:rsid w:val="005240A5"/>
    <w:rsid w:val="005326E3"/>
    <w:rsid w:val="00532F85"/>
    <w:rsid w:val="00533693"/>
    <w:rsid w:val="00533856"/>
    <w:rsid w:val="00534278"/>
    <w:rsid w:val="00536618"/>
    <w:rsid w:val="00542D40"/>
    <w:rsid w:val="00552E07"/>
    <w:rsid w:val="00555337"/>
    <w:rsid w:val="00555D1F"/>
    <w:rsid w:val="00556C38"/>
    <w:rsid w:val="005603CC"/>
    <w:rsid w:val="00560660"/>
    <w:rsid w:val="005614CD"/>
    <w:rsid w:val="00562F3E"/>
    <w:rsid w:val="00574A53"/>
    <w:rsid w:val="0057565A"/>
    <w:rsid w:val="005849A6"/>
    <w:rsid w:val="00584E19"/>
    <w:rsid w:val="00592DEE"/>
    <w:rsid w:val="00593DCD"/>
    <w:rsid w:val="005965FC"/>
    <w:rsid w:val="005A2C24"/>
    <w:rsid w:val="005A3A71"/>
    <w:rsid w:val="005A6423"/>
    <w:rsid w:val="005B6E7F"/>
    <w:rsid w:val="005B75CE"/>
    <w:rsid w:val="005C0E1B"/>
    <w:rsid w:val="005D5BF3"/>
    <w:rsid w:val="005E09C2"/>
    <w:rsid w:val="005E389C"/>
    <w:rsid w:val="005E4117"/>
    <w:rsid w:val="005E47A3"/>
    <w:rsid w:val="005E77E6"/>
    <w:rsid w:val="005F0CE0"/>
    <w:rsid w:val="00604335"/>
    <w:rsid w:val="00612E23"/>
    <w:rsid w:val="006139CC"/>
    <w:rsid w:val="00636067"/>
    <w:rsid w:val="00644F4A"/>
    <w:rsid w:val="00646CED"/>
    <w:rsid w:val="0065216F"/>
    <w:rsid w:val="00655991"/>
    <w:rsid w:val="00660580"/>
    <w:rsid w:val="00664825"/>
    <w:rsid w:val="00667D91"/>
    <w:rsid w:val="0067024C"/>
    <w:rsid w:val="0067060B"/>
    <w:rsid w:val="0067694B"/>
    <w:rsid w:val="00684C14"/>
    <w:rsid w:val="00684D78"/>
    <w:rsid w:val="006869D0"/>
    <w:rsid w:val="006878DA"/>
    <w:rsid w:val="00687B22"/>
    <w:rsid w:val="0069234B"/>
    <w:rsid w:val="006968F8"/>
    <w:rsid w:val="00696EBC"/>
    <w:rsid w:val="00697833"/>
    <w:rsid w:val="006A3198"/>
    <w:rsid w:val="006A61AA"/>
    <w:rsid w:val="006B2B28"/>
    <w:rsid w:val="006B4E08"/>
    <w:rsid w:val="006C0760"/>
    <w:rsid w:val="006C4670"/>
    <w:rsid w:val="006D2AEC"/>
    <w:rsid w:val="006D61D2"/>
    <w:rsid w:val="006E4F3F"/>
    <w:rsid w:val="006E5620"/>
    <w:rsid w:val="006E658F"/>
    <w:rsid w:val="006E698D"/>
    <w:rsid w:val="006F30DC"/>
    <w:rsid w:val="006F6909"/>
    <w:rsid w:val="006F6C9E"/>
    <w:rsid w:val="006F7FDA"/>
    <w:rsid w:val="0070003D"/>
    <w:rsid w:val="00710494"/>
    <w:rsid w:val="00714897"/>
    <w:rsid w:val="00720106"/>
    <w:rsid w:val="00720DAC"/>
    <w:rsid w:val="0072120A"/>
    <w:rsid w:val="007305B1"/>
    <w:rsid w:val="00732C0D"/>
    <w:rsid w:val="00732FB6"/>
    <w:rsid w:val="007373E0"/>
    <w:rsid w:val="00742DE1"/>
    <w:rsid w:val="00746AFB"/>
    <w:rsid w:val="007507B2"/>
    <w:rsid w:val="00750CB7"/>
    <w:rsid w:val="0075259D"/>
    <w:rsid w:val="00754788"/>
    <w:rsid w:val="0075781E"/>
    <w:rsid w:val="00757B73"/>
    <w:rsid w:val="00761E8F"/>
    <w:rsid w:val="00763193"/>
    <w:rsid w:val="0076718B"/>
    <w:rsid w:val="0076773A"/>
    <w:rsid w:val="00767D7C"/>
    <w:rsid w:val="00772E02"/>
    <w:rsid w:val="00777B59"/>
    <w:rsid w:val="007801B1"/>
    <w:rsid w:val="0078046D"/>
    <w:rsid w:val="00792B4B"/>
    <w:rsid w:val="00796634"/>
    <w:rsid w:val="007A36AB"/>
    <w:rsid w:val="007B6CC8"/>
    <w:rsid w:val="007B7A18"/>
    <w:rsid w:val="007C084C"/>
    <w:rsid w:val="007C14D6"/>
    <w:rsid w:val="007C2BAF"/>
    <w:rsid w:val="007D0153"/>
    <w:rsid w:val="007D2265"/>
    <w:rsid w:val="007D4DCA"/>
    <w:rsid w:val="007F4491"/>
    <w:rsid w:val="007F46AA"/>
    <w:rsid w:val="00805A19"/>
    <w:rsid w:val="0081144E"/>
    <w:rsid w:val="00812AD0"/>
    <w:rsid w:val="00816677"/>
    <w:rsid w:val="00820028"/>
    <w:rsid w:val="00822660"/>
    <w:rsid w:val="0082538E"/>
    <w:rsid w:val="0083145F"/>
    <w:rsid w:val="00831E59"/>
    <w:rsid w:val="0083318C"/>
    <w:rsid w:val="00833D50"/>
    <w:rsid w:val="00836F62"/>
    <w:rsid w:val="008424C3"/>
    <w:rsid w:val="00843047"/>
    <w:rsid w:val="00843348"/>
    <w:rsid w:val="00844F12"/>
    <w:rsid w:val="00853FF4"/>
    <w:rsid w:val="00854C61"/>
    <w:rsid w:val="00854DA0"/>
    <w:rsid w:val="00856873"/>
    <w:rsid w:val="00860F83"/>
    <w:rsid w:val="0088029F"/>
    <w:rsid w:val="0088035F"/>
    <w:rsid w:val="00881FE9"/>
    <w:rsid w:val="00882955"/>
    <w:rsid w:val="008832AC"/>
    <w:rsid w:val="0088685E"/>
    <w:rsid w:val="00891F9B"/>
    <w:rsid w:val="00892CE7"/>
    <w:rsid w:val="00894160"/>
    <w:rsid w:val="00894A20"/>
    <w:rsid w:val="008A299A"/>
    <w:rsid w:val="008C1096"/>
    <w:rsid w:val="008C334B"/>
    <w:rsid w:val="008C63CD"/>
    <w:rsid w:val="008D24A0"/>
    <w:rsid w:val="008D2B70"/>
    <w:rsid w:val="008D45E5"/>
    <w:rsid w:val="008D573E"/>
    <w:rsid w:val="008E1E18"/>
    <w:rsid w:val="008E500F"/>
    <w:rsid w:val="008E5FB4"/>
    <w:rsid w:val="008E6A61"/>
    <w:rsid w:val="008F0A76"/>
    <w:rsid w:val="008F27C2"/>
    <w:rsid w:val="00907195"/>
    <w:rsid w:val="00907B42"/>
    <w:rsid w:val="00910045"/>
    <w:rsid w:val="00924B59"/>
    <w:rsid w:val="0093021E"/>
    <w:rsid w:val="00937551"/>
    <w:rsid w:val="0094188C"/>
    <w:rsid w:val="0094676D"/>
    <w:rsid w:val="009548CB"/>
    <w:rsid w:val="00955846"/>
    <w:rsid w:val="0095588E"/>
    <w:rsid w:val="0096338D"/>
    <w:rsid w:val="0097048A"/>
    <w:rsid w:val="00971835"/>
    <w:rsid w:val="00973686"/>
    <w:rsid w:val="00973FBE"/>
    <w:rsid w:val="00974F2A"/>
    <w:rsid w:val="0097654B"/>
    <w:rsid w:val="00977685"/>
    <w:rsid w:val="00980D29"/>
    <w:rsid w:val="00984574"/>
    <w:rsid w:val="00985314"/>
    <w:rsid w:val="00985FC7"/>
    <w:rsid w:val="009865B0"/>
    <w:rsid w:val="00987105"/>
    <w:rsid w:val="00991B4B"/>
    <w:rsid w:val="00992A28"/>
    <w:rsid w:val="009953E5"/>
    <w:rsid w:val="009A1621"/>
    <w:rsid w:val="009B02AF"/>
    <w:rsid w:val="009B0A45"/>
    <w:rsid w:val="009B0DF4"/>
    <w:rsid w:val="009B2EB3"/>
    <w:rsid w:val="009B3A1D"/>
    <w:rsid w:val="009B4D86"/>
    <w:rsid w:val="009B5C12"/>
    <w:rsid w:val="009B628C"/>
    <w:rsid w:val="009C0BFD"/>
    <w:rsid w:val="009C2C44"/>
    <w:rsid w:val="009C3801"/>
    <w:rsid w:val="009C5100"/>
    <w:rsid w:val="009D7DC3"/>
    <w:rsid w:val="009E380B"/>
    <w:rsid w:val="009E5522"/>
    <w:rsid w:val="009E66D5"/>
    <w:rsid w:val="009E6745"/>
    <w:rsid w:val="009F0030"/>
    <w:rsid w:val="009F4184"/>
    <w:rsid w:val="009F4EEE"/>
    <w:rsid w:val="00A06254"/>
    <w:rsid w:val="00A12B24"/>
    <w:rsid w:val="00A170F7"/>
    <w:rsid w:val="00A214E9"/>
    <w:rsid w:val="00A215CB"/>
    <w:rsid w:val="00A2498C"/>
    <w:rsid w:val="00A24C8B"/>
    <w:rsid w:val="00A32A8E"/>
    <w:rsid w:val="00A34309"/>
    <w:rsid w:val="00A35AAF"/>
    <w:rsid w:val="00A37D21"/>
    <w:rsid w:val="00A42A6A"/>
    <w:rsid w:val="00A43474"/>
    <w:rsid w:val="00A46F90"/>
    <w:rsid w:val="00A4732F"/>
    <w:rsid w:val="00A5272E"/>
    <w:rsid w:val="00A550E9"/>
    <w:rsid w:val="00A609F5"/>
    <w:rsid w:val="00A66536"/>
    <w:rsid w:val="00A72BCA"/>
    <w:rsid w:val="00A75E65"/>
    <w:rsid w:val="00A76DD9"/>
    <w:rsid w:val="00A820C7"/>
    <w:rsid w:val="00A85017"/>
    <w:rsid w:val="00A85626"/>
    <w:rsid w:val="00A856AC"/>
    <w:rsid w:val="00A91513"/>
    <w:rsid w:val="00A96E1E"/>
    <w:rsid w:val="00A97FC0"/>
    <w:rsid w:val="00AA321A"/>
    <w:rsid w:val="00AA4EE6"/>
    <w:rsid w:val="00AA7FB6"/>
    <w:rsid w:val="00AB1AF0"/>
    <w:rsid w:val="00AB7B40"/>
    <w:rsid w:val="00AC1CA3"/>
    <w:rsid w:val="00AC3709"/>
    <w:rsid w:val="00AC390F"/>
    <w:rsid w:val="00AC7EA3"/>
    <w:rsid w:val="00AD09B5"/>
    <w:rsid w:val="00AD1597"/>
    <w:rsid w:val="00AE3AD7"/>
    <w:rsid w:val="00AE4946"/>
    <w:rsid w:val="00AF264E"/>
    <w:rsid w:val="00AF34A5"/>
    <w:rsid w:val="00AF5D1D"/>
    <w:rsid w:val="00AF6738"/>
    <w:rsid w:val="00B01F00"/>
    <w:rsid w:val="00B0336D"/>
    <w:rsid w:val="00B07191"/>
    <w:rsid w:val="00B1172E"/>
    <w:rsid w:val="00B11747"/>
    <w:rsid w:val="00B15F33"/>
    <w:rsid w:val="00B16461"/>
    <w:rsid w:val="00B17C0D"/>
    <w:rsid w:val="00B36C3B"/>
    <w:rsid w:val="00B415B8"/>
    <w:rsid w:val="00B436FF"/>
    <w:rsid w:val="00B4412C"/>
    <w:rsid w:val="00B44505"/>
    <w:rsid w:val="00B452E3"/>
    <w:rsid w:val="00B45812"/>
    <w:rsid w:val="00B47952"/>
    <w:rsid w:val="00B505B9"/>
    <w:rsid w:val="00B54925"/>
    <w:rsid w:val="00B550F9"/>
    <w:rsid w:val="00B61485"/>
    <w:rsid w:val="00B65444"/>
    <w:rsid w:val="00B665AB"/>
    <w:rsid w:val="00B71893"/>
    <w:rsid w:val="00B73637"/>
    <w:rsid w:val="00B736C3"/>
    <w:rsid w:val="00B740B7"/>
    <w:rsid w:val="00B82558"/>
    <w:rsid w:val="00B82820"/>
    <w:rsid w:val="00B91528"/>
    <w:rsid w:val="00BA30E6"/>
    <w:rsid w:val="00BA6B8E"/>
    <w:rsid w:val="00BB3873"/>
    <w:rsid w:val="00BC355B"/>
    <w:rsid w:val="00BC525A"/>
    <w:rsid w:val="00BC661C"/>
    <w:rsid w:val="00BD0290"/>
    <w:rsid w:val="00BD7137"/>
    <w:rsid w:val="00BE538D"/>
    <w:rsid w:val="00BF308C"/>
    <w:rsid w:val="00BF3787"/>
    <w:rsid w:val="00BF564A"/>
    <w:rsid w:val="00C01D5D"/>
    <w:rsid w:val="00C06AAA"/>
    <w:rsid w:val="00C070F5"/>
    <w:rsid w:val="00C107C2"/>
    <w:rsid w:val="00C136D4"/>
    <w:rsid w:val="00C25231"/>
    <w:rsid w:val="00C311EE"/>
    <w:rsid w:val="00C32185"/>
    <w:rsid w:val="00C32D9F"/>
    <w:rsid w:val="00C40C06"/>
    <w:rsid w:val="00C44EBB"/>
    <w:rsid w:val="00C467D1"/>
    <w:rsid w:val="00C470EA"/>
    <w:rsid w:val="00C512C2"/>
    <w:rsid w:val="00C51762"/>
    <w:rsid w:val="00C575D0"/>
    <w:rsid w:val="00C6599F"/>
    <w:rsid w:val="00C65C64"/>
    <w:rsid w:val="00C707C5"/>
    <w:rsid w:val="00C71E01"/>
    <w:rsid w:val="00C76086"/>
    <w:rsid w:val="00C910DD"/>
    <w:rsid w:val="00C921FF"/>
    <w:rsid w:val="00C929A2"/>
    <w:rsid w:val="00C958D3"/>
    <w:rsid w:val="00CA28FC"/>
    <w:rsid w:val="00CA2D30"/>
    <w:rsid w:val="00CA398C"/>
    <w:rsid w:val="00CB735D"/>
    <w:rsid w:val="00CC0779"/>
    <w:rsid w:val="00CC2377"/>
    <w:rsid w:val="00CD2C31"/>
    <w:rsid w:val="00CD3662"/>
    <w:rsid w:val="00CD68C1"/>
    <w:rsid w:val="00CF26F2"/>
    <w:rsid w:val="00D03EDF"/>
    <w:rsid w:val="00D07D02"/>
    <w:rsid w:val="00D134AB"/>
    <w:rsid w:val="00D2702B"/>
    <w:rsid w:val="00D32B38"/>
    <w:rsid w:val="00D338A7"/>
    <w:rsid w:val="00D342EA"/>
    <w:rsid w:val="00D370BF"/>
    <w:rsid w:val="00D42F08"/>
    <w:rsid w:val="00D4650B"/>
    <w:rsid w:val="00D548F5"/>
    <w:rsid w:val="00D554DA"/>
    <w:rsid w:val="00D55AC7"/>
    <w:rsid w:val="00D560E0"/>
    <w:rsid w:val="00D571EC"/>
    <w:rsid w:val="00D57C59"/>
    <w:rsid w:val="00D6305B"/>
    <w:rsid w:val="00D63F34"/>
    <w:rsid w:val="00D67F8D"/>
    <w:rsid w:val="00D71C19"/>
    <w:rsid w:val="00D733B4"/>
    <w:rsid w:val="00D74313"/>
    <w:rsid w:val="00D751C2"/>
    <w:rsid w:val="00D81C01"/>
    <w:rsid w:val="00D87567"/>
    <w:rsid w:val="00D97914"/>
    <w:rsid w:val="00DA33AC"/>
    <w:rsid w:val="00DA3F6B"/>
    <w:rsid w:val="00DB09E4"/>
    <w:rsid w:val="00DC42BA"/>
    <w:rsid w:val="00DC5895"/>
    <w:rsid w:val="00DD210C"/>
    <w:rsid w:val="00DE7990"/>
    <w:rsid w:val="00DF2605"/>
    <w:rsid w:val="00DF6462"/>
    <w:rsid w:val="00E01550"/>
    <w:rsid w:val="00E050D6"/>
    <w:rsid w:val="00E07CFC"/>
    <w:rsid w:val="00E11641"/>
    <w:rsid w:val="00E15816"/>
    <w:rsid w:val="00E15B96"/>
    <w:rsid w:val="00E17886"/>
    <w:rsid w:val="00E2317D"/>
    <w:rsid w:val="00E33A20"/>
    <w:rsid w:val="00E34EA3"/>
    <w:rsid w:val="00E421D6"/>
    <w:rsid w:val="00E4261A"/>
    <w:rsid w:val="00E528EC"/>
    <w:rsid w:val="00E54D21"/>
    <w:rsid w:val="00E54ED0"/>
    <w:rsid w:val="00E55797"/>
    <w:rsid w:val="00E644D6"/>
    <w:rsid w:val="00E64EA9"/>
    <w:rsid w:val="00E651E4"/>
    <w:rsid w:val="00E678AE"/>
    <w:rsid w:val="00E75426"/>
    <w:rsid w:val="00E76756"/>
    <w:rsid w:val="00E81325"/>
    <w:rsid w:val="00E813EC"/>
    <w:rsid w:val="00E827DF"/>
    <w:rsid w:val="00E9327A"/>
    <w:rsid w:val="00E9543D"/>
    <w:rsid w:val="00EA0641"/>
    <w:rsid w:val="00EA32F7"/>
    <w:rsid w:val="00EA3AC4"/>
    <w:rsid w:val="00EA5D14"/>
    <w:rsid w:val="00EA7B5F"/>
    <w:rsid w:val="00EB0939"/>
    <w:rsid w:val="00EB27A7"/>
    <w:rsid w:val="00EB51F1"/>
    <w:rsid w:val="00EC24D1"/>
    <w:rsid w:val="00EC3B98"/>
    <w:rsid w:val="00ED06F3"/>
    <w:rsid w:val="00ED0C28"/>
    <w:rsid w:val="00ED7B6A"/>
    <w:rsid w:val="00EF42E2"/>
    <w:rsid w:val="00EF5668"/>
    <w:rsid w:val="00F00893"/>
    <w:rsid w:val="00F01752"/>
    <w:rsid w:val="00F027BC"/>
    <w:rsid w:val="00F02869"/>
    <w:rsid w:val="00F11963"/>
    <w:rsid w:val="00F15CD4"/>
    <w:rsid w:val="00F16B04"/>
    <w:rsid w:val="00F17347"/>
    <w:rsid w:val="00F230A1"/>
    <w:rsid w:val="00F23CD7"/>
    <w:rsid w:val="00F25A38"/>
    <w:rsid w:val="00F25D8B"/>
    <w:rsid w:val="00F3110F"/>
    <w:rsid w:val="00F31AC1"/>
    <w:rsid w:val="00F3376E"/>
    <w:rsid w:val="00F33913"/>
    <w:rsid w:val="00F34B8C"/>
    <w:rsid w:val="00F36148"/>
    <w:rsid w:val="00F43B02"/>
    <w:rsid w:val="00F46FD5"/>
    <w:rsid w:val="00F5486E"/>
    <w:rsid w:val="00F54978"/>
    <w:rsid w:val="00F57F0B"/>
    <w:rsid w:val="00F62BD1"/>
    <w:rsid w:val="00F65CED"/>
    <w:rsid w:val="00F66F27"/>
    <w:rsid w:val="00F67A34"/>
    <w:rsid w:val="00F71CA5"/>
    <w:rsid w:val="00F74CA2"/>
    <w:rsid w:val="00F7625B"/>
    <w:rsid w:val="00F826C2"/>
    <w:rsid w:val="00F85721"/>
    <w:rsid w:val="00F862E0"/>
    <w:rsid w:val="00F86E83"/>
    <w:rsid w:val="00F870BB"/>
    <w:rsid w:val="00F870D9"/>
    <w:rsid w:val="00F92EA9"/>
    <w:rsid w:val="00F940B1"/>
    <w:rsid w:val="00F96A4F"/>
    <w:rsid w:val="00FA04CA"/>
    <w:rsid w:val="00FA0518"/>
    <w:rsid w:val="00FA1401"/>
    <w:rsid w:val="00FA3204"/>
    <w:rsid w:val="00FA3ABF"/>
    <w:rsid w:val="00FA403C"/>
    <w:rsid w:val="00FA6860"/>
    <w:rsid w:val="00FB02DB"/>
    <w:rsid w:val="00FB04A7"/>
    <w:rsid w:val="00FB4198"/>
    <w:rsid w:val="00FB595F"/>
    <w:rsid w:val="00FB764E"/>
    <w:rsid w:val="00FC0A2B"/>
    <w:rsid w:val="00FD2DC5"/>
    <w:rsid w:val="00FD4985"/>
    <w:rsid w:val="00FE05F9"/>
    <w:rsid w:val="00FE7293"/>
    <w:rsid w:val="00FF2732"/>
    <w:rsid w:val="00FF3A6E"/>
    <w:rsid w:val="00FF4205"/>
    <w:rsid w:val="00FF6FAE"/>
    <w:rsid w:val="02FA5754"/>
    <w:rsid w:val="03AB3540"/>
    <w:rsid w:val="03C23CC6"/>
    <w:rsid w:val="04450E24"/>
    <w:rsid w:val="044F407A"/>
    <w:rsid w:val="047006DC"/>
    <w:rsid w:val="04B16955"/>
    <w:rsid w:val="04FC44F3"/>
    <w:rsid w:val="05A62142"/>
    <w:rsid w:val="06480A2A"/>
    <w:rsid w:val="06A76BA1"/>
    <w:rsid w:val="06D66EBD"/>
    <w:rsid w:val="06FF6D2E"/>
    <w:rsid w:val="086724C2"/>
    <w:rsid w:val="087149F8"/>
    <w:rsid w:val="08E6063E"/>
    <w:rsid w:val="08FC6227"/>
    <w:rsid w:val="09621E65"/>
    <w:rsid w:val="09D37B64"/>
    <w:rsid w:val="0AA065DF"/>
    <w:rsid w:val="0B6F5410"/>
    <w:rsid w:val="0B9E6F6B"/>
    <w:rsid w:val="0BE107C4"/>
    <w:rsid w:val="0C373B3F"/>
    <w:rsid w:val="0C8360A2"/>
    <w:rsid w:val="0CE26B41"/>
    <w:rsid w:val="0DF27D09"/>
    <w:rsid w:val="0F5236EF"/>
    <w:rsid w:val="0FBA6D43"/>
    <w:rsid w:val="11313B8D"/>
    <w:rsid w:val="123D4AE5"/>
    <w:rsid w:val="131A69FA"/>
    <w:rsid w:val="135A3AAA"/>
    <w:rsid w:val="140A78E4"/>
    <w:rsid w:val="14695C25"/>
    <w:rsid w:val="14735ED6"/>
    <w:rsid w:val="1491738C"/>
    <w:rsid w:val="14AA7709"/>
    <w:rsid w:val="14BB78FC"/>
    <w:rsid w:val="1510541C"/>
    <w:rsid w:val="15C37009"/>
    <w:rsid w:val="16113CBC"/>
    <w:rsid w:val="169226F4"/>
    <w:rsid w:val="16E245B3"/>
    <w:rsid w:val="16FE0011"/>
    <w:rsid w:val="170D0932"/>
    <w:rsid w:val="176E1CBA"/>
    <w:rsid w:val="17886593"/>
    <w:rsid w:val="17BD0929"/>
    <w:rsid w:val="18634202"/>
    <w:rsid w:val="18694E6D"/>
    <w:rsid w:val="19176566"/>
    <w:rsid w:val="199C035E"/>
    <w:rsid w:val="1ABB594C"/>
    <w:rsid w:val="1C0E6CB2"/>
    <w:rsid w:val="1DF0067D"/>
    <w:rsid w:val="1E931599"/>
    <w:rsid w:val="201E09CE"/>
    <w:rsid w:val="210B3229"/>
    <w:rsid w:val="210E79BD"/>
    <w:rsid w:val="2128705C"/>
    <w:rsid w:val="217E31E4"/>
    <w:rsid w:val="220C0C44"/>
    <w:rsid w:val="23255DE3"/>
    <w:rsid w:val="237D2665"/>
    <w:rsid w:val="242C7387"/>
    <w:rsid w:val="24C71002"/>
    <w:rsid w:val="251A3222"/>
    <w:rsid w:val="28D7065A"/>
    <w:rsid w:val="29461787"/>
    <w:rsid w:val="2A2B739C"/>
    <w:rsid w:val="2A3C7123"/>
    <w:rsid w:val="2A4A46B4"/>
    <w:rsid w:val="2A885120"/>
    <w:rsid w:val="2B90488D"/>
    <w:rsid w:val="2C134DB6"/>
    <w:rsid w:val="2CDD25B0"/>
    <w:rsid w:val="2D23690D"/>
    <w:rsid w:val="2D3C6CD1"/>
    <w:rsid w:val="2E775E26"/>
    <w:rsid w:val="300B1A56"/>
    <w:rsid w:val="30810D5E"/>
    <w:rsid w:val="3092404F"/>
    <w:rsid w:val="30EC150B"/>
    <w:rsid w:val="31E731D4"/>
    <w:rsid w:val="31FF0B5D"/>
    <w:rsid w:val="320971C0"/>
    <w:rsid w:val="32201188"/>
    <w:rsid w:val="323B7D62"/>
    <w:rsid w:val="35520A5C"/>
    <w:rsid w:val="35EF39C4"/>
    <w:rsid w:val="36A07BDC"/>
    <w:rsid w:val="3748032F"/>
    <w:rsid w:val="37785979"/>
    <w:rsid w:val="38465865"/>
    <w:rsid w:val="38661DB1"/>
    <w:rsid w:val="397A6F6E"/>
    <w:rsid w:val="3AAA71E3"/>
    <w:rsid w:val="3B401CBE"/>
    <w:rsid w:val="3BB76081"/>
    <w:rsid w:val="3C4F6E9E"/>
    <w:rsid w:val="3C511EC1"/>
    <w:rsid w:val="3C9278CB"/>
    <w:rsid w:val="3CBB3CDA"/>
    <w:rsid w:val="3D0C64DB"/>
    <w:rsid w:val="3D1222B3"/>
    <w:rsid w:val="3DCE6E08"/>
    <w:rsid w:val="3E401F75"/>
    <w:rsid w:val="3F9E5DD6"/>
    <w:rsid w:val="3FDB607F"/>
    <w:rsid w:val="40125E97"/>
    <w:rsid w:val="40AE1330"/>
    <w:rsid w:val="40E3673F"/>
    <w:rsid w:val="42925F27"/>
    <w:rsid w:val="430E4806"/>
    <w:rsid w:val="43602633"/>
    <w:rsid w:val="43944CD4"/>
    <w:rsid w:val="43F67E27"/>
    <w:rsid w:val="440A7553"/>
    <w:rsid w:val="442B1412"/>
    <w:rsid w:val="44C21E49"/>
    <w:rsid w:val="453E058F"/>
    <w:rsid w:val="455A4AE2"/>
    <w:rsid w:val="45BD114B"/>
    <w:rsid w:val="46064BA4"/>
    <w:rsid w:val="463577A7"/>
    <w:rsid w:val="46B11386"/>
    <w:rsid w:val="46C62278"/>
    <w:rsid w:val="46EF361B"/>
    <w:rsid w:val="472A27BC"/>
    <w:rsid w:val="494D3C14"/>
    <w:rsid w:val="4B9274C1"/>
    <w:rsid w:val="4C940BDA"/>
    <w:rsid w:val="4D151ABA"/>
    <w:rsid w:val="4D3F2F92"/>
    <w:rsid w:val="4DB24A25"/>
    <w:rsid w:val="50451415"/>
    <w:rsid w:val="524D09F5"/>
    <w:rsid w:val="52722813"/>
    <w:rsid w:val="52F07D43"/>
    <w:rsid w:val="52F2377D"/>
    <w:rsid w:val="539349F0"/>
    <w:rsid w:val="54E93245"/>
    <w:rsid w:val="555239AA"/>
    <w:rsid w:val="5555030C"/>
    <w:rsid w:val="555A6B7C"/>
    <w:rsid w:val="55DB151F"/>
    <w:rsid w:val="55EB7604"/>
    <w:rsid w:val="55F654C2"/>
    <w:rsid w:val="56C56931"/>
    <w:rsid w:val="570C6EE1"/>
    <w:rsid w:val="571A1B54"/>
    <w:rsid w:val="5879699A"/>
    <w:rsid w:val="58D35CB6"/>
    <w:rsid w:val="59532024"/>
    <w:rsid w:val="59A944BD"/>
    <w:rsid w:val="5A2D6E91"/>
    <w:rsid w:val="5A471D7A"/>
    <w:rsid w:val="5AD859A2"/>
    <w:rsid w:val="5B20172A"/>
    <w:rsid w:val="5B6104AC"/>
    <w:rsid w:val="5C186241"/>
    <w:rsid w:val="5C5B527D"/>
    <w:rsid w:val="5C844566"/>
    <w:rsid w:val="5D4C0C9D"/>
    <w:rsid w:val="5E19782F"/>
    <w:rsid w:val="5F047390"/>
    <w:rsid w:val="5F387182"/>
    <w:rsid w:val="5F967450"/>
    <w:rsid w:val="5FC12603"/>
    <w:rsid w:val="5FCF2B33"/>
    <w:rsid w:val="62BC243B"/>
    <w:rsid w:val="640B2979"/>
    <w:rsid w:val="64F95030"/>
    <w:rsid w:val="65253744"/>
    <w:rsid w:val="65600F3F"/>
    <w:rsid w:val="65CE4EFC"/>
    <w:rsid w:val="672B40FE"/>
    <w:rsid w:val="67C77DCA"/>
    <w:rsid w:val="686A1A73"/>
    <w:rsid w:val="68BA187C"/>
    <w:rsid w:val="690361DC"/>
    <w:rsid w:val="6AAC604D"/>
    <w:rsid w:val="6B9D7FFD"/>
    <w:rsid w:val="6E370425"/>
    <w:rsid w:val="6EE640D0"/>
    <w:rsid w:val="6F550B9B"/>
    <w:rsid w:val="6F5A6C1E"/>
    <w:rsid w:val="6FDD4D55"/>
    <w:rsid w:val="70A84023"/>
    <w:rsid w:val="70F53CD9"/>
    <w:rsid w:val="71205229"/>
    <w:rsid w:val="72C92970"/>
    <w:rsid w:val="732857F3"/>
    <w:rsid w:val="733C27A4"/>
    <w:rsid w:val="734D3F7D"/>
    <w:rsid w:val="751730CA"/>
    <w:rsid w:val="75702BEE"/>
    <w:rsid w:val="76137DC5"/>
    <w:rsid w:val="76285796"/>
    <w:rsid w:val="769E5342"/>
    <w:rsid w:val="78FA5ED4"/>
    <w:rsid w:val="78FE3A04"/>
    <w:rsid w:val="79EB2B0E"/>
    <w:rsid w:val="7A0F108D"/>
    <w:rsid w:val="7A161035"/>
    <w:rsid w:val="7CB56E3A"/>
    <w:rsid w:val="7CBD7FFD"/>
    <w:rsid w:val="7D084AAC"/>
    <w:rsid w:val="7D4D35A7"/>
    <w:rsid w:val="7DCD6816"/>
    <w:rsid w:val="7F791E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7"/>
    <w:qFormat/>
    <w:uiPriority w:val="99"/>
    <w:pPr>
      <w:keepNext/>
      <w:jc w:val="center"/>
      <w:outlineLvl w:val="0"/>
    </w:pPr>
    <w:rPr>
      <w:rFonts w:eastAsia="仿宋_GB2312"/>
      <w:sz w:val="28"/>
      <w:szCs w:val="28"/>
    </w:rPr>
  </w:style>
  <w:style w:type="paragraph" w:styleId="5">
    <w:name w:val="heading 2"/>
    <w:basedOn w:val="1"/>
    <w:next w:val="1"/>
    <w:link w:val="68"/>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69"/>
    <w:qFormat/>
    <w:uiPriority w:val="99"/>
    <w:pPr>
      <w:keepNext/>
      <w:keepLines/>
      <w:spacing w:before="260" w:after="260" w:line="416" w:lineRule="auto"/>
      <w:outlineLvl w:val="2"/>
    </w:pPr>
    <w:rPr>
      <w:b/>
      <w:bCs/>
      <w:sz w:val="32"/>
      <w:szCs w:val="32"/>
    </w:rPr>
  </w:style>
  <w:style w:type="paragraph" w:styleId="7">
    <w:name w:val="heading 4"/>
    <w:basedOn w:val="1"/>
    <w:next w:val="1"/>
    <w:link w:val="70"/>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8">
    <w:name w:val="heading 5"/>
    <w:basedOn w:val="1"/>
    <w:next w:val="1"/>
    <w:link w:val="71"/>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72"/>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10">
    <w:name w:val="heading 7"/>
    <w:basedOn w:val="1"/>
    <w:next w:val="1"/>
    <w:link w:val="73"/>
    <w:qFormat/>
    <w:uiPriority w:val="99"/>
    <w:pPr>
      <w:keepNext/>
      <w:keepLines/>
      <w:spacing w:before="240" w:after="64" w:line="320" w:lineRule="auto"/>
      <w:outlineLvl w:val="6"/>
    </w:pPr>
    <w:rPr>
      <w:b/>
      <w:bCs/>
      <w:sz w:val="24"/>
      <w:szCs w:val="24"/>
    </w:rPr>
  </w:style>
  <w:style w:type="paragraph" w:styleId="11">
    <w:name w:val="heading 8"/>
    <w:basedOn w:val="1"/>
    <w:next w:val="1"/>
    <w:link w:val="74"/>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2">
    <w:name w:val="heading 9"/>
    <w:basedOn w:val="1"/>
    <w:next w:val="1"/>
    <w:link w:val="75"/>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1"/>
    <w:qFormat/>
    <w:uiPriority w:val="99"/>
    <w:pPr>
      <w:spacing w:line="360" w:lineRule="auto"/>
      <w:ind w:firstLine="482"/>
    </w:pPr>
    <w:rPr>
      <w:b/>
      <w:bCs/>
      <w:sz w:val="24"/>
      <w:szCs w:val="24"/>
    </w:rPr>
  </w:style>
  <w:style w:type="paragraph" w:styleId="3">
    <w:name w:val="Body Text"/>
    <w:basedOn w:val="1"/>
    <w:next w:val="1"/>
    <w:link w:val="78"/>
    <w:qFormat/>
    <w:uiPriority w:val="99"/>
    <w:pPr>
      <w:spacing w:after="120"/>
    </w:pPr>
    <w:rPr>
      <w:kern w:val="0"/>
      <w:sz w:val="2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Note Heading"/>
    <w:basedOn w:val="1"/>
    <w:next w:val="1"/>
    <w:qFormat/>
    <w:locked/>
    <w:uiPriority w:val="0"/>
    <w:rPr>
      <w:rFonts w:ascii="Verdana" w:hAnsi="Verdana"/>
      <w:szCs w:val="20"/>
    </w:rPr>
  </w:style>
  <w:style w:type="paragraph" w:styleId="16">
    <w:name w:val="Normal Indent"/>
    <w:basedOn w:val="1"/>
    <w:link w:val="113"/>
    <w:qFormat/>
    <w:uiPriority w:val="99"/>
    <w:pPr>
      <w:ind w:firstLine="420" w:firstLineChars="200"/>
    </w:pPr>
    <w:rPr>
      <w:kern w:val="0"/>
      <w:sz w:val="24"/>
      <w:szCs w:val="24"/>
    </w:rPr>
  </w:style>
  <w:style w:type="paragraph" w:styleId="17">
    <w:name w:val="List Bullet"/>
    <w:basedOn w:val="1"/>
    <w:qFormat/>
    <w:uiPriority w:val="99"/>
    <w:pPr>
      <w:numPr>
        <w:ilvl w:val="0"/>
        <w:numId w:val="1"/>
      </w:numPr>
      <w:tabs>
        <w:tab w:val="left" w:pos="360"/>
      </w:tabs>
    </w:pPr>
  </w:style>
  <w:style w:type="paragraph" w:styleId="18">
    <w:name w:val="Document Map"/>
    <w:basedOn w:val="1"/>
    <w:link w:val="76"/>
    <w:semiHidden/>
    <w:qFormat/>
    <w:uiPriority w:val="99"/>
    <w:rPr>
      <w:rFonts w:ascii="宋体" w:cs="宋体"/>
      <w:kern w:val="0"/>
      <w:sz w:val="18"/>
      <w:szCs w:val="18"/>
    </w:rPr>
  </w:style>
  <w:style w:type="paragraph" w:styleId="19">
    <w:name w:val="toa heading"/>
    <w:basedOn w:val="1"/>
    <w:next w:val="1"/>
    <w:semiHidden/>
    <w:qFormat/>
    <w:uiPriority w:val="99"/>
    <w:pPr>
      <w:adjustRightInd w:val="0"/>
      <w:spacing w:before="200" w:line="360" w:lineRule="atLeast"/>
      <w:jc w:val="center"/>
    </w:pPr>
    <w:rPr>
      <w:rFonts w:ascii="Arial" w:hAnsi="Arial" w:eastAsia="黑体" w:cs="Arial"/>
      <w:kern w:val="0"/>
      <w:sz w:val="44"/>
      <w:szCs w:val="44"/>
    </w:rPr>
  </w:style>
  <w:style w:type="paragraph" w:styleId="20">
    <w:name w:val="annotation text"/>
    <w:basedOn w:val="1"/>
    <w:link w:val="77"/>
    <w:semiHidden/>
    <w:qFormat/>
    <w:uiPriority w:val="99"/>
    <w:pPr>
      <w:jc w:val="left"/>
    </w:pPr>
    <w:rPr>
      <w:kern w:val="0"/>
      <w:sz w:val="20"/>
      <w:szCs w:val="20"/>
    </w:rPr>
  </w:style>
  <w:style w:type="paragraph" w:styleId="21">
    <w:name w:val="Body Text Indent"/>
    <w:basedOn w:val="1"/>
    <w:next w:val="22"/>
    <w:link w:val="79"/>
    <w:qFormat/>
    <w:uiPriority w:val="99"/>
    <w:pPr>
      <w:spacing w:after="120"/>
      <w:ind w:left="420" w:leftChars="200"/>
    </w:pPr>
    <w:rPr>
      <w:kern w:val="0"/>
      <w:sz w:val="20"/>
      <w:szCs w:val="20"/>
    </w:rPr>
  </w:style>
  <w:style w:type="paragraph" w:styleId="22">
    <w:name w:val="envelope return"/>
    <w:basedOn w:val="1"/>
    <w:unhideWhenUsed/>
    <w:qFormat/>
    <w:locked/>
    <w:uiPriority w:val="99"/>
    <w:pPr>
      <w:snapToGrid w:val="0"/>
    </w:pPr>
    <w:rPr>
      <w:rFonts w:ascii="Arial" w:hAnsi="Arial"/>
    </w:rPr>
  </w:style>
  <w:style w:type="paragraph" w:styleId="23">
    <w:name w:val="List 2"/>
    <w:basedOn w:val="1"/>
    <w:qFormat/>
    <w:uiPriority w:val="99"/>
    <w:pPr>
      <w:ind w:left="100" w:leftChars="200" w:hanging="200" w:hangingChars="200"/>
    </w:pPr>
  </w:style>
  <w:style w:type="paragraph" w:styleId="24">
    <w:name w:val="List Continue"/>
    <w:basedOn w:val="1"/>
    <w:qFormat/>
    <w:uiPriority w:val="99"/>
    <w:pPr>
      <w:spacing w:after="120"/>
      <w:ind w:left="420" w:leftChars="200"/>
    </w:pPr>
  </w:style>
  <w:style w:type="paragraph" w:styleId="25">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6">
    <w:name w:val="toc 5"/>
    <w:basedOn w:val="1"/>
    <w:next w:val="1"/>
    <w:semiHidden/>
    <w:qFormat/>
    <w:uiPriority w:val="99"/>
    <w:pPr>
      <w:ind w:left="840"/>
      <w:jc w:val="left"/>
    </w:pPr>
    <w:rPr>
      <w:sz w:val="18"/>
      <w:szCs w:val="18"/>
    </w:rPr>
  </w:style>
  <w:style w:type="paragraph" w:styleId="27">
    <w:name w:val="toc 3"/>
    <w:basedOn w:val="1"/>
    <w:next w:val="1"/>
    <w:semiHidden/>
    <w:qFormat/>
    <w:uiPriority w:val="99"/>
    <w:pPr>
      <w:widowControl/>
      <w:tabs>
        <w:tab w:val="left" w:pos="1050"/>
        <w:tab w:val="right" w:leader="dot" w:pos="9402"/>
      </w:tabs>
      <w:spacing w:after="100" w:line="520" w:lineRule="exact"/>
      <w:jc w:val="center"/>
      <w:outlineLvl w:val="0"/>
    </w:pPr>
    <w:rPr>
      <w:rFonts w:ascii="宋体" w:hAnsi="宋体" w:cs="宋体"/>
      <w:b/>
      <w:bCs/>
      <w:color w:val="FF0000"/>
      <w:w w:val="80"/>
      <w:kern w:val="0"/>
      <w:sz w:val="44"/>
      <w:szCs w:val="44"/>
    </w:rPr>
  </w:style>
  <w:style w:type="paragraph" w:styleId="28">
    <w:name w:val="Plain Text"/>
    <w:basedOn w:val="1"/>
    <w:link w:val="80"/>
    <w:qFormat/>
    <w:uiPriority w:val="99"/>
    <w:rPr>
      <w:rFonts w:ascii="宋体" w:hAnsi="Courier New" w:cs="宋体"/>
      <w:kern w:val="0"/>
      <w:sz w:val="20"/>
      <w:szCs w:val="20"/>
    </w:rPr>
  </w:style>
  <w:style w:type="paragraph" w:styleId="29">
    <w:name w:val="toc 8"/>
    <w:basedOn w:val="1"/>
    <w:next w:val="1"/>
    <w:semiHidden/>
    <w:qFormat/>
    <w:uiPriority w:val="99"/>
    <w:pPr>
      <w:ind w:left="1470"/>
      <w:jc w:val="left"/>
    </w:pPr>
    <w:rPr>
      <w:sz w:val="18"/>
      <w:szCs w:val="18"/>
    </w:rPr>
  </w:style>
  <w:style w:type="paragraph" w:styleId="30">
    <w:name w:val="Date"/>
    <w:basedOn w:val="1"/>
    <w:next w:val="1"/>
    <w:link w:val="81"/>
    <w:qFormat/>
    <w:uiPriority w:val="99"/>
    <w:pPr>
      <w:widowControl/>
      <w:ind w:left="100"/>
      <w:jc w:val="left"/>
    </w:pPr>
    <w:rPr>
      <w:rFonts w:ascii="宋体" w:hAnsi="宋体" w:cs="宋体"/>
      <w:kern w:val="0"/>
      <w:sz w:val="28"/>
      <w:szCs w:val="28"/>
    </w:rPr>
  </w:style>
  <w:style w:type="paragraph" w:styleId="31">
    <w:name w:val="Body Text Indent 2"/>
    <w:basedOn w:val="1"/>
    <w:link w:val="82"/>
    <w:qFormat/>
    <w:uiPriority w:val="99"/>
    <w:pPr>
      <w:spacing w:after="120" w:line="480" w:lineRule="auto"/>
      <w:ind w:left="420" w:leftChars="200"/>
    </w:pPr>
    <w:rPr>
      <w:rFonts w:ascii="Calibri" w:hAnsi="Calibri" w:cs="Calibri"/>
    </w:rPr>
  </w:style>
  <w:style w:type="paragraph" w:styleId="32">
    <w:name w:val="List Continue 5"/>
    <w:basedOn w:val="1"/>
    <w:qFormat/>
    <w:uiPriority w:val="99"/>
    <w:pPr>
      <w:spacing w:after="120"/>
      <w:ind w:left="2100" w:leftChars="1000"/>
    </w:pPr>
  </w:style>
  <w:style w:type="paragraph" w:styleId="33">
    <w:name w:val="Balloon Text"/>
    <w:basedOn w:val="1"/>
    <w:link w:val="83"/>
    <w:semiHidden/>
    <w:qFormat/>
    <w:uiPriority w:val="99"/>
    <w:rPr>
      <w:kern w:val="0"/>
      <w:sz w:val="18"/>
      <w:szCs w:val="18"/>
    </w:rPr>
  </w:style>
  <w:style w:type="paragraph" w:styleId="34">
    <w:name w:val="footer"/>
    <w:basedOn w:val="1"/>
    <w:link w:val="84"/>
    <w:qFormat/>
    <w:uiPriority w:val="99"/>
    <w:pPr>
      <w:tabs>
        <w:tab w:val="center" w:pos="4153"/>
        <w:tab w:val="right" w:pos="8306"/>
      </w:tabs>
      <w:snapToGrid w:val="0"/>
      <w:jc w:val="left"/>
    </w:pPr>
    <w:rPr>
      <w:sz w:val="18"/>
      <w:szCs w:val="18"/>
    </w:rPr>
  </w:style>
  <w:style w:type="paragraph" w:styleId="35">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99"/>
    <w:pPr>
      <w:widowControl/>
      <w:tabs>
        <w:tab w:val="right" w:leader="hyphen" w:pos="9736"/>
      </w:tabs>
      <w:spacing w:after="100" w:line="276" w:lineRule="auto"/>
      <w:jc w:val="center"/>
    </w:pPr>
    <w:rPr>
      <w:rFonts w:ascii="Calibri" w:hAnsi="Calibri" w:cs="Calibri"/>
      <w:kern w:val="0"/>
      <w:sz w:val="22"/>
      <w:szCs w:val="22"/>
    </w:rPr>
  </w:style>
  <w:style w:type="paragraph" w:styleId="37">
    <w:name w:val="List Continue 4"/>
    <w:basedOn w:val="1"/>
    <w:qFormat/>
    <w:uiPriority w:val="99"/>
    <w:pPr>
      <w:spacing w:after="120"/>
      <w:ind w:left="1680" w:leftChars="800"/>
    </w:pPr>
  </w:style>
  <w:style w:type="paragraph" w:styleId="38">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9">
    <w:name w:val="List"/>
    <w:basedOn w:val="1"/>
    <w:qFormat/>
    <w:uiPriority w:val="99"/>
    <w:pPr>
      <w:ind w:left="200" w:hanging="200" w:hangingChars="200"/>
    </w:pPr>
  </w:style>
  <w:style w:type="paragraph" w:styleId="40">
    <w:name w:val="footnote text"/>
    <w:basedOn w:val="1"/>
    <w:link w:val="86"/>
    <w:semiHidden/>
    <w:qFormat/>
    <w:uiPriority w:val="99"/>
    <w:pPr>
      <w:snapToGrid w:val="0"/>
      <w:jc w:val="left"/>
    </w:pPr>
    <w:rPr>
      <w:rFonts w:ascii="Calibri" w:hAnsi="Calibri" w:cs="Calibri"/>
      <w:kern w:val="0"/>
      <w:sz w:val="18"/>
      <w:szCs w:val="18"/>
    </w:rPr>
  </w:style>
  <w:style w:type="paragraph" w:styleId="41">
    <w:name w:val="toc 6"/>
    <w:basedOn w:val="1"/>
    <w:next w:val="1"/>
    <w:semiHidden/>
    <w:qFormat/>
    <w:uiPriority w:val="99"/>
    <w:pPr>
      <w:ind w:left="1050"/>
      <w:jc w:val="left"/>
    </w:pPr>
    <w:rPr>
      <w:sz w:val="18"/>
      <w:szCs w:val="18"/>
    </w:rPr>
  </w:style>
  <w:style w:type="paragraph" w:styleId="42">
    <w:name w:val="List 5"/>
    <w:basedOn w:val="1"/>
    <w:qFormat/>
    <w:uiPriority w:val="99"/>
    <w:pPr>
      <w:ind w:left="100" w:leftChars="800" w:hanging="200" w:hangingChars="200"/>
    </w:pPr>
  </w:style>
  <w:style w:type="paragraph" w:styleId="43">
    <w:name w:val="Body Text Indent 3"/>
    <w:basedOn w:val="1"/>
    <w:link w:val="87"/>
    <w:qFormat/>
    <w:uiPriority w:val="99"/>
    <w:pPr>
      <w:ind w:firstLine="435"/>
    </w:pPr>
    <w:rPr>
      <w:rFonts w:ascii="仿宋_GB2312" w:hAnsi="宋体" w:eastAsia="仿宋_GB2312" w:cs="仿宋_GB2312"/>
      <w:sz w:val="28"/>
      <w:szCs w:val="28"/>
    </w:rPr>
  </w:style>
  <w:style w:type="paragraph" w:styleId="44">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45">
    <w:name w:val="toc 9"/>
    <w:basedOn w:val="1"/>
    <w:next w:val="1"/>
    <w:semiHidden/>
    <w:qFormat/>
    <w:uiPriority w:val="99"/>
    <w:pPr>
      <w:ind w:left="1680"/>
      <w:jc w:val="left"/>
    </w:pPr>
    <w:rPr>
      <w:sz w:val="18"/>
      <w:szCs w:val="18"/>
    </w:rPr>
  </w:style>
  <w:style w:type="paragraph" w:styleId="46">
    <w:name w:val="Body Text 2"/>
    <w:basedOn w:val="1"/>
    <w:link w:val="88"/>
    <w:qFormat/>
    <w:uiPriority w:val="99"/>
    <w:rPr>
      <w:rFonts w:ascii="宋体" w:hAnsi="宋体" w:cs="宋体"/>
      <w:kern w:val="0"/>
      <w:sz w:val="24"/>
      <w:szCs w:val="24"/>
    </w:rPr>
  </w:style>
  <w:style w:type="paragraph" w:styleId="47">
    <w:name w:val="List 4"/>
    <w:basedOn w:val="1"/>
    <w:qFormat/>
    <w:uiPriority w:val="99"/>
    <w:pPr>
      <w:ind w:left="100" w:leftChars="600" w:hanging="200" w:hangingChars="200"/>
    </w:pPr>
  </w:style>
  <w:style w:type="paragraph" w:styleId="48">
    <w:name w:val="List Continue 2"/>
    <w:basedOn w:val="1"/>
    <w:qFormat/>
    <w:uiPriority w:val="99"/>
    <w:pPr>
      <w:spacing w:after="120"/>
      <w:ind w:left="840" w:leftChars="400"/>
    </w:pPr>
  </w:style>
  <w:style w:type="paragraph" w:styleId="49">
    <w:name w:val="HTML Preformatted"/>
    <w:basedOn w:val="1"/>
    <w:link w:val="89"/>
    <w:qFormat/>
    <w:uiPriority w:val="99"/>
    <w:rPr>
      <w:rFonts w:ascii="Courier New" w:hAnsi="Courier New" w:cs="Courier New"/>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qFormat/>
    <w:uiPriority w:val="99"/>
    <w:pPr>
      <w:spacing w:after="120"/>
      <w:ind w:left="1260" w:leftChars="600"/>
    </w:pPr>
  </w:style>
  <w:style w:type="paragraph" w:styleId="52">
    <w:name w:val="annotation subject"/>
    <w:basedOn w:val="20"/>
    <w:next w:val="20"/>
    <w:link w:val="90"/>
    <w:semiHidden/>
    <w:qFormat/>
    <w:uiPriority w:val="99"/>
    <w:rPr>
      <w:b/>
      <w:bCs/>
    </w:rPr>
  </w:style>
  <w:style w:type="paragraph" w:styleId="53">
    <w:name w:val="Body Text First Indent 2"/>
    <w:basedOn w:val="21"/>
    <w:link w:val="92"/>
    <w:qFormat/>
    <w:uiPriority w:val="99"/>
    <w:pPr>
      <w:ind w:firstLine="420" w:firstLineChars="200"/>
    </w:pPr>
  </w:style>
  <w:style w:type="table" w:styleId="55">
    <w:name w:val="Table Grid"/>
    <w:basedOn w:val="5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99"/>
    <w:rPr>
      <w:b/>
      <w:bCs/>
    </w:rPr>
  </w:style>
  <w:style w:type="character" w:styleId="58">
    <w:name w:val="page number"/>
    <w:basedOn w:val="56"/>
    <w:qFormat/>
    <w:uiPriority w:val="99"/>
  </w:style>
  <w:style w:type="character" w:styleId="59">
    <w:name w:val="FollowedHyperlink"/>
    <w:basedOn w:val="56"/>
    <w:semiHidden/>
    <w:qFormat/>
    <w:uiPriority w:val="99"/>
    <w:rPr>
      <w:color w:val="800080"/>
      <w:u w:val="single"/>
    </w:rPr>
  </w:style>
  <w:style w:type="character" w:styleId="60">
    <w:name w:val="Emphasis"/>
    <w:basedOn w:val="56"/>
    <w:qFormat/>
    <w:uiPriority w:val="99"/>
    <w:rPr>
      <w:color w:val="auto"/>
    </w:rPr>
  </w:style>
  <w:style w:type="character" w:styleId="61">
    <w:name w:val="Hyperlink"/>
    <w:basedOn w:val="56"/>
    <w:qFormat/>
    <w:uiPriority w:val="99"/>
    <w:rPr>
      <w:color w:val="auto"/>
      <w:u w:val="none"/>
    </w:rPr>
  </w:style>
  <w:style w:type="character" w:styleId="62">
    <w:name w:val="annotation reference"/>
    <w:basedOn w:val="56"/>
    <w:semiHidden/>
    <w:qFormat/>
    <w:uiPriority w:val="99"/>
    <w:rPr>
      <w:sz w:val="21"/>
      <w:szCs w:val="21"/>
    </w:rPr>
  </w:style>
  <w:style w:type="character" w:styleId="63">
    <w:name w:val="footnote reference"/>
    <w:basedOn w:val="56"/>
    <w:semiHidden/>
    <w:qFormat/>
    <w:uiPriority w:val="99"/>
    <w:rPr>
      <w:vertAlign w:val="superscript"/>
    </w:rPr>
  </w:style>
  <w:style w:type="paragraph" w:customStyle="1" w:styleId="64">
    <w:name w:val="style4"/>
    <w:basedOn w:val="1"/>
    <w:next w:val="65"/>
    <w:qFormat/>
    <w:uiPriority w:val="0"/>
    <w:pPr>
      <w:widowControl/>
      <w:spacing w:before="280" w:after="280"/>
    </w:pPr>
    <w:rPr>
      <w:rFonts w:ascii="宋体"/>
      <w:sz w:val="18"/>
    </w:rPr>
  </w:style>
  <w:style w:type="paragraph" w:customStyle="1" w:styleId="6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首行缩进 21"/>
    <w:basedOn w:val="21"/>
    <w:unhideWhenUsed/>
    <w:qFormat/>
    <w:uiPriority w:val="99"/>
    <w:pPr>
      <w:ind w:firstLine="200" w:firstLineChars="200"/>
    </w:pPr>
  </w:style>
  <w:style w:type="character" w:customStyle="1" w:styleId="67">
    <w:name w:val="标题 1 Char"/>
    <w:basedOn w:val="56"/>
    <w:link w:val="4"/>
    <w:qFormat/>
    <w:locked/>
    <w:uiPriority w:val="99"/>
    <w:rPr>
      <w:rFonts w:ascii="Times New Roman" w:hAnsi="Times New Roman" w:eastAsia="仿宋_GB2312" w:cs="Times New Roman"/>
      <w:sz w:val="24"/>
      <w:szCs w:val="24"/>
    </w:rPr>
  </w:style>
  <w:style w:type="character" w:customStyle="1" w:styleId="68">
    <w:name w:val="标题 2 Char"/>
    <w:basedOn w:val="56"/>
    <w:link w:val="5"/>
    <w:qFormat/>
    <w:locked/>
    <w:uiPriority w:val="99"/>
    <w:rPr>
      <w:rFonts w:ascii="Cambria" w:hAnsi="Cambria" w:eastAsia="宋体" w:cs="Cambria"/>
      <w:b/>
      <w:bCs/>
      <w:sz w:val="32"/>
      <w:szCs w:val="32"/>
    </w:rPr>
  </w:style>
  <w:style w:type="character" w:customStyle="1" w:styleId="69">
    <w:name w:val="标题 3 Char"/>
    <w:basedOn w:val="56"/>
    <w:link w:val="6"/>
    <w:qFormat/>
    <w:locked/>
    <w:uiPriority w:val="99"/>
    <w:rPr>
      <w:rFonts w:ascii="Times New Roman" w:hAnsi="Times New Roman" w:eastAsia="宋体" w:cs="Times New Roman"/>
      <w:b/>
      <w:bCs/>
      <w:sz w:val="32"/>
      <w:szCs w:val="32"/>
    </w:rPr>
  </w:style>
  <w:style w:type="character" w:customStyle="1" w:styleId="70">
    <w:name w:val="标题 4 Char"/>
    <w:basedOn w:val="56"/>
    <w:link w:val="7"/>
    <w:qFormat/>
    <w:locked/>
    <w:uiPriority w:val="99"/>
    <w:rPr>
      <w:rFonts w:ascii="Arial" w:hAnsi="Arial" w:eastAsia="黑体" w:cs="Arial"/>
      <w:b/>
      <w:bCs/>
      <w:sz w:val="20"/>
      <w:szCs w:val="20"/>
    </w:rPr>
  </w:style>
  <w:style w:type="character" w:customStyle="1" w:styleId="71">
    <w:name w:val="标题 5 Char"/>
    <w:basedOn w:val="56"/>
    <w:link w:val="8"/>
    <w:qFormat/>
    <w:locked/>
    <w:uiPriority w:val="99"/>
    <w:rPr>
      <w:rFonts w:ascii="Times New Roman" w:hAnsi="Times New Roman" w:eastAsia="宋体" w:cs="Times New Roman"/>
      <w:b/>
      <w:bCs/>
      <w:kern w:val="0"/>
      <w:sz w:val="20"/>
      <w:szCs w:val="20"/>
    </w:rPr>
  </w:style>
  <w:style w:type="character" w:customStyle="1" w:styleId="72">
    <w:name w:val="标题 6 Char"/>
    <w:basedOn w:val="56"/>
    <w:link w:val="9"/>
    <w:qFormat/>
    <w:locked/>
    <w:uiPriority w:val="99"/>
    <w:rPr>
      <w:rFonts w:ascii="Arial" w:hAnsi="Arial" w:eastAsia="黑体" w:cs="Arial"/>
      <w:b/>
      <w:bCs/>
      <w:kern w:val="0"/>
      <w:sz w:val="20"/>
      <w:szCs w:val="20"/>
    </w:rPr>
  </w:style>
  <w:style w:type="character" w:customStyle="1" w:styleId="73">
    <w:name w:val="标题 7 Char"/>
    <w:basedOn w:val="56"/>
    <w:link w:val="10"/>
    <w:qFormat/>
    <w:locked/>
    <w:uiPriority w:val="99"/>
    <w:rPr>
      <w:rFonts w:ascii="Times New Roman" w:hAnsi="Times New Roman" w:eastAsia="宋体" w:cs="Times New Roman"/>
      <w:b/>
      <w:bCs/>
      <w:sz w:val="24"/>
      <w:szCs w:val="24"/>
    </w:rPr>
  </w:style>
  <w:style w:type="character" w:customStyle="1" w:styleId="74">
    <w:name w:val="标题 8 Char"/>
    <w:basedOn w:val="56"/>
    <w:link w:val="11"/>
    <w:qFormat/>
    <w:locked/>
    <w:uiPriority w:val="99"/>
    <w:rPr>
      <w:rFonts w:ascii="Arial" w:hAnsi="Arial" w:eastAsia="黑体" w:cs="Arial"/>
      <w:kern w:val="0"/>
      <w:sz w:val="20"/>
      <w:szCs w:val="20"/>
    </w:rPr>
  </w:style>
  <w:style w:type="character" w:customStyle="1" w:styleId="75">
    <w:name w:val="标题 9 Char"/>
    <w:basedOn w:val="56"/>
    <w:link w:val="12"/>
    <w:qFormat/>
    <w:locked/>
    <w:uiPriority w:val="99"/>
    <w:rPr>
      <w:rFonts w:ascii="Arial" w:hAnsi="Arial" w:eastAsia="黑体" w:cs="Arial"/>
      <w:kern w:val="0"/>
      <w:sz w:val="20"/>
      <w:szCs w:val="20"/>
    </w:rPr>
  </w:style>
  <w:style w:type="character" w:customStyle="1" w:styleId="76">
    <w:name w:val="文档结构图 Char1"/>
    <w:basedOn w:val="56"/>
    <w:link w:val="18"/>
    <w:semiHidden/>
    <w:qFormat/>
    <w:locked/>
    <w:uiPriority w:val="99"/>
    <w:rPr>
      <w:rFonts w:ascii="宋体" w:hAnsi="Times New Roman" w:eastAsia="宋体" w:cs="宋体"/>
      <w:sz w:val="18"/>
      <w:szCs w:val="18"/>
    </w:rPr>
  </w:style>
  <w:style w:type="character" w:customStyle="1" w:styleId="77">
    <w:name w:val="批注文字 Char1"/>
    <w:basedOn w:val="56"/>
    <w:link w:val="20"/>
    <w:semiHidden/>
    <w:qFormat/>
    <w:locked/>
    <w:uiPriority w:val="99"/>
    <w:rPr>
      <w:rFonts w:ascii="Times New Roman" w:hAnsi="Times New Roman" w:eastAsia="宋体" w:cs="Times New Roman"/>
      <w:sz w:val="24"/>
      <w:szCs w:val="24"/>
    </w:rPr>
  </w:style>
  <w:style w:type="character" w:customStyle="1" w:styleId="78">
    <w:name w:val="正文文本 Char1"/>
    <w:basedOn w:val="56"/>
    <w:link w:val="3"/>
    <w:semiHidden/>
    <w:qFormat/>
    <w:locked/>
    <w:uiPriority w:val="99"/>
    <w:rPr>
      <w:rFonts w:ascii="Times New Roman" w:hAnsi="Times New Roman" w:eastAsia="宋体" w:cs="Times New Roman"/>
      <w:sz w:val="24"/>
      <w:szCs w:val="24"/>
    </w:rPr>
  </w:style>
  <w:style w:type="character" w:customStyle="1" w:styleId="79">
    <w:name w:val="正文文本缩进 Char1"/>
    <w:basedOn w:val="56"/>
    <w:link w:val="21"/>
    <w:semiHidden/>
    <w:qFormat/>
    <w:locked/>
    <w:uiPriority w:val="99"/>
    <w:rPr>
      <w:rFonts w:ascii="Times New Roman" w:hAnsi="Times New Roman" w:eastAsia="宋体" w:cs="Times New Roman"/>
      <w:sz w:val="24"/>
      <w:szCs w:val="24"/>
    </w:rPr>
  </w:style>
  <w:style w:type="character" w:customStyle="1" w:styleId="80">
    <w:name w:val="纯文本 Char1"/>
    <w:basedOn w:val="56"/>
    <w:link w:val="28"/>
    <w:semiHidden/>
    <w:qFormat/>
    <w:locked/>
    <w:uiPriority w:val="99"/>
    <w:rPr>
      <w:rFonts w:ascii="宋体" w:hAnsi="Courier New" w:eastAsia="宋体" w:cs="宋体"/>
      <w:sz w:val="21"/>
      <w:szCs w:val="21"/>
    </w:rPr>
  </w:style>
  <w:style w:type="character" w:customStyle="1" w:styleId="81">
    <w:name w:val="日期 Char1"/>
    <w:basedOn w:val="56"/>
    <w:link w:val="30"/>
    <w:semiHidden/>
    <w:qFormat/>
    <w:locked/>
    <w:uiPriority w:val="99"/>
    <w:rPr>
      <w:rFonts w:ascii="Times New Roman" w:hAnsi="Times New Roman" w:eastAsia="宋体" w:cs="Times New Roman"/>
      <w:sz w:val="24"/>
      <w:szCs w:val="24"/>
    </w:rPr>
  </w:style>
  <w:style w:type="character" w:customStyle="1" w:styleId="82">
    <w:name w:val="正文文本缩进 2 Char1"/>
    <w:basedOn w:val="56"/>
    <w:link w:val="31"/>
    <w:semiHidden/>
    <w:qFormat/>
    <w:locked/>
    <w:uiPriority w:val="99"/>
    <w:rPr>
      <w:rFonts w:ascii="Times New Roman" w:hAnsi="Times New Roman" w:eastAsia="宋体" w:cs="Times New Roman"/>
      <w:sz w:val="24"/>
      <w:szCs w:val="24"/>
    </w:rPr>
  </w:style>
  <w:style w:type="character" w:customStyle="1" w:styleId="83">
    <w:name w:val="批注框文本 Char1"/>
    <w:basedOn w:val="56"/>
    <w:link w:val="33"/>
    <w:semiHidden/>
    <w:qFormat/>
    <w:locked/>
    <w:uiPriority w:val="99"/>
    <w:rPr>
      <w:rFonts w:ascii="Times New Roman" w:hAnsi="Times New Roman" w:eastAsia="宋体" w:cs="Times New Roman"/>
      <w:sz w:val="18"/>
      <w:szCs w:val="18"/>
    </w:rPr>
  </w:style>
  <w:style w:type="character" w:customStyle="1" w:styleId="84">
    <w:name w:val="页脚 Char"/>
    <w:basedOn w:val="56"/>
    <w:link w:val="34"/>
    <w:qFormat/>
    <w:locked/>
    <w:uiPriority w:val="99"/>
    <w:rPr>
      <w:sz w:val="18"/>
      <w:szCs w:val="18"/>
    </w:rPr>
  </w:style>
  <w:style w:type="character" w:customStyle="1" w:styleId="85">
    <w:name w:val="页眉 Char"/>
    <w:basedOn w:val="56"/>
    <w:link w:val="35"/>
    <w:qFormat/>
    <w:locked/>
    <w:uiPriority w:val="99"/>
    <w:rPr>
      <w:sz w:val="18"/>
      <w:szCs w:val="18"/>
    </w:rPr>
  </w:style>
  <w:style w:type="character" w:customStyle="1" w:styleId="86">
    <w:name w:val="脚注文本 Char1"/>
    <w:basedOn w:val="56"/>
    <w:link w:val="40"/>
    <w:semiHidden/>
    <w:qFormat/>
    <w:locked/>
    <w:uiPriority w:val="99"/>
    <w:rPr>
      <w:rFonts w:ascii="Times New Roman" w:hAnsi="Times New Roman" w:eastAsia="宋体" w:cs="Times New Roman"/>
      <w:sz w:val="18"/>
      <w:szCs w:val="18"/>
    </w:rPr>
  </w:style>
  <w:style w:type="character" w:customStyle="1" w:styleId="87">
    <w:name w:val="正文文本缩进 3 Char"/>
    <w:basedOn w:val="56"/>
    <w:link w:val="43"/>
    <w:qFormat/>
    <w:locked/>
    <w:uiPriority w:val="99"/>
    <w:rPr>
      <w:rFonts w:ascii="仿宋_GB2312" w:hAnsi="宋体" w:eastAsia="仿宋_GB2312" w:cs="仿宋_GB2312"/>
      <w:sz w:val="24"/>
      <w:szCs w:val="24"/>
    </w:rPr>
  </w:style>
  <w:style w:type="character" w:customStyle="1" w:styleId="88">
    <w:name w:val="正文文本 2 Char1"/>
    <w:basedOn w:val="56"/>
    <w:link w:val="46"/>
    <w:semiHidden/>
    <w:qFormat/>
    <w:locked/>
    <w:uiPriority w:val="99"/>
    <w:rPr>
      <w:rFonts w:ascii="Times New Roman" w:hAnsi="Times New Roman" w:eastAsia="宋体" w:cs="Times New Roman"/>
      <w:sz w:val="24"/>
      <w:szCs w:val="24"/>
    </w:rPr>
  </w:style>
  <w:style w:type="character" w:customStyle="1" w:styleId="89">
    <w:name w:val="HTML 预设格式 Char2"/>
    <w:basedOn w:val="56"/>
    <w:link w:val="49"/>
    <w:semiHidden/>
    <w:qFormat/>
    <w:locked/>
    <w:uiPriority w:val="99"/>
    <w:rPr>
      <w:rFonts w:ascii="Courier New" w:hAnsi="Courier New" w:eastAsia="宋体" w:cs="Courier New"/>
      <w:sz w:val="20"/>
      <w:szCs w:val="20"/>
    </w:rPr>
  </w:style>
  <w:style w:type="character" w:customStyle="1" w:styleId="90">
    <w:name w:val="批注主题 Char1"/>
    <w:basedOn w:val="77"/>
    <w:link w:val="52"/>
    <w:semiHidden/>
    <w:qFormat/>
    <w:locked/>
    <w:uiPriority w:val="99"/>
    <w:rPr>
      <w:rFonts w:ascii="Times New Roman" w:hAnsi="Times New Roman" w:eastAsia="宋体" w:cs="Times New Roman"/>
      <w:b/>
      <w:bCs/>
      <w:sz w:val="24"/>
      <w:szCs w:val="24"/>
    </w:rPr>
  </w:style>
  <w:style w:type="character" w:customStyle="1" w:styleId="91">
    <w:name w:val="正文首行缩进 Char1"/>
    <w:basedOn w:val="78"/>
    <w:link w:val="2"/>
    <w:semiHidden/>
    <w:qFormat/>
    <w:locked/>
    <w:uiPriority w:val="99"/>
    <w:rPr>
      <w:rFonts w:ascii="Times New Roman" w:hAnsi="Times New Roman" w:eastAsia="宋体" w:cs="Times New Roman"/>
      <w:sz w:val="24"/>
      <w:szCs w:val="24"/>
    </w:rPr>
  </w:style>
  <w:style w:type="character" w:customStyle="1" w:styleId="92">
    <w:name w:val="正文首行缩进 2 Char1"/>
    <w:basedOn w:val="79"/>
    <w:link w:val="53"/>
    <w:semiHidden/>
    <w:qFormat/>
    <w:locked/>
    <w:uiPriority w:val="99"/>
    <w:rPr>
      <w:rFonts w:ascii="Times New Roman" w:hAnsi="Times New Roman" w:eastAsia="宋体" w:cs="Times New Roman"/>
      <w:sz w:val="24"/>
      <w:szCs w:val="24"/>
    </w:rPr>
  </w:style>
  <w:style w:type="character" w:customStyle="1" w:styleId="93">
    <w:name w:val="正文文本缩进 2 Char"/>
    <w:qFormat/>
    <w:uiPriority w:val="99"/>
  </w:style>
  <w:style w:type="character" w:customStyle="1" w:styleId="94">
    <w:name w:val="脚注文本 Char"/>
    <w:qFormat/>
    <w:uiPriority w:val="99"/>
    <w:rPr>
      <w:rFonts w:ascii="Calibri" w:hAnsi="Calibri" w:cs="Calibri"/>
      <w:sz w:val="18"/>
      <w:szCs w:val="18"/>
    </w:rPr>
  </w:style>
  <w:style w:type="character" w:customStyle="1" w:styleId="95">
    <w:name w:val="批注主题 Char"/>
    <w:qFormat/>
    <w:uiPriority w:val="99"/>
    <w:rPr>
      <w:b/>
      <w:bCs/>
      <w:sz w:val="24"/>
      <w:szCs w:val="24"/>
    </w:rPr>
  </w:style>
  <w:style w:type="character" w:customStyle="1" w:styleId="96">
    <w:name w:val="纯文本 Char"/>
    <w:qFormat/>
    <w:uiPriority w:val="99"/>
    <w:rPr>
      <w:rFonts w:ascii="宋体" w:hAnsi="Courier New" w:eastAsia="宋体" w:cs="宋体"/>
    </w:rPr>
  </w:style>
  <w:style w:type="character" w:customStyle="1" w:styleId="97">
    <w:name w:val="文档结构图 Char"/>
    <w:qFormat/>
    <w:uiPriority w:val="99"/>
    <w:rPr>
      <w:rFonts w:ascii="宋体" w:cs="宋体"/>
      <w:sz w:val="18"/>
      <w:szCs w:val="18"/>
    </w:rPr>
  </w:style>
  <w:style w:type="character" w:customStyle="1" w:styleId="98">
    <w:name w:val="HTML 预设格式 Char"/>
    <w:qFormat/>
    <w:uiPriority w:val="99"/>
    <w:rPr>
      <w:rFonts w:ascii="Courier New" w:hAnsi="Courier New" w:cs="Courier New"/>
    </w:rPr>
  </w:style>
  <w:style w:type="character" w:customStyle="1" w:styleId="99">
    <w:name w:val="style1"/>
    <w:qFormat/>
    <w:uiPriority w:val="99"/>
  </w:style>
  <w:style w:type="character" w:customStyle="1" w:styleId="100">
    <w:name w:val="日期 Char"/>
    <w:qFormat/>
    <w:uiPriority w:val="99"/>
    <w:rPr>
      <w:rFonts w:ascii="宋体" w:eastAsia="宋体" w:cs="宋体"/>
      <w:sz w:val="28"/>
      <w:szCs w:val="28"/>
    </w:rPr>
  </w:style>
  <w:style w:type="character" w:customStyle="1" w:styleId="101">
    <w:name w:val="批注框文本 Char"/>
    <w:qFormat/>
    <w:uiPriority w:val="99"/>
    <w:rPr>
      <w:sz w:val="18"/>
      <w:szCs w:val="18"/>
    </w:rPr>
  </w:style>
  <w:style w:type="character" w:customStyle="1" w:styleId="102">
    <w:name w:val="正文文本 Char"/>
    <w:qFormat/>
    <w:uiPriority w:val="99"/>
    <w:rPr>
      <w:rFonts w:eastAsia="宋体"/>
      <w:sz w:val="24"/>
      <w:szCs w:val="24"/>
    </w:rPr>
  </w:style>
  <w:style w:type="character" w:customStyle="1" w:styleId="103">
    <w:name w:val="批注文字 Char"/>
    <w:semiHidden/>
    <w:qFormat/>
    <w:uiPriority w:val="99"/>
    <w:rPr>
      <w:rFonts w:eastAsia="宋体"/>
      <w:sz w:val="24"/>
      <w:szCs w:val="24"/>
    </w:rPr>
  </w:style>
  <w:style w:type="character" w:customStyle="1" w:styleId="104">
    <w:name w:val="标题 1 Char Char"/>
    <w:qFormat/>
    <w:uiPriority w:val="99"/>
    <w:rPr>
      <w:rFonts w:eastAsia="宋体"/>
      <w:b/>
      <w:bCs/>
      <w:spacing w:val="-2"/>
      <w:sz w:val="24"/>
      <w:szCs w:val="24"/>
      <w:lang w:val="en-US" w:eastAsia="zh-CN"/>
    </w:rPr>
  </w:style>
  <w:style w:type="character" w:customStyle="1" w:styleId="105">
    <w:name w:val="正文文本 2 Char2"/>
    <w:link w:val="106"/>
    <w:qFormat/>
    <w:locked/>
    <w:uiPriority w:val="99"/>
    <w:rPr>
      <w:rFonts w:ascii="Calibri" w:hAnsi="Calibri" w:cs="Calibri"/>
      <w:sz w:val="21"/>
      <w:szCs w:val="21"/>
    </w:rPr>
  </w:style>
  <w:style w:type="paragraph" w:customStyle="1" w:styleId="106">
    <w:name w:val="正文文本 21"/>
    <w:basedOn w:val="1"/>
    <w:link w:val="105"/>
    <w:qFormat/>
    <w:uiPriority w:val="99"/>
    <w:pPr>
      <w:spacing w:before="280" w:after="120" w:line="480" w:lineRule="auto"/>
      <w:ind w:left="420" w:hanging="420"/>
    </w:pPr>
    <w:rPr>
      <w:rFonts w:ascii="Calibri" w:hAnsi="Calibri"/>
      <w:kern w:val="0"/>
    </w:rPr>
  </w:style>
  <w:style w:type="character" w:customStyle="1" w:styleId="107">
    <w:name w:val="正文文本 2 Char"/>
    <w:qFormat/>
    <w:uiPriority w:val="99"/>
    <w:rPr>
      <w:rFonts w:ascii="宋体" w:eastAsia="宋体" w:cs="宋体"/>
      <w:sz w:val="24"/>
      <w:szCs w:val="24"/>
    </w:rPr>
  </w:style>
  <w:style w:type="character" w:customStyle="1" w:styleId="108">
    <w:name w:val="flName Char"/>
    <w:link w:val="109"/>
    <w:qFormat/>
    <w:locked/>
    <w:uiPriority w:val="99"/>
    <w:rPr>
      <w:rFonts w:ascii="Arial" w:hAnsi="Arial" w:eastAsia="黑体" w:cs="Arial"/>
      <w:sz w:val="32"/>
      <w:szCs w:val="32"/>
    </w:rPr>
  </w:style>
  <w:style w:type="paragraph" w:customStyle="1" w:styleId="109">
    <w:name w:val="flName"/>
    <w:basedOn w:val="1"/>
    <w:link w:val="108"/>
    <w:qFormat/>
    <w:uiPriority w:val="99"/>
    <w:pPr>
      <w:adjustRightInd w:val="0"/>
      <w:spacing w:before="320" w:after="160" w:line="360" w:lineRule="atLeast"/>
      <w:jc w:val="center"/>
    </w:pPr>
    <w:rPr>
      <w:rFonts w:ascii="Arial" w:hAnsi="Arial" w:eastAsia="黑体"/>
      <w:kern w:val="0"/>
      <w:sz w:val="32"/>
      <w:szCs w:val="32"/>
    </w:rPr>
  </w:style>
  <w:style w:type="character" w:customStyle="1" w:styleId="110">
    <w:name w:val="正文缩进 Char"/>
    <w:qFormat/>
    <w:uiPriority w:val="99"/>
    <w:rPr>
      <w:rFonts w:eastAsia="宋体"/>
      <w:kern w:val="2"/>
      <w:sz w:val="24"/>
      <w:szCs w:val="24"/>
      <w:lang w:val="en-US" w:eastAsia="zh-CN"/>
    </w:rPr>
  </w:style>
  <w:style w:type="character" w:customStyle="1" w:styleId="111">
    <w:name w:val="标题3 字符"/>
    <w:link w:val="112"/>
    <w:qFormat/>
    <w:locked/>
    <w:uiPriority w:val="99"/>
    <w:rPr>
      <w:rFonts w:ascii="宋体" w:eastAsia="宋体" w:cs="宋体"/>
      <w:sz w:val="28"/>
      <w:szCs w:val="28"/>
    </w:rPr>
  </w:style>
  <w:style w:type="paragraph" w:customStyle="1" w:styleId="112">
    <w:name w:val="标题3"/>
    <w:basedOn w:val="6"/>
    <w:next w:val="1"/>
    <w:link w:val="111"/>
    <w:qFormat/>
    <w:uiPriority w:val="99"/>
    <w:rPr>
      <w:rFonts w:ascii="宋体"/>
      <w:b w:val="0"/>
      <w:bCs w:val="0"/>
      <w:kern w:val="0"/>
      <w:sz w:val="28"/>
      <w:szCs w:val="28"/>
    </w:rPr>
  </w:style>
  <w:style w:type="character" w:customStyle="1" w:styleId="113">
    <w:name w:val="正文缩进 Char1"/>
    <w:link w:val="16"/>
    <w:qFormat/>
    <w:locked/>
    <w:uiPriority w:val="99"/>
    <w:rPr>
      <w:rFonts w:eastAsia="宋体"/>
      <w:sz w:val="24"/>
      <w:szCs w:val="24"/>
    </w:rPr>
  </w:style>
  <w:style w:type="character" w:customStyle="1" w:styleId="114">
    <w:name w:val="Style Heading 3 + Char"/>
    <w:link w:val="115"/>
    <w:qFormat/>
    <w:locked/>
    <w:uiPriority w:val="99"/>
    <w:rPr>
      <w:b/>
      <w:bCs/>
      <w:sz w:val="28"/>
      <w:szCs w:val="28"/>
    </w:rPr>
  </w:style>
  <w:style w:type="paragraph" w:customStyle="1" w:styleId="115">
    <w:name w:val="Style Heading 3 +"/>
    <w:basedOn w:val="6"/>
    <w:link w:val="114"/>
    <w:qFormat/>
    <w:uiPriority w:val="99"/>
    <w:pPr>
      <w:spacing w:before="120" w:after="120" w:line="120" w:lineRule="atLeast"/>
    </w:pPr>
    <w:rPr>
      <w:kern w:val="0"/>
      <w:sz w:val="28"/>
      <w:szCs w:val="28"/>
    </w:rPr>
  </w:style>
  <w:style w:type="character" w:customStyle="1" w:styleId="116">
    <w:name w:val="正文文本缩进 Char"/>
    <w:qFormat/>
    <w:uiPriority w:val="99"/>
    <w:rPr>
      <w:rFonts w:eastAsia="宋体"/>
      <w:sz w:val="24"/>
      <w:szCs w:val="24"/>
    </w:rPr>
  </w:style>
  <w:style w:type="character" w:customStyle="1" w:styleId="117">
    <w:name w:val="正文缩进2格 Char"/>
    <w:qFormat/>
    <w:uiPriority w:val="0"/>
    <w:rPr>
      <w:rFonts w:ascii="仿宋_GB2312" w:hAnsi="宋体" w:eastAsia="仿宋_GB2312" w:cs="仿宋_GB2312"/>
      <w:kern w:val="2"/>
      <w:sz w:val="28"/>
      <w:szCs w:val="28"/>
      <w:lang w:val="en-US" w:eastAsia="zh-CN"/>
    </w:rPr>
  </w:style>
  <w:style w:type="character" w:customStyle="1" w:styleId="118">
    <w:name w:val="无间隔 字符"/>
    <w:link w:val="119"/>
    <w:qFormat/>
    <w:locked/>
    <w:uiPriority w:val="99"/>
    <w:rPr>
      <w:rFonts w:ascii="Calibri" w:hAnsi="Calibri" w:cs="Calibri"/>
      <w:kern w:val="2"/>
      <w:sz w:val="22"/>
      <w:szCs w:val="22"/>
      <w:lang w:val="en-US" w:eastAsia="zh-CN" w:bidi="ar-SA"/>
    </w:rPr>
  </w:style>
  <w:style w:type="paragraph" w:customStyle="1" w:styleId="119">
    <w:name w:val="无间隔1"/>
    <w:link w:val="118"/>
    <w:qFormat/>
    <w:uiPriority w:val="99"/>
    <w:rPr>
      <w:rFonts w:ascii="Calibri" w:hAnsi="Calibri" w:eastAsia="宋体" w:cs="Calibri"/>
      <w:kern w:val="2"/>
      <w:sz w:val="22"/>
      <w:szCs w:val="22"/>
      <w:lang w:val="en-US" w:eastAsia="zh-CN" w:bidi="ar-SA"/>
    </w:rPr>
  </w:style>
  <w:style w:type="character" w:customStyle="1" w:styleId="120">
    <w:name w:val="HTML 预设格式 Char1"/>
    <w:qFormat/>
    <w:locked/>
    <w:uiPriority w:val="99"/>
    <w:rPr>
      <w:rFonts w:ascii="Courier New" w:hAnsi="Courier New" w:eastAsia="宋体" w:cs="Courier New"/>
      <w:kern w:val="0"/>
      <w:sz w:val="20"/>
      <w:szCs w:val="20"/>
    </w:rPr>
  </w:style>
  <w:style w:type="character" w:customStyle="1" w:styleId="121">
    <w:name w:val="正文首行缩进 Char"/>
    <w:qFormat/>
    <w:uiPriority w:val="99"/>
    <w:rPr>
      <w:b/>
      <w:bCs/>
      <w:sz w:val="24"/>
      <w:szCs w:val="24"/>
    </w:rPr>
  </w:style>
  <w:style w:type="character" w:customStyle="1" w:styleId="122">
    <w:name w:val="正文首行缩进 2 Char"/>
    <w:basedOn w:val="116"/>
    <w:qFormat/>
    <w:locked/>
    <w:uiPriority w:val="99"/>
    <w:rPr>
      <w:rFonts w:eastAsia="宋体"/>
      <w:sz w:val="24"/>
      <w:szCs w:val="24"/>
    </w:rPr>
  </w:style>
  <w:style w:type="character" w:customStyle="1" w:styleId="123">
    <w:name w:val="16"/>
    <w:qFormat/>
    <w:uiPriority w:val="99"/>
    <w:rPr>
      <w:rFonts w:ascii="Calibri" w:hAnsi="Calibri" w:cs="Calibri"/>
      <w:color w:val="0000FF"/>
      <w:u w:val="single"/>
    </w:rPr>
  </w:style>
  <w:style w:type="character" w:customStyle="1" w:styleId="124">
    <w:name w:val="Char Char4"/>
    <w:qFormat/>
    <w:uiPriority w:val="99"/>
    <w:rPr>
      <w:rFonts w:eastAsia="宋体"/>
      <w:kern w:val="2"/>
      <w:sz w:val="24"/>
      <w:szCs w:val="24"/>
      <w:lang w:val="en-US" w:eastAsia="zh-CN"/>
    </w:rPr>
  </w:style>
  <w:style w:type="character" w:customStyle="1" w:styleId="125">
    <w:name w:val="正文缩进2格 Char Char"/>
    <w:link w:val="126"/>
    <w:qFormat/>
    <w:locked/>
    <w:uiPriority w:val="0"/>
    <w:rPr>
      <w:rFonts w:ascii="仿宋_GB2312" w:hAnsi="宋体" w:eastAsia="仿宋_GB2312" w:cs="仿宋_GB2312"/>
      <w:sz w:val="28"/>
      <w:szCs w:val="28"/>
    </w:rPr>
  </w:style>
  <w:style w:type="paragraph" w:customStyle="1" w:styleId="126">
    <w:name w:val="正文缩进2格"/>
    <w:basedOn w:val="1"/>
    <w:link w:val="125"/>
    <w:qFormat/>
    <w:uiPriority w:val="0"/>
    <w:pPr>
      <w:spacing w:line="600" w:lineRule="exact"/>
      <w:ind w:firstLine="639" w:firstLineChars="206"/>
    </w:pPr>
    <w:rPr>
      <w:rFonts w:ascii="仿宋_GB2312" w:hAnsi="宋体" w:eastAsia="仿宋_GB2312"/>
      <w:kern w:val="0"/>
      <w:sz w:val="28"/>
      <w:szCs w:val="28"/>
    </w:rPr>
  </w:style>
  <w:style w:type="paragraph" w:customStyle="1" w:styleId="127">
    <w:name w:val="xl74"/>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28">
    <w:name w:val="xl81"/>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82"/>
    <w:basedOn w:val="1"/>
    <w:qFormat/>
    <w:uiPriority w:val="99"/>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正文样式"/>
    <w:basedOn w:val="1"/>
    <w:qFormat/>
    <w:uiPriority w:val="99"/>
    <w:pPr>
      <w:spacing w:line="440" w:lineRule="exact"/>
      <w:ind w:firstLine="200" w:firstLineChars="200"/>
    </w:pPr>
    <w:rPr>
      <w:rFonts w:ascii="仿宋_GB2312" w:eastAsia="仿宋_GB2312" w:cs="仿宋_GB2312"/>
      <w:sz w:val="28"/>
      <w:szCs w:val="28"/>
    </w:rPr>
  </w:style>
  <w:style w:type="paragraph" w:customStyle="1" w:styleId="131">
    <w:name w:val="xl78"/>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32">
    <w:name w:val="xl99"/>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2"/>
    <w:basedOn w:val="1"/>
    <w:qFormat/>
    <w:uiPriority w:val="99"/>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34">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5">
    <w:name w:val="xl7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xl100"/>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9">
    <w:name w:val="xl105"/>
    <w:basedOn w:val="1"/>
    <w:qFormat/>
    <w:uiPriority w:val="99"/>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90"/>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141">
    <w:name w:val="p0"/>
    <w:basedOn w:val="1"/>
    <w:qFormat/>
    <w:uiPriority w:val="99"/>
    <w:pPr>
      <w:widowControl/>
    </w:pPr>
    <w:rPr>
      <w:rFonts w:ascii="Calibri" w:hAnsi="Calibri" w:cs="Calibri"/>
      <w:kern w:val="0"/>
    </w:rPr>
  </w:style>
  <w:style w:type="paragraph" w:customStyle="1" w:styleId="142">
    <w:name w:val="xl86"/>
    <w:basedOn w:val="1"/>
    <w:qFormat/>
    <w:uiPriority w:val="99"/>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43">
    <w:name w:val="xl95"/>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6">
    <w:name w:val="xl89"/>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7">
    <w:name w:val="列出段落1"/>
    <w:basedOn w:val="1"/>
    <w:qFormat/>
    <w:uiPriority w:val="34"/>
    <w:pPr>
      <w:ind w:firstLine="420" w:firstLineChars="200"/>
    </w:pPr>
  </w:style>
  <w:style w:type="paragraph" w:customStyle="1" w:styleId="148">
    <w:name w:val="xl98"/>
    <w:basedOn w:val="1"/>
    <w:qFormat/>
    <w:uiPriority w:val="99"/>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xl85"/>
    <w:basedOn w:val="1"/>
    <w:qFormat/>
    <w:uiPriority w:val="99"/>
    <w:pPr>
      <w:widowControl/>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50">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1">
    <w:name w:val="xl80"/>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2">
    <w:name w:val="样式 标题 1 + 宋体 段前: 0 磅 段后: 0 磅 行距: 单倍行距"/>
    <w:basedOn w:val="4"/>
    <w:next w:val="1"/>
    <w:qFormat/>
    <w:uiPriority w:val="99"/>
    <w:pPr>
      <w:keepLines/>
      <w:spacing w:beforeLines="100" w:afterLines="100"/>
    </w:pPr>
    <w:rPr>
      <w:rFonts w:ascii="仿宋_GB2312" w:hAnsi="宋体" w:cs="仿宋_GB2312"/>
      <w:b/>
      <w:bCs/>
      <w:kern w:val="44"/>
      <w:sz w:val="44"/>
      <w:szCs w:val="44"/>
    </w:rPr>
  </w:style>
  <w:style w:type="paragraph" w:customStyle="1" w:styleId="153">
    <w:name w:val="正文文字3"/>
    <w:basedOn w:val="3"/>
    <w:qFormat/>
    <w:uiPriority w:val="99"/>
    <w:pPr>
      <w:adjustRightInd w:val="0"/>
      <w:spacing w:after="0" w:line="360" w:lineRule="atLeast"/>
      <w:ind w:left="30" w:leftChars="30" w:right="30" w:rightChars="30"/>
    </w:pPr>
  </w:style>
  <w:style w:type="paragraph" w:customStyle="1" w:styleId="154">
    <w:name w:val="TOC 标题1"/>
    <w:basedOn w:val="4"/>
    <w:next w:val="1"/>
    <w:qFormat/>
    <w:uiPriority w:val="99"/>
    <w:pPr>
      <w:keepLines/>
      <w:widowControl/>
      <w:spacing w:before="480" w:line="276" w:lineRule="auto"/>
      <w:jc w:val="left"/>
      <w:outlineLvl w:val="9"/>
    </w:pPr>
    <w:rPr>
      <w:rFonts w:ascii="Cambria" w:hAnsi="Cambria" w:eastAsia="宋体" w:cs="Cambria"/>
      <w:b/>
      <w:bCs/>
      <w:color w:val="365F91"/>
      <w:kern w:val="0"/>
    </w:rPr>
  </w:style>
  <w:style w:type="paragraph" w:customStyle="1" w:styleId="155">
    <w:name w:val="图文"/>
    <w:basedOn w:val="1"/>
    <w:qFormat/>
    <w:uiPriority w:val="99"/>
    <w:pPr>
      <w:adjustRightInd w:val="0"/>
      <w:snapToGrid w:val="0"/>
      <w:spacing w:after="50" w:line="360" w:lineRule="auto"/>
    </w:pPr>
    <w:rPr>
      <w:sz w:val="24"/>
      <w:szCs w:val="24"/>
    </w:rPr>
  </w:style>
  <w:style w:type="paragraph" w:customStyle="1" w:styleId="156">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57">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8">
    <w:name w:val="xl8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59">
    <w:name w:val="xl107"/>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60">
    <w:name w:val="xl65"/>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61">
    <w:name w:val="1"/>
    <w:basedOn w:val="1"/>
    <w:next w:val="28"/>
    <w:qFormat/>
    <w:uiPriority w:val="99"/>
    <w:rPr>
      <w:rFonts w:ascii="宋体" w:hAnsi="Courier New" w:cs="宋体"/>
    </w:rPr>
  </w:style>
  <w:style w:type="paragraph" w:customStyle="1" w:styleId="16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3">
    <w:name w:val="xl106"/>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4">
    <w:name w:val="xl10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5">
    <w:name w:val="xl108"/>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6">
    <w:name w:val="xl111"/>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7">
    <w:name w:val="xl91"/>
    <w:basedOn w:val="1"/>
    <w:qFormat/>
    <w:uiPriority w:val="99"/>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xl94"/>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9">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1">
    <w:name w:val="xl96"/>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63"/>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4">
    <w:name w:val="xl79"/>
    <w:basedOn w:val="1"/>
    <w:qFormat/>
    <w:uiPriority w:val="99"/>
    <w:pPr>
      <w:widowControl/>
      <w:pBdr>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5">
    <w:name w:val="xl102"/>
    <w:basedOn w:val="1"/>
    <w:qFormat/>
    <w:uiPriority w:val="99"/>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xl77"/>
    <w:basedOn w:val="1"/>
    <w:qFormat/>
    <w:uiPriority w:val="99"/>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80">
    <w:name w:val="xl97"/>
    <w:basedOn w:val="1"/>
    <w:qFormat/>
    <w:uiPriority w:val="99"/>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1">
    <w:name w:val="xl101"/>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2">
    <w:name w:val="列出段落11"/>
    <w:basedOn w:val="1"/>
    <w:qFormat/>
    <w:uiPriority w:val="99"/>
    <w:pPr>
      <w:widowControl/>
      <w:spacing w:before="100" w:beforeAutospacing="1" w:after="100" w:afterAutospacing="1"/>
      <w:jc w:val="left"/>
    </w:pPr>
    <w:rPr>
      <w:rFonts w:ascii="Arial" w:hAnsi="Arial" w:cs="Arial"/>
      <w:color w:val="000000"/>
      <w:sz w:val="18"/>
      <w:szCs w:val="18"/>
    </w:rPr>
  </w:style>
  <w:style w:type="paragraph" w:customStyle="1" w:styleId="183">
    <w:name w:val="xl93"/>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84">
    <w:name w:val="xl87"/>
    <w:basedOn w:val="1"/>
    <w:qFormat/>
    <w:uiPriority w:val="99"/>
    <w:pPr>
      <w:widowControl/>
      <w:pBdr>
        <w:top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85">
    <w:name w:val="Char"/>
    <w:basedOn w:val="1"/>
    <w:qFormat/>
    <w:uiPriority w:val="99"/>
  </w:style>
  <w:style w:type="paragraph" w:customStyle="1" w:styleId="18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xl88"/>
    <w:basedOn w:val="1"/>
    <w:qFormat/>
    <w:uiPriority w:val="99"/>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88">
    <w:name w:val="简单回函地址"/>
    <w:basedOn w:val="1"/>
    <w:qFormat/>
    <w:uiPriority w:val="99"/>
  </w:style>
  <w:style w:type="paragraph" w:customStyle="1" w:styleId="18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0">
    <w:name w:val="xl110"/>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91">
    <w:name w:val="默认段落字体 Para Char Char Char Char"/>
    <w:basedOn w:val="1"/>
    <w:qFormat/>
    <w:uiPriority w:val="99"/>
  </w:style>
  <w:style w:type="paragraph" w:customStyle="1" w:styleId="192">
    <w:name w:val="纯文本1"/>
    <w:basedOn w:val="1"/>
    <w:qFormat/>
    <w:uiPriority w:val="99"/>
    <w:rPr>
      <w:rFonts w:ascii="宋体" w:hAnsi="Courier New" w:eastAsia="Times New Roman" w:cs="宋体"/>
    </w:rPr>
  </w:style>
  <w:style w:type="paragraph" w:customStyle="1" w:styleId="193">
    <w:name w:val="Char Char Char1 Char"/>
    <w:basedOn w:val="1"/>
    <w:qFormat/>
    <w:uiPriority w:val="99"/>
  </w:style>
  <w:style w:type="paragraph" w:customStyle="1" w:styleId="194">
    <w:name w:val="List Paragraph1"/>
    <w:basedOn w:val="1"/>
    <w:qFormat/>
    <w:uiPriority w:val="34"/>
    <w:pPr>
      <w:ind w:firstLine="420" w:firstLineChars="200"/>
    </w:pPr>
    <w:rPr>
      <w:rFonts w:ascii="Calibri" w:hAnsi="Calibri" w:eastAsia="楷体_GB2312" w:cs="Calibri"/>
      <w:kern w:val="0"/>
      <w:sz w:val="20"/>
      <w:szCs w:val="20"/>
    </w:rPr>
  </w:style>
  <w:style w:type="paragraph" w:customStyle="1" w:styleId="19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列出段落2"/>
    <w:basedOn w:val="1"/>
    <w:qFormat/>
    <w:uiPriority w:val="34"/>
    <w:pPr>
      <w:ind w:firstLine="420" w:firstLineChars="200"/>
    </w:pPr>
    <w:rPr>
      <w:rFonts w:ascii="Calibri" w:hAnsi="Calibri" w:cs="Calibri"/>
    </w:rPr>
  </w:style>
  <w:style w:type="paragraph" w:customStyle="1" w:styleId="198">
    <w:name w:val="xl64"/>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99">
    <w:name w:val="xl109"/>
    <w:basedOn w:val="1"/>
    <w:qFormat/>
    <w:uiPriority w:val="99"/>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20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1">
    <w:name w:val="修订1"/>
    <w:hidden/>
    <w:qFormat/>
    <w:uiPriority w:val="99"/>
    <w:rPr>
      <w:rFonts w:ascii="Times New Roman" w:hAnsi="Times New Roman" w:eastAsia="宋体" w:cs="Times New Roman"/>
      <w:kern w:val="2"/>
      <w:sz w:val="21"/>
      <w:szCs w:val="21"/>
      <w:lang w:val="en-US" w:eastAsia="zh-CN" w:bidi="ar-SA"/>
    </w:rPr>
  </w:style>
  <w:style w:type="paragraph" w:customStyle="1" w:styleId="202">
    <w:name w:val="标准文本"/>
    <w:basedOn w:val="1"/>
    <w:link w:val="203"/>
    <w:qFormat/>
    <w:uiPriority w:val="0"/>
    <w:pPr>
      <w:spacing w:line="360" w:lineRule="auto"/>
      <w:ind w:firstLine="480" w:firstLineChars="200"/>
    </w:pPr>
    <w:rPr>
      <w:sz w:val="24"/>
      <w:szCs w:val="20"/>
      <w:lang w:val="zh-CN"/>
    </w:rPr>
  </w:style>
  <w:style w:type="character" w:customStyle="1" w:styleId="203">
    <w:name w:val="标准文本 Char"/>
    <w:link w:val="202"/>
    <w:qFormat/>
    <w:uiPriority w:val="0"/>
    <w:rPr>
      <w:kern w:val="2"/>
      <w:sz w:val="24"/>
      <w:lang w:val="zh-CN" w:eastAsia="zh-CN"/>
    </w:rPr>
  </w:style>
  <w:style w:type="paragraph" w:customStyle="1" w:styleId="204">
    <w:name w:val="无间隔11"/>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paragraph" w:customStyle="1" w:styleId="205">
    <w:name w:val="文档正文首行缩进"/>
    <w:basedOn w:val="1"/>
    <w:link w:val="206"/>
    <w:qFormat/>
    <w:uiPriority w:val="0"/>
    <w:pPr>
      <w:spacing w:line="360" w:lineRule="auto"/>
      <w:ind w:firstLine="420"/>
    </w:pPr>
    <w:rPr>
      <w:rFonts w:cs="宋体"/>
      <w:sz w:val="24"/>
      <w:szCs w:val="20"/>
    </w:rPr>
  </w:style>
  <w:style w:type="character" w:customStyle="1" w:styleId="206">
    <w:name w:val="文档正文首行缩进 Char"/>
    <w:basedOn w:val="56"/>
    <w:link w:val="205"/>
    <w:qFormat/>
    <w:locked/>
    <w:uiPriority w:val="0"/>
    <w:rPr>
      <w:rFonts w:cs="宋体"/>
      <w:kern w:val="2"/>
      <w:sz w:val="24"/>
    </w:rPr>
  </w:style>
  <w:style w:type="paragraph" w:customStyle="1" w:styleId="207">
    <w:name w:val="文档序列"/>
    <w:basedOn w:val="1"/>
    <w:next w:val="205"/>
    <w:qFormat/>
    <w:uiPriority w:val="0"/>
    <w:pPr>
      <w:numPr>
        <w:ilvl w:val="0"/>
        <w:numId w:val="2"/>
      </w:numPr>
      <w:spacing w:line="360" w:lineRule="auto"/>
    </w:pPr>
    <w:rPr>
      <w:sz w:val="24"/>
      <w:szCs w:val="28"/>
    </w:rPr>
  </w:style>
  <w:style w:type="paragraph" w:customStyle="1" w:styleId="208">
    <w:name w:val="首行缩进"/>
    <w:basedOn w:val="1"/>
    <w:qFormat/>
    <w:uiPriority w:val="0"/>
    <w:pPr>
      <w:spacing w:line="360" w:lineRule="auto"/>
      <w:ind w:firstLine="480" w:firstLineChars="200"/>
      <w:jc w:val="left"/>
    </w:pPr>
    <w:rPr>
      <w:rFonts w:ascii="宋体" w:hAnsi="宋体"/>
      <w:sz w:val="24"/>
    </w:rPr>
  </w:style>
  <w:style w:type="paragraph" w:styleId="209">
    <w:name w:val="List Paragraph"/>
    <w:basedOn w:val="1"/>
    <w:qFormat/>
    <w:uiPriority w:val="34"/>
    <w:pPr>
      <w:ind w:firstLine="420" w:firstLineChars="200"/>
    </w:pPr>
  </w:style>
  <w:style w:type="paragraph" w:customStyle="1" w:styleId="210">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11">
    <w:name w:val="Other|1"/>
    <w:basedOn w:val="1"/>
    <w:qFormat/>
    <w:uiPriority w:val="0"/>
    <w:pPr>
      <w:spacing w:line="480" w:lineRule="auto"/>
      <w:ind w:firstLine="400"/>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16575</Words>
  <Characters>17503</Characters>
  <Lines>148</Lines>
  <Paragraphs>41</Paragraphs>
  <TotalTime>7</TotalTime>
  <ScaleCrop>false</ScaleCrop>
  <LinksUpToDate>false</LinksUpToDate>
  <CharactersWithSpaces>18265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2023-05-24T07:27:00Z</dcterms:created>
  <dc:creator>admin</dc:creator>
  <cp:lastModifiedBy>admin</cp:lastModifiedBy>
  <cp:lastPrinted>2022-11-29T01:56:00Z</cp:lastPrinted>
  <dcterms:modified xsi:type="dcterms:W3CDTF">2023-06-08T06:24:26Z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B224F30AA7F94B9199A4420FD564B941_13</vt:lpwstr>
  </property>
</Properties>
</file>