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江苏省南通卫生高等职业技术学校危化品储藏室项目</w:t>
      </w:r>
    </w:p>
    <w:p>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政府采购磋商文件</w:t>
      </w:r>
    </w:p>
    <w:p>
      <w:pPr>
        <w:keepNext/>
        <w:spacing w:line="500" w:lineRule="exact"/>
        <w:jc w:val="center"/>
        <w:outlineLvl w:val="5"/>
        <w:rPr>
          <w:rFonts w:hint="eastAsia" w:ascii="仿宋" w:hAnsi="仿宋" w:eastAsia="仿宋" w:cs="仿宋"/>
          <w:b/>
          <w:color w:val="auto"/>
          <w:kern w:val="0"/>
          <w:sz w:val="44"/>
          <w:szCs w:val="20"/>
          <w:highlight w:val="none"/>
        </w:rPr>
      </w:pPr>
    </w:p>
    <w:p>
      <w:pPr>
        <w:jc w:val="center"/>
        <w:rPr>
          <w:rFonts w:ascii="仿宋" w:hAnsi="仿宋" w:eastAsia="仿宋" w:cs="仿宋"/>
          <w:b/>
          <w:color w:val="auto"/>
          <w:sz w:val="44"/>
          <w:szCs w:val="44"/>
          <w:highlight w:val="none"/>
        </w:rPr>
      </w:pPr>
      <w:r>
        <w:rPr>
          <w:rFonts w:hint="eastAsia" w:ascii="仿宋" w:hAnsi="仿宋" w:eastAsia="仿宋" w:cs="仿宋"/>
          <w:b/>
          <w:color w:val="auto"/>
          <w:kern w:val="0"/>
          <w:sz w:val="36"/>
          <w:szCs w:val="36"/>
          <w:highlight w:val="none"/>
        </w:rPr>
        <w:t xml:space="preserve">采购文件编号：JSZC-320600-ZRJS-C2022-0162   </w:t>
      </w:r>
    </w:p>
    <w:p>
      <w:pPr>
        <w:keepNext/>
        <w:spacing w:line="500" w:lineRule="exact"/>
        <w:jc w:val="center"/>
        <w:outlineLvl w:val="5"/>
        <w:rPr>
          <w:rFonts w:hint="eastAsia" w:ascii="仿宋" w:hAnsi="仿宋" w:eastAsia="仿宋" w:cs="仿宋"/>
          <w:b/>
          <w:color w:val="auto"/>
          <w:kern w:val="0"/>
          <w:sz w:val="36"/>
          <w:szCs w:val="36"/>
          <w:highlight w:val="none"/>
        </w:rPr>
      </w:pPr>
    </w:p>
    <w:p>
      <w:pPr>
        <w:spacing w:line="500" w:lineRule="exact"/>
        <w:jc w:val="center"/>
        <w:rPr>
          <w:rFonts w:hint="eastAsia" w:ascii="仿宋" w:hAnsi="仿宋" w:eastAsia="仿宋" w:cs="仿宋"/>
          <w:b/>
          <w:color w:val="auto"/>
          <w:sz w:val="36"/>
          <w:highlight w:val="none"/>
        </w:rPr>
      </w:pPr>
    </w:p>
    <w:p>
      <w:pPr>
        <w:spacing w:line="500" w:lineRule="exact"/>
        <w:jc w:val="center"/>
        <w:rPr>
          <w:rFonts w:hint="eastAsia" w:ascii="仿宋" w:hAnsi="仿宋" w:eastAsia="仿宋" w:cs="仿宋"/>
          <w:b/>
          <w:color w:val="auto"/>
          <w:sz w:val="36"/>
          <w:highlight w:val="none"/>
        </w:rPr>
      </w:pPr>
    </w:p>
    <w:p>
      <w:pPr>
        <w:spacing w:line="500" w:lineRule="exact"/>
        <w:jc w:val="center"/>
        <w:rPr>
          <w:rFonts w:hint="eastAsia" w:ascii="仿宋" w:hAnsi="仿宋" w:eastAsia="仿宋" w:cs="仿宋"/>
          <w:b/>
          <w:color w:val="auto"/>
          <w:sz w:val="36"/>
          <w:highlight w:val="none"/>
        </w:rPr>
      </w:pP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pict>
          <v:shape id="对象 2" o:spid="_x0000_s2051" o:spt="75" type="#_x0000_t75" style="position:absolute;left:0pt;margin-left:136.5pt;margin-top:31.2pt;height:140.95pt;width:183.75pt;mso-wrap-distance-bottom:0pt;mso-wrap-distance-top:0pt;z-index:251660288;mso-width-relative:page;mso-height-relative:page;" o:ole="t" filled="f" o:preferrelative="t" stroked="f" coordsize="21600,21600" o:allowincell="f">
            <v:path/>
            <v:fill on="f" focussize="0,0"/>
            <v:stroke on="f" joinstyle="miter"/>
            <v:imagedata r:id="rId8" o:title=""/>
            <o:lock v:ext="edit" aspectratio="t"/>
            <w10:wrap type="topAndBottom"/>
          </v:shape>
          <o:OLEObject Type="Embed" ProgID="" ShapeID="对象 2" DrawAspect="Content" ObjectID="_1468075725" r:id="rId7">
            <o:LockedField>false</o:LockedField>
          </o:OLEObject>
        </w:pict>
      </w:r>
    </w:p>
    <w:p>
      <w:pPr>
        <w:spacing w:line="500" w:lineRule="exact"/>
        <w:jc w:val="center"/>
        <w:rPr>
          <w:rFonts w:hint="eastAsia" w:ascii="仿宋" w:hAnsi="仿宋" w:eastAsia="仿宋" w:cs="仿宋"/>
          <w:color w:val="auto"/>
          <w:sz w:val="32"/>
          <w:highlight w:val="none"/>
        </w:rPr>
      </w:pPr>
    </w:p>
    <w:p>
      <w:pPr>
        <w:spacing w:line="500" w:lineRule="exact"/>
        <w:jc w:val="center"/>
        <w:rPr>
          <w:rFonts w:hint="eastAsia" w:ascii="仿宋" w:hAnsi="仿宋" w:eastAsia="仿宋" w:cs="仿宋"/>
          <w:color w:val="auto"/>
          <w:sz w:val="32"/>
          <w:highlight w:val="none"/>
        </w:rPr>
      </w:pPr>
    </w:p>
    <w:p>
      <w:pPr>
        <w:spacing w:line="500" w:lineRule="exact"/>
        <w:rPr>
          <w:rFonts w:hint="eastAsia" w:ascii="仿宋" w:hAnsi="仿宋" w:eastAsia="仿宋" w:cs="仿宋"/>
          <w:color w:val="auto"/>
          <w:sz w:val="32"/>
          <w:highlight w:val="none"/>
        </w:rPr>
      </w:pPr>
    </w:p>
    <w:p>
      <w:pPr>
        <w:spacing w:line="500" w:lineRule="exact"/>
        <w:jc w:val="center"/>
        <w:rPr>
          <w:rFonts w:hint="eastAsia" w:ascii="仿宋" w:hAnsi="仿宋" w:eastAsia="仿宋" w:cs="仿宋"/>
          <w:color w:val="auto"/>
          <w:sz w:val="32"/>
          <w:highlight w:val="none"/>
        </w:rPr>
      </w:pP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500" w:lineRule="exact"/>
        <w:jc w:val="center"/>
        <w:rPr>
          <w:rFonts w:hint="eastAsia" w:ascii="仿宋" w:hAnsi="仿宋" w:eastAsia="仿宋" w:cs="仿宋"/>
          <w:b/>
          <w:color w:val="auto"/>
          <w:spacing w:val="20"/>
          <w:sz w:val="44"/>
          <w:highlight w:val="none"/>
        </w:rPr>
      </w:pPr>
      <w:r>
        <w:rPr>
          <w:rFonts w:hint="eastAsia" w:ascii="仿宋" w:hAnsi="仿宋" w:eastAsia="仿宋" w:cs="仿宋"/>
          <w:b/>
          <w:color w:val="auto"/>
          <w:spacing w:val="20"/>
          <w:sz w:val="44"/>
          <w:highlight w:val="none"/>
        </w:rPr>
        <w:t>江苏中润工程建设咨询有限公司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r>
        <w:rPr>
          <w:rFonts w:hint="eastAsia" w:ascii="仿宋" w:hAnsi="仿宋" w:eastAsia="仿宋" w:cs="仿宋"/>
          <w:b/>
          <w:bCs/>
          <w:color w:val="auto"/>
          <w:kern w:val="0"/>
          <w:sz w:val="32"/>
          <w:highlight w:val="none"/>
        </w:rPr>
        <w:t>2022年10月</w:t>
      </w:r>
      <w:r>
        <w:rPr>
          <w:rFonts w:hint="eastAsia" w:ascii="仿宋" w:hAnsi="仿宋" w:eastAsia="仿宋" w:cs="仿宋"/>
          <w:b/>
          <w:bCs/>
          <w:color w:val="auto"/>
          <w:kern w:val="0"/>
          <w:sz w:val="32"/>
          <w:highlight w:val="none"/>
          <w:lang w:val="en-US" w:eastAsia="zh-CN"/>
        </w:rPr>
        <w:t>14</w:t>
      </w:r>
      <w:r>
        <w:rPr>
          <w:rFonts w:hint="eastAsia" w:ascii="仿宋" w:hAnsi="仿宋" w:eastAsia="仿宋" w:cs="仿宋"/>
          <w:b/>
          <w:bCs/>
          <w:color w:val="auto"/>
          <w:kern w:val="0"/>
          <w:sz w:val="32"/>
          <w:highlight w:val="none"/>
        </w:rPr>
        <w:t>日</w:t>
      </w:r>
    </w:p>
    <w:p>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p>
    <w:p>
      <w:pPr>
        <w:adjustRightInd w:val="0"/>
        <w:snapToGrid w:val="0"/>
        <w:ind w:left="-158" w:leftChars="-75"/>
        <w:rPr>
          <w:rFonts w:hint="eastAsia" w:ascii="仿宋" w:hAnsi="仿宋" w:eastAsia="仿宋" w:cs="仿宋"/>
          <w:snapToGrid w:val="0"/>
          <w:color w:val="auto"/>
          <w:sz w:val="30"/>
          <w:szCs w:val="30"/>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snapToGrid w:val="0"/>
          <w:color w:val="auto"/>
          <w:sz w:val="32"/>
          <w:szCs w:val="32"/>
          <w:highlight w:val="none"/>
        </w:rPr>
        <w:t xml:space="preserve"> </w:t>
      </w:r>
      <w:r>
        <w:rPr>
          <w:rFonts w:hint="eastAsia" w:ascii="仿宋" w:hAnsi="仿宋" w:eastAsia="仿宋" w:cs="仿宋"/>
          <w:b/>
          <w:snapToGrid w:val="0"/>
          <w:color w:val="auto"/>
          <w:sz w:val="30"/>
          <w:szCs w:val="30"/>
          <w:highlight w:val="none"/>
        </w:rPr>
        <w:t>南通市崇川区崇川路58号</w:t>
      </w:r>
      <w:r>
        <w:rPr>
          <w:rFonts w:hint="eastAsia" w:ascii="仿宋" w:hAnsi="仿宋" w:eastAsia="仿宋" w:cs="仿宋"/>
          <w:snapToGrid w:val="0"/>
          <w:color w:val="auto"/>
          <w:sz w:val="30"/>
          <w:szCs w:val="30"/>
          <w:highlight w:val="none"/>
        </w:rPr>
        <w:t xml:space="preserve">            </w:t>
      </w:r>
      <w:r>
        <w:rPr>
          <w:rFonts w:hint="eastAsia" w:ascii="仿宋" w:hAnsi="仿宋" w:eastAsia="仿宋" w:cs="仿宋"/>
          <w:b/>
          <w:snapToGrid w:val="0"/>
          <w:color w:val="auto"/>
          <w:sz w:val="30"/>
          <w:szCs w:val="30"/>
          <w:highlight w:val="none"/>
        </w:rPr>
        <w:t>邮政编码：226008</w:t>
      </w:r>
      <w:r>
        <w:rPr>
          <w:rFonts w:hint="eastAsia" w:ascii="仿宋" w:hAnsi="仿宋" w:eastAsia="仿宋" w:cs="仿宋"/>
          <w:snapToGrid w:val="0"/>
          <w:color w:val="auto"/>
          <w:sz w:val="30"/>
          <w:szCs w:val="30"/>
          <w:highlight w:val="none"/>
        </w:rPr>
        <w:t xml:space="preserve">          </w:t>
      </w:r>
    </w:p>
    <w:p>
      <w:pPr>
        <w:adjustRightInd w:val="0"/>
        <w:snapToGrid w:val="0"/>
        <w:spacing w:line="500" w:lineRule="exact"/>
        <w:ind w:left="-158" w:leftChars="-75" w:right="-601" w:rightChars="-286"/>
        <w:rPr>
          <w:rFonts w:hint="eastAsia" w:ascii="仿宋" w:hAnsi="仿宋" w:eastAsia="仿宋" w:cs="仿宋"/>
          <w:snapToGrid w:val="0"/>
          <w:color w:val="auto"/>
          <w:sz w:val="26"/>
          <w:szCs w:val="28"/>
          <w:highlight w:val="none"/>
        </w:rPr>
      </w:pPr>
      <w:r>
        <w:rPr>
          <w:rFonts w:hint="eastAsia" w:ascii="仿宋" w:hAnsi="仿宋" w:eastAsia="仿宋" w:cs="仿宋"/>
          <w:color w:val="auto"/>
          <w:sz w:val="28"/>
          <w:szCs w:val="28"/>
          <w:highlight w:val="none"/>
        </w:rPr>
        <w:t>http://www.ntjszr.com/</w:t>
      </w:r>
      <w:r>
        <w:rPr>
          <w:rFonts w:hint="eastAsia" w:ascii="仿宋" w:hAnsi="仿宋" w:eastAsia="仿宋" w:cs="仿宋"/>
          <w:snapToGrid w:val="0"/>
          <w:color w:val="auto"/>
          <w:sz w:val="26"/>
          <w:szCs w:val="28"/>
          <w:highlight w:val="none"/>
        </w:rPr>
        <w:t xml:space="preserve">  </w:t>
      </w:r>
    </w:p>
    <w:p>
      <w:pPr>
        <w:pStyle w:val="12"/>
        <w:rPr>
          <w:rFonts w:hint="eastAsia" w:ascii="仿宋" w:hAnsi="仿宋" w:eastAsia="仿宋" w:cs="仿宋"/>
          <w:color w:val="auto"/>
          <w:highlight w:val="none"/>
        </w:rPr>
      </w:pPr>
    </w:p>
    <w:p>
      <w:pPr>
        <w:autoSpaceDE w:val="0"/>
        <w:autoSpaceDN w:val="0"/>
        <w:adjustRightInd w:val="0"/>
        <w:snapToGrid w:val="0"/>
        <w:spacing w:line="360" w:lineRule="auto"/>
        <w:jc w:val="center"/>
        <w:rPr>
          <w:rFonts w:hint="eastAsia" w:ascii="仿宋" w:hAnsi="仿宋" w:eastAsia="仿宋" w:cs="仿宋"/>
          <w:color w:val="auto"/>
          <w:sz w:val="44"/>
          <w:szCs w:val="44"/>
          <w:highlight w:val="none"/>
          <w:lang w:val="zh-CN"/>
        </w:rPr>
      </w:pPr>
      <w:r>
        <w:rPr>
          <w:rFonts w:hint="eastAsia" w:ascii="仿宋" w:hAnsi="仿宋" w:eastAsia="仿宋" w:cs="仿宋"/>
          <w:color w:val="auto"/>
          <w:sz w:val="44"/>
          <w:szCs w:val="44"/>
          <w:highlight w:val="none"/>
          <w:lang w:val="zh-CN"/>
        </w:rPr>
        <w:t xml:space="preserve">目 </w:t>
      </w:r>
      <w:r>
        <w:rPr>
          <w:rFonts w:hint="eastAsia" w:ascii="仿宋" w:hAnsi="仿宋" w:eastAsia="仿宋" w:cs="仿宋"/>
          <w:color w:val="auto"/>
          <w:sz w:val="44"/>
          <w:szCs w:val="44"/>
          <w:highlight w:val="none"/>
        </w:rPr>
        <w:t xml:space="preserve">  </w:t>
      </w:r>
      <w:r>
        <w:rPr>
          <w:rFonts w:hint="eastAsia" w:ascii="仿宋" w:hAnsi="仿宋" w:eastAsia="仿宋" w:cs="仿宋"/>
          <w:color w:val="auto"/>
          <w:sz w:val="44"/>
          <w:szCs w:val="44"/>
          <w:highlight w:val="none"/>
          <w:lang w:val="zh-CN"/>
        </w:rPr>
        <w:t>录</w:t>
      </w:r>
    </w:p>
    <w:p>
      <w:pPr>
        <w:autoSpaceDE w:val="0"/>
        <w:autoSpaceDN w:val="0"/>
        <w:adjustRightInd w:val="0"/>
        <w:snapToGrid w:val="0"/>
        <w:spacing w:line="360" w:lineRule="auto"/>
        <w:ind w:firstLine="556"/>
        <w:rPr>
          <w:rFonts w:hint="eastAsia" w:ascii="仿宋" w:hAnsi="仿宋" w:eastAsia="仿宋" w:cs="仿宋"/>
          <w:color w:val="auto"/>
          <w:sz w:val="32"/>
          <w:szCs w:val="32"/>
          <w:highlight w:val="none"/>
        </w:rPr>
      </w:pPr>
    </w:p>
    <w:p>
      <w:pPr>
        <w:autoSpaceDE w:val="0"/>
        <w:autoSpaceDN w:val="0"/>
        <w:adjustRightInd w:val="0"/>
        <w:snapToGrid w:val="0"/>
        <w:spacing w:line="360" w:lineRule="auto"/>
        <w:ind w:firstLine="556"/>
        <w:rPr>
          <w:rFonts w:hint="eastAsia" w:ascii="仿宋" w:hAnsi="仿宋" w:eastAsia="仿宋" w:cs="仿宋"/>
          <w:color w:val="auto"/>
          <w:sz w:val="32"/>
          <w:szCs w:val="32"/>
          <w:highlight w:val="none"/>
        </w:rPr>
      </w:pPr>
    </w:p>
    <w:p>
      <w:pPr>
        <w:autoSpaceDE w:val="0"/>
        <w:autoSpaceDN w:val="0"/>
        <w:adjustRightInd w:val="0"/>
        <w:snapToGrid w:val="0"/>
        <w:spacing w:line="360" w:lineRule="auto"/>
        <w:ind w:firstLine="556"/>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pPr>
        <w:autoSpaceDE w:val="0"/>
        <w:autoSpaceDN w:val="0"/>
        <w:adjustRightInd w:val="0"/>
        <w:snapToGrid w:val="0"/>
        <w:spacing w:line="360" w:lineRule="auto"/>
        <w:ind w:firstLine="556"/>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磋商须知</w:t>
      </w:r>
    </w:p>
    <w:p>
      <w:pPr>
        <w:autoSpaceDE w:val="0"/>
        <w:autoSpaceDN w:val="0"/>
        <w:adjustRightInd w:val="0"/>
        <w:snapToGrid w:val="0"/>
        <w:spacing w:line="360" w:lineRule="auto"/>
        <w:ind w:firstLine="53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项目需求</w:t>
      </w:r>
    </w:p>
    <w:p>
      <w:pPr>
        <w:autoSpaceDE w:val="0"/>
        <w:autoSpaceDN w:val="0"/>
        <w:adjustRightInd w:val="0"/>
        <w:snapToGrid w:val="0"/>
        <w:spacing w:line="360" w:lineRule="auto"/>
        <w:ind w:firstLine="53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评审方法和评审标准</w:t>
      </w:r>
    </w:p>
    <w:p>
      <w:pPr>
        <w:autoSpaceDE w:val="0"/>
        <w:autoSpaceDN w:val="0"/>
        <w:adjustRightInd w:val="0"/>
        <w:snapToGrid w:val="0"/>
        <w:spacing w:line="360" w:lineRule="auto"/>
        <w:ind w:firstLine="556"/>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响应文件组成</w:t>
      </w:r>
    </w:p>
    <w:p>
      <w:pPr>
        <w:tabs>
          <w:tab w:val="left" w:pos="7740"/>
        </w:tabs>
        <w:spacing w:line="500" w:lineRule="exact"/>
        <w:rPr>
          <w:rFonts w:hint="eastAsia" w:ascii="仿宋" w:hAnsi="仿宋" w:eastAsia="仿宋" w:cs="仿宋"/>
          <w:bCs/>
          <w:color w:val="auto"/>
          <w:sz w:val="32"/>
          <w:szCs w:val="32"/>
          <w:highlight w:val="none"/>
        </w:rPr>
      </w:pPr>
    </w:p>
    <w:p>
      <w:pPr>
        <w:tabs>
          <w:tab w:val="left" w:pos="7740"/>
        </w:tabs>
        <w:spacing w:line="500" w:lineRule="exact"/>
        <w:rPr>
          <w:rFonts w:hint="eastAsia" w:ascii="仿宋" w:hAnsi="仿宋" w:eastAsia="仿宋" w:cs="仿宋"/>
          <w:bCs/>
          <w:color w:val="auto"/>
          <w:sz w:val="32"/>
          <w:szCs w:val="32"/>
          <w:highlight w:val="none"/>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autoSpaceDE w:val="0"/>
        <w:autoSpaceDN w:val="0"/>
        <w:adjustRightInd w:val="0"/>
        <w:spacing w:line="500" w:lineRule="exact"/>
        <w:jc w:val="center"/>
        <w:rPr>
          <w:rFonts w:hint="eastAsia" w:ascii="仿宋" w:hAnsi="仿宋" w:eastAsia="仿宋" w:cs="仿宋"/>
          <w:b/>
          <w:bCs/>
          <w:color w:val="auto"/>
          <w:sz w:val="36"/>
          <w:szCs w:val="36"/>
          <w:highlight w:val="none"/>
          <w:lang w:val="zh-CN"/>
        </w:rPr>
      </w:pPr>
    </w:p>
    <w:p>
      <w:pPr>
        <w:pStyle w:val="14"/>
        <w:rPr>
          <w:rFonts w:hint="eastAsia" w:ascii="仿宋" w:hAnsi="仿宋" w:eastAsia="仿宋" w:cs="仿宋"/>
          <w:color w:val="auto"/>
          <w:highlight w:val="none"/>
          <w:lang w:val="zh-CN"/>
        </w:rPr>
      </w:pPr>
    </w:p>
    <w:p>
      <w:pPr>
        <w:autoSpaceDE w:val="0"/>
        <w:autoSpaceDN w:val="0"/>
        <w:adjustRightInd w:val="0"/>
        <w:snapToGrid w:val="0"/>
        <w:spacing w:line="500" w:lineRule="exact"/>
        <w:jc w:val="center"/>
        <w:outlineLvl w:val="0"/>
        <w:rPr>
          <w:rFonts w:hint="eastAsia" w:ascii="仿宋" w:hAnsi="仿宋" w:eastAsia="仿宋" w:cs="仿宋"/>
          <w:color w:val="auto"/>
          <w:sz w:val="36"/>
          <w:szCs w:val="36"/>
          <w:highlight w:val="none"/>
          <w:lang w:val="zh-CN"/>
        </w:rPr>
      </w:pPr>
    </w:p>
    <w:p>
      <w:pPr>
        <w:autoSpaceDE w:val="0"/>
        <w:autoSpaceDN w:val="0"/>
        <w:adjustRightInd w:val="0"/>
        <w:snapToGrid w:val="0"/>
        <w:spacing w:line="500" w:lineRule="exact"/>
        <w:jc w:val="center"/>
        <w:outlineLvl w:val="0"/>
        <w:rPr>
          <w:rFonts w:hint="eastAsia" w:ascii="仿宋" w:hAnsi="仿宋" w:eastAsia="仿宋" w:cs="仿宋"/>
          <w:color w:val="auto"/>
          <w:sz w:val="36"/>
          <w:szCs w:val="36"/>
          <w:highlight w:val="none"/>
          <w:lang w:val="zh-CN"/>
        </w:rPr>
      </w:pPr>
      <w:r>
        <w:rPr>
          <w:rFonts w:hint="eastAsia" w:ascii="仿宋" w:hAnsi="仿宋" w:eastAsia="仿宋" w:cs="仿宋"/>
          <w:color w:val="auto"/>
          <w:sz w:val="36"/>
          <w:szCs w:val="36"/>
          <w:highlight w:val="none"/>
          <w:lang w:val="zh-CN"/>
        </w:rPr>
        <w:br w:type="page"/>
      </w:r>
      <w:r>
        <w:rPr>
          <w:rFonts w:hint="eastAsia" w:ascii="宋体" w:hAnsi="宋体" w:cs="宋体"/>
          <w:b/>
          <w:bCs/>
          <w:color w:val="auto"/>
          <w:sz w:val="36"/>
          <w:szCs w:val="36"/>
          <w:highlight w:val="none"/>
          <w:lang w:val="zh-CN"/>
        </w:rPr>
        <w:t>第一部分  竞争性磋商公告</w:t>
      </w:r>
    </w:p>
    <w:p>
      <w:pPr>
        <w:adjustRightInd w:val="0"/>
        <w:snapToGrid w:val="0"/>
        <w:spacing w:line="46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受[江苏省南通卫生高等职业技术学校]的委托，江苏中润工程建设咨询有限公司就[江苏省南通卫生高等职业技术学校危化品储藏室项目](项目编号:JSZC-320600-ZRJS-C2022-0162)进行竞争性磋商采购，欢迎符合条件的供应商参加磋商。</w:t>
      </w:r>
    </w:p>
    <w:p>
      <w:pPr>
        <w:pBdr>
          <w:top w:val="single" w:color="auto" w:sz="4" w:space="1"/>
          <w:left w:val="single" w:color="auto" w:sz="4" w:space="1"/>
          <w:bottom w:val="single" w:color="auto" w:sz="4" w:space="1"/>
          <w:right w:val="single" w:color="auto" w:sz="4" w:space="4"/>
        </w:pBd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（江苏省南通卫生高等职业技术学校危化品储藏室)项目的潜在供应商应在（江苏省政府采购网）获取采购文件，并于2022年10月2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日10点00分（北京时间）前提交响应文件。</w:t>
      </w:r>
    </w:p>
    <w:p>
      <w:pPr>
        <w:widowControl/>
        <w:shd w:val="clear" w:color="auto" w:fill="FFFFFF"/>
        <w:adjustRightInd w:val="0"/>
        <w:snapToGrid w:val="0"/>
        <w:spacing w:line="460" w:lineRule="exact"/>
        <w:ind w:firstLine="590" w:firstLineChars="200"/>
        <w:rPr>
          <w:rFonts w:hint="eastAsia" w:ascii="仿宋" w:hAnsi="仿宋" w:eastAsia="仿宋" w:cs="仿宋"/>
          <w:b/>
          <w:color w:val="auto"/>
          <w:spacing w:val="7"/>
          <w:kern w:val="0"/>
          <w:sz w:val="28"/>
          <w:szCs w:val="28"/>
          <w:highlight w:val="none"/>
        </w:rPr>
      </w:pPr>
      <w:r>
        <w:rPr>
          <w:rFonts w:hint="eastAsia" w:ascii="仿宋" w:hAnsi="仿宋" w:eastAsia="仿宋" w:cs="仿宋"/>
          <w:b/>
          <w:color w:val="auto"/>
          <w:spacing w:val="7"/>
          <w:kern w:val="0"/>
          <w:sz w:val="28"/>
          <w:szCs w:val="28"/>
          <w:highlight w:val="none"/>
        </w:rPr>
        <w:t>一、项目基本情况</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项目编号：JSZC-320600-ZRJS-C2022-0162</w:t>
      </w:r>
      <w:bookmarkStart w:id="332" w:name="_GoBack"/>
      <w:bookmarkEnd w:id="332"/>
      <w:r>
        <w:rPr>
          <w:rFonts w:hint="eastAsia" w:ascii="仿宋" w:hAnsi="仿宋" w:eastAsia="仿宋" w:cs="仿宋"/>
          <w:color w:val="auto"/>
          <w:sz w:val="28"/>
          <w:szCs w:val="28"/>
          <w:highlight w:val="none"/>
        </w:rPr>
        <w:t xml:space="preserve"> </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项目名称：江苏省南通卫生高等职业技术学校危化品储藏室项目</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项目类型：工程</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所属行业：建筑业 </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采购预算：80万元</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采购最高限价：80万元，投标报价超过本项目最高限价按无效响应处理。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采购需求：详见磋商文件，请仔细研究。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    期：30日历天，具体开工时间以发包人签发的开工通知书为准。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本项目是否接受联合体投标：不接受</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二、供应商的资格要求：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adjustRightInd w:val="0"/>
        <w:snapToGrid w:val="0"/>
        <w:spacing w:line="460" w:lineRule="exact"/>
        <w:ind w:firstLine="560" w:firstLineChars="200"/>
        <w:rPr>
          <w:rFonts w:hint="eastAsia" w:eastAsia="仿宋"/>
          <w:color w:val="auto"/>
          <w:sz w:val="28"/>
          <w:szCs w:val="28"/>
          <w:highlight w:val="none"/>
          <w:u w:val="single"/>
          <w:lang w:eastAsia="zh-CN"/>
        </w:rPr>
      </w:pPr>
      <w:r>
        <w:rPr>
          <w:rFonts w:hint="eastAsia" w:ascii="仿宋" w:hAnsi="仿宋" w:eastAsia="仿宋" w:cs="仿宋"/>
          <w:color w:val="auto"/>
          <w:sz w:val="28"/>
          <w:szCs w:val="28"/>
          <w:highlight w:val="none"/>
        </w:rPr>
        <w:t>2.落实政府采购政策需满足的资格要求：</w:t>
      </w:r>
      <w:r>
        <w:rPr>
          <w:rFonts w:hint="eastAsia" w:eastAsia="方正仿宋_GBK"/>
          <w:color w:val="auto"/>
          <w:sz w:val="28"/>
          <w:szCs w:val="28"/>
          <w:highlight w:val="none"/>
          <w:u w:val="single"/>
          <w:lang w:val="en-US" w:eastAsia="zh-CN"/>
        </w:rPr>
        <w:t>无</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3.本项目的特定资格要求：无</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4.本项目不接受联合体投标。</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三、获取采购文件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时间：2022年10月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日至2022年10月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地点：江苏省政府采购网</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方式：自行下载磋商文件，或者到代理机构报名获取。</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四、提交响应文件截止时间、磋商时间和地点</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2022年10月2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日10点00分（北京时间），逾时，采购人将拒绝接受磋商响应文件。</w:t>
      </w:r>
    </w:p>
    <w:p>
      <w:pPr>
        <w:adjustRightInd w:val="0"/>
        <w:snapToGrid w:val="0"/>
        <w:spacing w:line="460" w:lineRule="exact"/>
        <w:ind w:firstLine="560" w:firstLineChars="20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地点：南通市崇川路58号南通产业技术研究院9号楼10楼1003</w:t>
      </w:r>
    </w:p>
    <w:p>
      <w:pPr>
        <w:adjustRightInd w:val="0"/>
        <w:snapToGrid w:val="0"/>
        <w:spacing w:line="4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五、公告期限：</w:t>
      </w:r>
      <w:r>
        <w:rPr>
          <w:rFonts w:hint="eastAsia" w:ascii="仿宋" w:hAnsi="仿宋" w:eastAsia="仿宋" w:cs="仿宋"/>
          <w:color w:val="auto"/>
          <w:sz w:val="28"/>
          <w:szCs w:val="28"/>
          <w:highlight w:val="none"/>
        </w:rPr>
        <w:t>自本公告发布之日起3个工作日。</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六、其他补充事宜</w:t>
      </w:r>
    </w:p>
    <w:p>
      <w:pPr>
        <w:adjustRightInd w:val="0"/>
        <w:snapToGrid w:val="0"/>
        <w:spacing w:line="46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1.投标保证金：</w:t>
      </w:r>
      <w:r>
        <w:rPr>
          <w:rFonts w:hint="eastAsia" w:ascii="仿宋" w:hAnsi="仿宋" w:eastAsia="仿宋" w:cs="仿宋"/>
          <w:color w:val="auto"/>
          <w:sz w:val="28"/>
          <w:szCs w:val="28"/>
          <w:highlight w:val="none"/>
          <w:u w:val="single"/>
        </w:rPr>
        <w:t>无。</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2.项目磋商活动模式：见面磋商模式，供应商在</w:t>
      </w:r>
      <w:r>
        <w:rPr>
          <w:rFonts w:hint="eastAsia" w:ascii="仿宋" w:hAnsi="仿宋" w:eastAsia="仿宋" w:cs="仿宋"/>
          <w:color w:val="auto"/>
          <w:sz w:val="28"/>
          <w:szCs w:val="28"/>
          <w:highlight w:val="none"/>
          <w:u w:val="single"/>
        </w:rPr>
        <w:t>南通市崇川路58号南通产业技术研究院9号楼10楼1003</w:t>
      </w:r>
      <w:r>
        <w:rPr>
          <w:rFonts w:hint="eastAsia" w:ascii="仿宋" w:hAnsi="仿宋" w:eastAsia="仿宋" w:cs="仿宋"/>
          <w:color w:val="auto"/>
          <w:sz w:val="28"/>
          <w:szCs w:val="28"/>
          <w:highlight w:val="none"/>
        </w:rPr>
        <w:t>参加磋商活动。</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3.项目样品：无。</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4.对项目需求部分（供应商资格要求、项目需求、商务技术评分标准）的询问、质疑请向采购人提出，由采购人负责答复；对项目磋商文件其它部分的询问请向磋商文件制作人或项目磋商经办人提出。</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adjustRightInd w:val="0"/>
        <w:snapToGrid w:val="0"/>
        <w:spacing w:line="460" w:lineRule="exact"/>
        <w:ind w:firstLine="590" w:firstLineChars="200"/>
        <w:rPr>
          <w:rFonts w:hint="eastAsia" w:ascii="仿宋" w:hAnsi="仿宋" w:eastAsia="仿宋" w:cs="仿宋"/>
          <w:b/>
          <w:color w:val="auto"/>
          <w:spacing w:val="7"/>
          <w:kern w:val="0"/>
          <w:sz w:val="28"/>
          <w:szCs w:val="28"/>
          <w:highlight w:val="none"/>
        </w:rPr>
      </w:pPr>
      <w:r>
        <w:rPr>
          <w:rFonts w:hint="eastAsia" w:ascii="仿宋" w:hAnsi="仿宋" w:eastAsia="仿宋" w:cs="仿宋"/>
          <w:b/>
          <w:color w:val="auto"/>
          <w:spacing w:val="7"/>
          <w:kern w:val="0"/>
          <w:sz w:val="28"/>
          <w:szCs w:val="28"/>
          <w:highlight w:val="none"/>
        </w:rPr>
        <w:t>七、凡对本次采购提出询问，请按以下方式联系。</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名称：江苏省南通卫生高等职业技术学校</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地址：江苏省南通市振兴东路288号</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人：单老师</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联系电话：13511591058</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名称：江苏中润工程建设咨询有限公司</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地址：南通市崇川路58号</w:t>
      </w:r>
    </w:p>
    <w:p>
      <w:pPr>
        <w:adjustRightInd w:val="0"/>
        <w:snapToGrid w:val="0"/>
        <w:spacing w:line="4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联系方式：王  工 0513-55887688  13906272111</w:t>
      </w:r>
    </w:p>
    <w:p>
      <w:pPr>
        <w:adjustRightInd w:val="0"/>
        <w:snapToGrid w:val="0"/>
        <w:spacing w:line="500" w:lineRule="exact"/>
        <w:jc w:val="center"/>
        <w:rPr>
          <w:rFonts w:hint="eastAsia" w:ascii="仿宋" w:hAnsi="仿宋" w:eastAsia="仿宋" w:cs="仿宋"/>
          <w:color w:val="auto"/>
          <w:sz w:val="36"/>
          <w:szCs w:val="36"/>
          <w:highlight w:val="none"/>
          <w:lang w:val="zh-CN"/>
        </w:rPr>
      </w:pPr>
    </w:p>
    <w:p>
      <w:pPr>
        <w:adjustRightInd w:val="0"/>
        <w:snapToGrid w:val="0"/>
        <w:spacing w:line="500" w:lineRule="exact"/>
        <w:jc w:val="center"/>
        <w:rPr>
          <w:rFonts w:hint="eastAsia" w:ascii="仿宋" w:hAnsi="仿宋" w:eastAsia="仿宋" w:cs="仿宋"/>
          <w:color w:val="auto"/>
          <w:sz w:val="36"/>
          <w:szCs w:val="36"/>
          <w:highlight w:val="none"/>
          <w:lang w:val="zh-CN"/>
        </w:rPr>
      </w:pPr>
      <w:r>
        <w:rPr>
          <w:rFonts w:hint="eastAsia" w:ascii="仿宋" w:hAnsi="仿宋" w:eastAsia="仿宋" w:cs="仿宋"/>
          <w:color w:val="auto"/>
          <w:sz w:val="36"/>
          <w:szCs w:val="36"/>
          <w:highlight w:val="none"/>
          <w:lang w:val="zh-CN"/>
        </w:rPr>
        <w:br w:type="page"/>
      </w:r>
      <w:r>
        <w:rPr>
          <w:rFonts w:hint="eastAsia" w:ascii="仿宋" w:hAnsi="仿宋" w:eastAsia="仿宋" w:cs="仿宋"/>
          <w:color w:val="auto"/>
          <w:sz w:val="36"/>
          <w:szCs w:val="36"/>
          <w:highlight w:val="none"/>
          <w:lang w:val="zh-CN"/>
        </w:rPr>
        <w:t>第二部分 磋商须知</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highlight w:val="none"/>
        </w:rPr>
      </w:pPr>
      <w:bookmarkStart w:id="0" w:name="_Toc120614214"/>
      <w:bookmarkStart w:id="1" w:name="_Toc16938519"/>
      <w:bookmarkStart w:id="2" w:name="_Toc20823275"/>
      <w:bookmarkStart w:id="3" w:name="_Toc513029203"/>
      <w:r>
        <w:rPr>
          <w:rFonts w:hint="eastAsia" w:ascii="仿宋" w:hAnsi="仿宋" w:eastAsia="仿宋" w:cs="仿宋"/>
          <w:b/>
          <w:bCs/>
          <w:color w:val="auto"/>
          <w:kern w:val="0"/>
          <w:sz w:val="28"/>
          <w:szCs w:val="28"/>
          <w:highlight w:val="none"/>
        </w:rPr>
        <w:t>一、总则</w:t>
      </w:r>
      <w:bookmarkEnd w:id="0"/>
      <w:bookmarkEnd w:id="1"/>
      <w:bookmarkEnd w:id="2"/>
      <w:bookmarkEnd w:id="3"/>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4" w:name="_Hlt16619475"/>
      <w:bookmarkEnd w:id="4"/>
      <w:bookmarkStart w:id="5" w:name="_Toc458694821"/>
      <w:bookmarkStart w:id="6" w:name="_Toc16938520"/>
      <w:bookmarkStart w:id="7" w:name="_Toc20823276"/>
      <w:bookmarkStart w:id="8" w:name="_Toc513029204"/>
      <w:r>
        <w:rPr>
          <w:rFonts w:hint="eastAsia" w:ascii="仿宋" w:hAnsi="仿宋" w:eastAsia="仿宋" w:cs="仿宋"/>
          <w:color w:val="auto"/>
          <w:kern w:val="0"/>
          <w:sz w:val="28"/>
          <w:szCs w:val="28"/>
          <w:highlight w:val="none"/>
        </w:rPr>
        <w:t>1</w:t>
      </w:r>
      <w:bookmarkEnd w:id="5"/>
      <w:r>
        <w:rPr>
          <w:rFonts w:hint="eastAsia" w:ascii="仿宋" w:hAnsi="仿宋" w:eastAsia="仿宋" w:cs="仿宋"/>
          <w:color w:val="auto"/>
          <w:kern w:val="0"/>
          <w:sz w:val="28"/>
          <w:szCs w:val="28"/>
          <w:highlight w:val="none"/>
        </w:rPr>
        <w:t>.采购方式</w:t>
      </w:r>
      <w:bookmarkEnd w:id="6"/>
      <w:bookmarkEnd w:id="7"/>
      <w:bookmarkEnd w:id="8"/>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本次采取竞争性磋商方式，本磋商文件仅适用于磋商公告中所述项目。</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9" w:name="_Toc513029205"/>
      <w:bookmarkStart w:id="10" w:name="_Toc16938521"/>
      <w:bookmarkStart w:id="11" w:name="_Toc20823277"/>
      <w:r>
        <w:rPr>
          <w:rFonts w:hint="eastAsia" w:ascii="仿宋" w:hAnsi="仿宋" w:eastAsia="仿宋" w:cs="仿宋"/>
          <w:color w:val="auto"/>
          <w:kern w:val="0"/>
          <w:sz w:val="28"/>
          <w:szCs w:val="28"/>
          <w:highlight w:val="none"/>
        </w:rPr>
        <w:t>2.合格的</w:t>
      </w:r>
      <w:bookmarkEnd w:id="9"/>
      <w:bookmarkEnd w:id="10"/>
      <w:bookmarkEnd w:id="11"/>
      <w:r>
        <w:rPr>
          <w:rFonts w:hint="eastAsia" w:ascii="仿宋" w:hAnsi="仿宋" w:eastAsia="仿宋" w:cs="仿宋"/>
          <w:color w:val="auto"/>
          <w:kern w:val="0"/>
          <w:sz w:val="28"/>
          <w:szCs w:val="28"/>
          <w:highlight w:val="none"/>
        </w:rPr>
        <w:t>供应商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2.1满足磋商公告中供应商的资格要求的规定。</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12" w:name="_Toc20823278"/>
      <w:bookmarkStart w:id="13" w:name="_Toc16938522"/>
      <w:bookmarkStart w:id="14" w:name="_Toc513029206"/>
      <w:r>
        <w:rPr>
          <w:rFonts w:hint="eastAsia" w:ascii="仿宋" w:hAnsi="仿宋" w:eastAsia="仿宋" w:cs="仿宋"/>
          <w:color w:val="auto"/>
          <w:kern w:val="0"/>
          <w:sz w:val="28"/>
          <w:szCs w:val="28"/>
          <w:highlight w:val="none"/>
        </w:rPr>
        <w:t>3.适用法律</w:t>
      </w:r>
      <w:bookmarkEnd w:id="12"/>
      <w:bookmarkEnd w:id="13"/>
      <w:bookmarkEnd w:id="14"/>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本次采购及由此产生的合同受中华人民共和国有关的法律法规制约和保护。</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15" w:name="_Toc20823279"/>
      <w:bookmarkStart w:id="16" w:name="_Toc462564067"/>
      <w:bookmarkStart w:id="17" w:name="_Toc16938523"/>
      <w:bookmarkStart w:id="18" w:name="_Toc513029207"/>
      <w:r>
        <w:rPr>
          <w:rFonts w:hint="eastAsia" w:ascii="仿宋" w:hAnsi="仿宋" w:eastAsia="仿宋" w:cs="仿宋"/>
          <w:color w:val="auto"/>
          <w:kern w:val="0"/>
          <w:sz w:val="28"/>
          <w:szCs w:val="28"/>
          <w:highlight w:val="none"/>
        </w:rPr>
        <w:t>4.磋商费用</w:t>
      </w:r>
      <w:bookmarkEnd w:id="15"/>
      <w:bookmarkEnd w:id="16"/>
      <w:bookmarkEnd w:id="17"/>
      <w:bookmarkEnd w:id="18"/>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4.1</w:t>
      </w:r>
      <w:r>
        <w:rPr>
          <w:rFonts w:hint="eastAsia" w:ascii="仿宋" w:hAnsi="仿宋" w:eastAsia="仿宋" w:cs="仿宋"/>
          <w:color w:val="auto"/>
          <w:sz w:val="28"/>
          <w:szCs w:val="28"/>
          <w:highlight w:val="none"/>
        </w:rPr>
        <w:t xml:space="preserve"> 供应商应自行承担所有与参加磋商有关的费用，无论磋商过程中的做法和结果如何，江苏中润工程建设咨询有限公司（以下简称采购代理机构）在任何情况下均无义务和责任承担这些费用。</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4.2本次磋商采购代理机构收取标书工本费400元，无论是否中标，该费用不予退还。</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4.3采购代理机构向中标供应商收取招标代理服务费（发改价格【2011】534号文标准的60%收取），标底编制费按苏价服（2014）383号文标准的60%计收，评委费按实收取，供应商报价时应综合考虑（不单列）。</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5.磋商文件的约束力</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5.1</w:t>
      </w:r>
      <w:r>
        <w:rPr>
          <w:rFonts w:hint="eastAsia" w:ascii="仿宋" w:hAnsi="仿宋" w:eastAsia="仿宋" w:cs="仿宋"/>
          <w:color w:val="auto"/>
          <w:sz w:val="28"/>
          <w:szCs w:val="28"/>
          <w:highlight w:val="none"/>
        </w:rPr>
        <w:t xml:space="preserve"> 供应商一旦参加本项目采购活动，即被认为接受了本磋商文件的规定和约束。</w:t>
      </w:r>
    </w:p>
    <w:p>
      <w:pPr>
        <w:keepNext/>
        <w:adjustRightInd w:val="0"/>
        <w:snapToGrid w:val="0"/>
        <w:spacing w:line="460" w:lineRule="exact"/>
        <w:ind w:firstLine="560" w:firstLineChars="200"/>
        <w:outlineLvl w:val="3"/>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6.磋商文件的解释</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6.1</w:t>
      </w:r>
      <w:r>
        <w:rPr>
          <w:rFonts w:hint="eastAsia" w:ascii="仿宋" w:hAnsi="仿宋" w:eastAsia="仿宋" w:cs="仿宋"/>
          <w:color w:val="auto"/>
          <w:sz w:val="28"/>
          <w:szCs w:val="28"/>
          <w:highlight w:val="none"/>
        </w:rPr>
        <w:t>磋商文件需求部分（供应商资格要求、项目需求、商务技术评分标准）由采购人解释，其它部分由采购代理机构解释。</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highlight w:val="none"/>
        </w:rPr>
      </w:pPr>
      <w:bookmarkStart w:id="19" w:name="_Toc16938525"/>
      <w:bookmarkStart w:id="20" w:name="_Toc120614215"/>
      <w:bookmarkStart w:id="21" w:name="_Toc20823281"/>
      <w:bookmarkStart w:id="22" w:name="_Toc513029209"/>
      <w:r>
        <w:rPr>
          <w:rFonts w:hint="eastAsia" w:ascii="仿宋" w:hAnsi="仿宋" w:eastAsia="仿宋" w:cs="仿宋"/>
          <w:b/>
          <w:bCs/>
          <w:color w:val="auto"/>
          <w:kern w:val="0"/>
          <w:sz w:val="28"/>
          <w:szCs w:val="28"/>
          <w:highlight w:val="none"/>
        </w:rPr>
        <w:t>二、磋商文件</w:t>
      </w:r>
      <w:bookmarkEnd w:id="19"/>
      <w:bookmarkEnd w:id="20"/>
      <w:bookmarkEnd w:id="21"/>
      <w:bookmarkEnd w:id="22"/>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23" w:name="_Toc16938526"/>
      <w:bookmarkStart w:id="24" w:name="_Toc513029210"/>
      <w:bookmarkStart w:id="25" w:name="_Toc20823282"/>
      <w:r>
        <w:rPr>
          <w:rFonts w:hint="eastAsia" w:ascii="仿宋" w:hAnsi="仿宋" w:eastAsia="仿宋" w:cs="仿宋"/>
          <w:color w:val="auto"/>
          <w:kern w:val="0"/>
          <w:sz w:val="28"/>
          <w:szCs w:val="28"/>
          <w:highlight w:val="none"/>
        </w:rPr>
        <w:t>1.磋商文件构成</w:t>
      </w:r>
      <w:bookmarkEnd w:id="23"/>
      <w:bookmarkEnd w:id="24"/>
      <w:bookmarkEnd w:id="25"/>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1.1</w:t>
      </w:r>
      <w:r>
        <w:rPr>
          <w:rFonts w:hint="eastAsia" w:ascii="仿宋" w:hAnsi="仿宋" w:eastAsia="仿宋" w:cs="仿宋"/>
          <w:color w:val="auto"/>
          <w:sz w:val="28"/>
          <w:szCs w:val="28"/>
          <w:highlight w:val="none"/>
        </w:rPr>
        <w:t xml:space="preserve"> 磋商文件由以下部分组成：</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（1）竞争性磋商公告</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（2）磋商须知</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（4）评审方法和评审标准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（5）响应文件组成</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（6）附件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请仔细检查磋商文件是否齐全，如有缺漏请立即与采购代理机构联系解决。</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26" w:name="_Toc20823283"/>
      <w:bookmarkStart w:id="27" w:name="_Toc462564070"/>
      <w:bookmarkStart w:id="28" w:name="_Toc513029211"/>
      <w:bookmarkStart w:id="29" w:name="_Toc16938527"/>
      <w:r>
        <w:rPr>
          <w:rFonts w:hint="eastAsia" w:ascii="仿宋" w:hAnsi="仿宋" w:eastAsia="仿宋" w:cs="仿宋"/>
          <w:color w:val="auto"/>
          <w:kern w:val="0"/>
          <w:sz w:val="28"/>
          <w:szCs w:val="28"/>
          <w:highlight w:val="none"/>
        </w:rPr>
        <w:t>2.磋商文件的澄清</w:t>
      </w:r>
      <w:bookmarkEnd w:id="26"/>
      <w:bookmarkEnd w:id="27"/>
      <w:bookmarkEnd w:id="28"/>
      <w:bookmarkEnd w:id="29"/>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2.1</w:t>
      </w:r>
      <w:r>
        <w:rPr>
          <w:rFonts w:hint="eastAsia" w:ascii="仿宋" w:hAnsi="仿宋" w:eastAsia="仿宋" w:cs="仿宋"/>
          <w:color w:val="auto"/>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2.2采购人视情组织答疑会</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30" w:name="_Toc20823284"/>
      <w:bookmarkStart w:id="31" w:name="_Toc16938528"/>
      <w:bookmarkStart w:id="32" w:name="_Toc513029212"/>
      <w:bookmarkStart w:id="33" w:name="_Toc462564071"/>
      <w:r>
        <w:rPr>
          <w:rFonts w:hint="eastAsia" w:ascii="仿宋" w:hAnsi="仿宋" w:eastAsia="仿宋" w:cs="仿宋"/>
          <w:color w:val="auto"/>
          <w:kern w:val="0"/>
          <w:sz w:val="28"/>
          <w:szCs w:val="28"/>
          <w:highlight w:val="none"/>
        </w:rPr>
        <w:t>3.磋商文件的修改</w:t>
      </w:r>
      <w:bookmarkEnd w:id="30"/>
      <w:bookmarkEnd w:id="31"/>
      <w:bookmarkEnd w:id="32"/>
      <w:bookmarkEnd w:id="33"/>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 xml:space="preserve"> 在响应文件提交截止时间前，采购代理机构可以对磋商文件进行修改。</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color w:val="auto"/>
          <w:sz w:val="28"/>
          <w:szCs w:val="28"/>
          <w:highlight w:val="none"/>
        </w:rPr>
        <w:t>采购代理机构有权按照法定的要求推迟响应文件提交截止日期和磋商日期。</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磋商文件的修改将在江苏省政府采购网公布，补充文件将作为磋商文件的组成部分，并对供应商具有约束力。</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highlight w:val="none"/>
        </w:rPr>
      </w:pPr>
      <w:bookmarkStart w:id="34" w:name="_Toc462564072"/>
      <w:bookmarkStart w:id="35" w:name="_Toc20823285"/>
      <w:bookmarkStart w:id="36" w:name="_Toc513029213"/>
      <w:bookmarkStart w:id="37" w:name="_Toc120614216"/>
      <w:bookmarkStart w:id="38" w:name="_Toc16938529"/>
      <w:r>
        <w:rPr>
          <w:rFonts w:hint="eastAsia" w:ascii="仿宋" w:hAnsi="仿宋" w:eastAsia="仿宋" w:cs="仿宋"/>
          <w:b/>
          <w:bCs/>
          <w:color w:val="auto"/>
          <w:kern w:val="0"/>
          <w:sz w:val="28"/>
          <w:szCs w:val="28"/>
          <w:highlight w:val="none"/>
        </w:rPr>
        <w:t>三、响应文件的编制</w:t>
      </w:r>
      <w:bookmarkEnd w:id="34"/>
      <w:bookmarkEnd w:id="35"/>
      <w:bookmarkEnd w:id="36"/>
      <w:bookmarkEnd w:id="37"/>
      <w:bookmarkEnd w:id="38"/>
    </w:p>
    <w:p>
      <w:pPr>
        <w:keepNext/>
        <w:adjustRightInd w:val="0"/>
        <w:snapToGrid w:val="0"/>
        <w:spacing w:line="460" w:lineRule="exact"/>
        <w:ind w:firstLine="560" w:firstLineChars="200"/>
        <w:outlineLvl w:val="3"/>
        <w:rPr>
          <w:rFonts w:hint="eastAsia" w:ascii="仿宋" w:hAnsi="仿宋" w:eastAsia="仿宋" w:cs="仿宋"/>
          <w:bCs/>
          <w:color w:val="auto"/>
          <w:kern w:val="0"/>
          <w:sz w:val="28"/>
          <w:szCs w:val="28"/>
          <w:highlight w:val="none"/>
        </w:rPr>
      </w:pPr>
      <w:bookmarkStart w:id="39" w:name="_Toc16938530"/>
      <w:bookmarkStart w:id="40" w:name="_Toc20823286"/>
      <w:bookmarkStart w:id="41" w:name="_Toc513029214"/>
      <w:bookmarkStart w:id="42" w:name="_Toc462564073"/>
      <w:r>
        <w:rPr>
          <w:rFonts w:hint="eastAsia" w:ascii="仿宋" w:hAnsi="仿宋" w:eastAsia="仿宋" w:cs="仿宋"/>
          <w:color w:val="auto"/>
          <w:kern w:val="0"/>
          <w:sz w:val="28"/>
          <w:szCs w:val="28"/>
          <w:highlight w:val="none"/>
        </w:rPr>
        <w:t>1.响应文件的语言及度量衡单位</w:t>
      </w:r>
      <w:bookmarkEnd w:id="39"/>
      <w:bookmarkEnd w:id="40"/>
      <w:bookmarkEnd w:id="41"/>
      <w:bookmarkEnd w:id="42"/>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1.1</w:t>
      </w:r>
      <w:r>
        <w:rPr>
          <w:rFonts w:hint="eastAsia" w:ascii="仿宋" w:hAnsi="仿宋" w:eastAsia="仿宋" w:cs="仿宋"/>
          <w:color w:val="auto"/>
          <w:sz w:val="28"/>
          <w:szCs w:val="28"/>
          <w:highlight w:val="none"/>
        </w:rPr>
        <w:t>供应商提交的响应文件以及供应商与采购代理机构及采购人就有关磋商的所有来往通知、函件和文件均应使用</w:t>
      </w:r>
      <w:r>
        <w:rPr>
          <w:rFonts w:hint="eastAsia" w:ascii="仿宋" w:hAnsi="仿宋" w:eastAsia="仿宋" w:cs="仿宋"/>
          <w:bCs/>
          <w:color w:val="auto"/>
          <w:sz w:val="28"/>
          <w:szCs w:val="28"/>
          <w:highlight w:val="none"/>
        </w:rPr>
        <w:t>简体中文</w:t>
      </w:r>
      <w:r>
        <w:rPr>
          <w:rFonts w:hint="eastAsia" w:ascii="仿宋" w:hAnsi="仿宋" w:eastAsia="仿宋" w:cs="仿宋"/>
          <w:color w:val="auto"/>
          <w:sz w:val="28"/>
          <w:szCs w:val="28"/>
          <w:highlight w:val="none"/>
        </w:rPr>
        <w:t>。</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 xml:space="preserve"> 除技术性能另有规定外，响应文件所使用的度量衡单位，均须采用国家法定计量单位。</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43" w:name="_Toc513029215"/>
      <w:bookmarkStart w:id="44" w:name="_Toc20823287"/>
      <w:bookmarkStart w:id="45" w:name="_Toc16938531"/>
      <w:bookmarkStart w:id="46" w:name="_Toc462564074"/>
      <w:r>
        <w:rPr>
          <w:rFonts w:hint="eastAsia" w:ascii="仿宋" w:hAnsi="仿宋" w:eastAsia="仿宋" w:cs="仿宋"/>
          <w:color w:val="auto"/>
          <w:kern w:val="0"/>
          <w:sz w:val="28"/>
          <w:szCs w:val="28"/>
          <w:highlight w:val="none"/>
        </w:rPr>
        <w:t>2.响应文件构成</w:t>
      </w:r>
      <w:bookmarkEnd w:id="43"/>
      <w:bookmarkEnd w:id="44"/>
      <w:bookmarkEnd w:id="45"/>
      <w:bookmarkEnd w:id="46"/>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2.1</w:t>
      </w:r>
      <w:r>
        <w:rPr>
          <w:rFonts w:hint="eastAsia" w:ascii="仿宋" w:hAnsi="仿宋" w:eastAsia="仿宋" w:cs="仿宋"/>
          <w:color w:val="auto"/>
          <w:sz w:val="28"/>
          <w:szCs w:val="28"/>
          <w:highlight w:val="none"/>
        </w:rPr>
        <w:t xml:space="preserve"> 供应商编写的响应文件应包括资格审查证明材料文件、商务技术标文件、价格标文件。供应商按“第五部分 响应文件组成”要求编写响应文件。</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47" w:name="_Hlt26954838"/>
      <w:bookmarkEnd w:id="47"/>
      <w:bookmarkStart w:id="48" w:name="_Hlt26670360"/>
      <w:bookmarkEnd w:id="48"/>
      <w:bookmarkStart w:id="49" w:name="_Hlt26668975"/>
      <w:bookmarkEnd w:id="49"/>
      <w:bookmarkStart w:id="50" w:name="_Toc14577360"/>
      <w:bookmarkStart w:id="51" w:name="_Toc49090511"/>
      <w:r>
        <w:rPr>
          <w:rFonts w:hint="eastAsia" w:ascii="仿宋" w:hAnsi="仿宋" w:eastAsia="仿宋" w:cs="仿宋"/>
          <w:color w:val="auto"/>
          <w:kern w:val="0"/>
          <w:sz w:val="28"/>
          <w:szCs w:val="28"/>
          <w:highlight w:val="none"/>
        </w:rPr>
        <w:t>3.</w:t>
      </w:r>
      <w:bookmarkEnd w:id="50"/>
      <w:bookmarkEnd w:id="51"/>
      <w:r>
        <w:rPr>
          <w:rFonts w:hint="eastAsia" w:ascii="仿宋" w:hAnsi="仿宋" w:eastAsia="仿宋" w:cs="仿宋"/>
          <w:color w:val="auto"/>
          <w:kern w:val="0"/>
          <w:sz w:val="28"/>
          <w:szCs w:val="28"/>
          <w:highlight w:val="none"/>
        </w:rPr>
        <w:t>磋商响应有效期</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3.1磋商响应有效期为采购代理机构规定的响应文件</w:t>
      </w:r>
      <w:r>
        <w:rPr>
          <w:rFonts w:hint="eastAsia" w:ascii="仿宋" w:hAnsi="仿宋" w:eastAsia="仿宋" w:cs="仿宋"/>
          <w:color w:val="auto"/>
          <w:sz w:val="28"/>
          <w:szCs w:val="28"/>
          <w:highlight w:val="none"/>
        </w:rPr>
        <w:t>提交</w:t>
      </w:r>
      <w:r>
        <w:rPr>
          <w:rFonts w:hint="eastAsia" w:ascii="仿宋" w:hAnsi="仿宋" w:eastAsia="仿宋" w:cs="仿宋"/>
          <w:bCs/>
          <w:color w:val="auto"/>
          <w:sz w:val="28"/>
          <w:szCs w:val="28"/>
          <w:highlight w:val="none"/>
        </w:rPr>
        <w:t>截止时间后</w:t>
      </w:r>
      <w:r>
        <w:rPr>
          <w:rFonts w:hint="eastAsia" w:ascii="仿宋" w:hAnsi="仿宋" w:eastAsia="仿宋" w:cs="仿宋"/>
          <w:b/>
          <w:color w:val="auto"/>
          <w:sz w:val="28"/>
          <w:szCs w:val="28"/>
          <w:highlight w:val="none"/>
          <w:u w:val="single"/>
        </w:rPr>
        <w:t>四十五（45）天</w:t>
      </w:r>
      <w:r>
        <w:rPr>
          <w:rFonts w:hint="eastAsia" w:ascii="仿宋" w:hAnsi="仿宋" w:eastAsia="仿宋" w:cs="仿宋"/>
          <w:bCs/>
          <w:color w:val="auto"/>
          <w:sz w:val="28"/>
          <w:szCs w:val="28"/>
          <w:highlight w:val="none"/>
        </w:rPr>
        <w:t>。磋商响应有效期比规定短的将被视为非实质性响应而予以拒绝。</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4. 磋商响应有效期的延长</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cs="仿宋"/>
          <w:color w:val="auto"/>
          <w:sz w:val="28"/>
          <w:szCs w:val="28"/>
          <w:highlight w:val="none"/>
        </w:rPr>
        <w:t>受磋商响应有效期约束的所有权利与义务均延长至新的有效期</w:t>
      </w:r>
      <w:r>
        <w:rPr>
          <w:rFonts w:hint="eastAsia" w:ascii="仿宋" w:hAnsi="仿宋" w:eastAsia="仿宋" w:cs="仿宋"/>
          <w:bCs/>
          <w:color w:val="auto"/>
          <w:sz w:val="28"/>
          <w:szCs w:val="28"/>
          <w:highlight w:val="none"/>
        </w:rPr>
        <w:t>。</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highlight w:val="none"/>
        </w:rPr>
      </w:pPr>
      <w:bookmarkStart w:id="52" w:name="_Hlt26954739"/>
      <w:bookmarkEnd w:id="52"/>
      <w:bookmarkStart w:id="53" w:name="_Hlt26954852"/>
      <w:bookmarkEnd w:id="53"/>
      <w:bookmarkStart w:id="54" w:name="_Toc513029224"/>
      <w:bookmarkStart w:id="55" w:name="_Toc20823296"/>
      <w:bookmarkStart w:id="56" w:name="_Toc120614217"/>
      <w:bookmarkStart w:id="57" w:name="_Toc16938540"/>
      <w:r>
        <w:rPr>
          <w:rFonts w:hint="eastAsia" w:ascii="仿宋" w:hAnsi="仿宋" w:eastAsia="仿宋" w:cs="仿宋"/>
          <w:b/>
          <w:bCs/>
          <w:color w:val="auto"/>
          <w:kern w:val="0"/>
          <w:sz w:val="28"/>
          <w:szCs w:val="28"/>
          <w:highlight w:val="none"/>
        </w:rPr>
        <w:t>四、响应文件的提交</w:t>
      </w:r>
      <w:bookmarkEnd w:id="54"/>
      <w:bookmarkEnd w:id="55"/>
      <w:bookmarkEnd w:id="56"/>
      <w:bookmarkEnd w:id="57"/>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58" w:name="_Toc16938541"/>
      <w:bookmarkStart w:id="59" w:name="_Toc20823297"/>
      <w:bookmarkStart w:id="60" w:name="_Toc513029225"/>
      <w:bookmarkStart w:id="61" w:name="_Toc462564084"/>
      <w:r>
        <w:rPr>
          <w:rFonts w:hint="eastAsia" w:ascii="仿宋" w:hAnsi="仿宋" w:eastAsia="仿宋" w:cs="仿宋"/>
          <w:color w:val="auto"/>
          <w:kern w:val="0"/>
          <w:sz w:val="28"/>
          <w:szCs w:val="28"/>
          <w:highlight w:val="none"/>
        </w:rPr>
        <w:t>1.响应文件</w:t>
      </w:r>
      <w:bookmarkEnd w:id="58"/>
      <w:bookmarkEnd w:id="59"/>
      <w:bookmarkEnd w:id="60"/>
      <w:bookmarkEnd w:id="61"/>
      <w:r>
        <w:rPr>
          <w:rFonts w:hint="eastAsia" w:ascii="仿宋" w:hAnsi="仿宋" w:eastAsia="仿宋" w:cs="仿宋"/>
          <w:color w:val="auto"/>
          <w:kern w:val="0"/>
          <w:sz w:val="28"/>
          <w:szCs w:val="28"/>
          <w:highlight w:val="none"/>
        </w:rPr>
        <w:t>的提交</w:t>
      </w:r>
    </w:p>
    <w:p>
      <w:pPr>
        <w:adjustRightInd w:val="0"/>
        <w:snapToGrid w:val="0"/>
        <w:spacing w:line="460" w:lineRule="exact"/>
        <w:ind w:firstLine="560" w:firstLineChars="200"/>
        <w:rPr>
          <w:rFonts w:hint="eastAsia" w:ascii="仿宋" w:hAnsi="仿宋" w:eastAsia="仿宋" w:cs="仿宋"/>
          <w:b/>
          <w:color w:val="auto"/>
          <w:sz w:val="28"/>
          <w:szCs w:val="28"/>
          <w:highlight w:val="none"/>
        </w:rPr>
      </w:pPr>
      <w:bookmarkStart w:id="62" w:name="_Toc20823298"/>
      <w:bookmarkStart w:id="63" w:name="_Toc513029226"/>
      <w:bookmarkStart w:id="64" w:name="_Toc16938542"/>
      <w:r>
        <w:rPr>
          <w:rFonts w:hint="eastAsia" w:ascii="仿宋" w:hAnsi="仿宋" w:eastAsia="仿宋" w:cs="仿宋"/>
          <w:bCs/>
          <w:color w:val="auto"/>
          <w:sz w:val="28"/>
          <w:szCs w:val="28"/>
          <w:highlight w:val="none"/>
        </w:rPr>
        <w:t>1.1响应文件三部分内容（资格审查证明文件、商务技术响应文件、价格文件）须分别单独密封，</w:t>
      </w:r>
      <w:r>
        <w:rPr>
          <w:rFonts w:hint="eastAsia" w:ascii="仿宋" w:hAnsi="仿宋" w:eastAsia="仿宋" w:cs="仿宋"/>
          <w:bCs/>
          <w:color w:val="auto"/>
          <w:sz w:val="28"/>
          <w:szCs w:val="28"/>
          <w:highlight w:val="none"/>
          <w:lang w:val="zh-CN"/>
        </w:rPr>
        <w:t>并牢</w:t>
      </w:r>
      <w:r>
        <w:rPr>
          <w:rFonts w:hint="eastAsia" w:ascii="仿宋" w:hAnsi="仿宋" w:eastAsia="仿宋" w:cs="仿宋"/>
          <w:bCs/>
          <w:color w:val="auto"/>
          <w:sz w:val="28"/>
          <w:szCs w:val="28"/>
          <w:highlight w:val="none"/>
        </w:rPr>
        <w:t>固装订成册，不得相互混淆，文件自编目录并</w:t>
      </w:r>
      <w:r>
        <w:rPr>
          <w:rFonts w:hint="eastAsia" w:ascii="仿宋" w:hAnsi="仿宋" w:eastAsia="仿宋" w:cs="仿宋"/>
          <w:bCs/>
          <w:color w:val="auto"/>
          <w:sz w:val="28"/>
          <w:szCs w:val="28"/>
          <w:highlight w:val="none"/>
          <w:lang w:val="zh-CN"/>
        </w:rPr>
        <w:t>连续标注页码，不得将内容拆开。价格文件不得出现于其他磋商文件中。</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响应文件每一部分内容均须提供“一正、两副”纸质响应文件（技术标响应文件、电子标书除外），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1.3纸质响应文件须</w:t>
      </w:r>
      <w:r>
        <w:rPr>
          <w:rFonts w:hint="eastAsia" w:ascii="仿宋" w:hAnsi="仿宋" w:eastAsia="仿宋" w:cs="仿宋"/>
          <w:bCs/>
          <w:color w:val="auto"/>
          <w:sz w:val="28"/>
          <w:szCs w:val="28"/>
          <w:highlight w:val="none"/>
          <w:lang w:val="zh-CN"/>
        </w:rPr>
        <w:t>采用A4纸（</w:t>
      </w:r>
      <w:r>
        <w:rPr>
          <w:rFonts w:hint="eastAsia" w:ascii="仿宋" w:hAnsi="仿宋" w:eastAsia="仿宋" w:cs="仿宋"/>
          <w:bCs/>
          <w:color w:val="auto"/>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460" w:lineRule="exact"/>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Cs/>
          <w:color w:val="auto"/>
          <w:sz w:val="28"/>
          <w:szCs w:val="28"/>
          <w:highlight w:val="none"/>
        </w:rPr>
        <w:t>1.4</w:t>
      </w:r>
      <w:r>
        <w:rPr>
          <w:rFonts w:hint="eastAsia" w:ascii="仿宋" w:hAnsi="仿宋" w:eastAsia="仿宋" w:cs="仿宋"/>
          <w:b/>
          <w:color w:val="auto"/>
          <w:sz w:val="28"/>
          <w:szCs w:val="28"/>
          <w:highlight w:val="none"/>
        </w:rPr>
        <w:t>响应文件密封后，应在密封袋上标明响应文件项目名称、项目编号、文件名称（资格审查证明文件/商务技术响应文件/价格文件）、封袋处加盖单位公章。</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1.5递交时间：供应商须在规定的响应文件接收截止时间前送达指定地点。供应商提交磋商文件，即视为已响应参加政府采购活动。</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友情提醒：代理机构将拒绝接收未按照磋商文件要求密封的响应文件，拒绝接收在响应文件接收截止时间后递交的响应文件。</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2.响应文件截止日期</w:t>
      </w:r>
      <w:bookmarkEnd w:id="62"/>
      <w:bookmarkEnd w:id="63"/>
      <w:bookmarkEnd w:id="64"/>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 供应商提交响应文件的时间不得迟于磋商公告中规定的响应文件提交截止时间。</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供应商应充分考虑到交通路况、停车、疫情管控等风险因素，如因供应商自身原因造成的磋商响应文件提交不成功由供应商自行承担全部责任。</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bCs/>
          <w:color w:val="auto"/>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65" w:name="_Toc20823299"/>
      <w:bookmarkStart w:id="66" w:name="_Toc16938543"/>
      <w:bookmarkStart w:id="67" w:name="_Toc513029227"/>
      <w:r>
        <w:rPr>
          <w:rFonts w:hint="eastAsia" w:ascii="仿宋" w:hAnsi="仿宋" w:eastAsia="仿宋" w:cs="仿宋"/>
          <w:color w:val="auto"/>
          <w:kern w:val="0"/>
          <w:sz w:val="28"/>
          <w:szCs w:val="28"/>
          <w:highlight w:val="none"/>
        </w:rPr>
        <w:t>3.响应文件</w:t>
      </w:r>
      <w:bookmarkEnd w:id="65"/>
      <w:bookmarkEnd w:id="66"/>
      <w:bookmarkEnd w:id="67"/>
      <w:r>
        <w:rPr>
          <w:rFonts w:hint="eastAsia" w:ascii="仿宋" w:hAnsi="仿宋" w:eastAsia="仿宋" w:cs="仿宋"/>
          <w:color w:val="auto"/>
          <w:kern w:val="0"/>
          <w:sz w:val="28"/>
          <w:szCs w:val="28"/>
          <w:highlight w:val="none"/>
        </w:rPr>
        <w:t>的拒收</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 采购代理机构拒绝接收在其规定的响应文件提交截止时间后提交的任何响应文件。</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highlight w:val="none"/>
        </w:rPr>
      </w:pPr>
      <w:bookmarkStart w:id="68" w:name="_Toc20823300"/>
      <w:bookmarkStart w:id="69" w:name="_Toc513029228"/>
      <w:bookmarkStart w:id="70" w:name="_Toc16938544"/>
      <w:r>
        <w:rPr>
          <w:rFonts w:hint="eastAsia" w:ascii="仿宋" w:hAnsi="仿宋" w:eastAsia="仿宋" w:cs="仿宋"/>
          <w:color w:val="auto"/>
          <w:kern w:val="0"/>
          <w:sz w:val="28"/>
          <w:szCs w:val="28"/>
          <w:highlight w:val="none"/>
        </w:rPr>
        <w:t>4. 响应文件的撤回和修改</w:t>
      </w:r>
      <w:bookmarkEnd w:id="68"/>
      <w:bookmarkEnd w:id="69"/>
      <w:bookmarkEnd w:id="70"/>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响应文件的撤回</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4.1.1 响应文件的撤回</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供应商可在响应文件提交截止时间前，书面撤回其磋商响应文件。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4.1.2 供应商撤回磋商响应文件，则认为其不再参与本项目磋商活动。</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 响应文件的修改</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在响应文件提交截止时间之后，供应商不得再对其提交的响应文件进行修改。</w:t>
      </w:r>
    </w:p>
    <w:p>
      <w:pPr>
        <w:adjustRightInd w:val="0"/>
        <w:snapToGrid w:val="0"/>
        <w:spacing w:line="460" w:lineRule="exact"/>
        <w:ind w:firstLine="562" w:firstLineChars="200"/>
        <w:rPr>
          <w:rFonts w:hint="eastAsia" w:ascii="仿宋" w:hAnsi="仿宋" w:eastAsia="仿宋" w:cs="仿宋"/>
          <w:b/>
          <w:bCs/>
          <w:color w:val="auto"/>
          <w:sz w:val="28"/>
          <w:szCs w:val="28"/>
          <w:highlight w:val="none"/>
        </w:rPr>
      </w:pPr>
      <w:bookmarkStart w:id="71" w:name="_Toc20823301"/>
      <w:bookmarkStart w:id="72" w:name="_Toc16938545"/>
      <w:bookmarkStart w:id="73" w:name="_Toc120614218"/>
      <w:bookmarkStart w:id="74" w:name="_Toc513029229"/>
      <w:r>
        <w:rPr>
          <w:rFonts w:hint="eastAsia" w:ascii="仿宋" w:hAnsi="仿宋" w:eastAsia="仿宋" w:cs="仿宋"/>
          <w:b/>
          <w:bCs/>
          <w:color w:val="auto"/>
          <w:sz w:val="28"/>
          <w:szCs w:val="28"/>
          <w:highlight w:val="none"/>
        </w:rPr>
        <w:t>五</w:t>
      </w:r>
      <w:bookmarkEnd w:id="71"/>
      <w:bookmarkEnd w:id="72"/>
      <w:bookmarkEnd w:id="73"/>
      <w:bookmarkEnd w:id="74"/>
      <w:bookmarkStart w:id="75" w:name="_Toc513029230"/>
      <w:bookmarkStart w:id="76" w:name="_Toc16938546"/>
      <w:bookmarkStart w:id="77" w:name="_Toc20823302"/>
      <w:r>
        <w:rPr>
          <w:rFonts w:hint="eastAsia" w:ascii="仿宋" w:hAnsi="仿宋" w:eastAsia="仿宋" w:cs="仿宋"/>
          <w:b/>
          <w:bCs/>
          <w:color w:val="auto"/>
          <w:sz w:val="28"/>
          <w:szCs w:val="28"/>
          <w:highlight w:val="none"/>
        </w:rPr>
        <w:t>、磋商与评审</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1.磋商仪式</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1.1采购代理机构将在磋商公告中规定的时间和地点组织磋商开始仪式。供应商应当在磋商公告中规定的时间和地点参加磋商活动。</w:t>
      </w:r>
    </w:p>
    <w:p>
      <w:pPr>
        <w:adjustRightInd w:val="0"/>
        <w:snapToGrid w:val="0"/>
        <w:spacing w:line="4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1.2 磋商活动的文件密封性检查工作</w:t>
      </w:r>
      <w:r>
        <w:rPr>
          <w:rFonts w:hint="eastAsia" w:ascii="仿宋" w:hAnsi="仿宋" w:eastAsia="仿宋" w:cs="仿宋"/>
          <w:color w:val="auto"/>
          <w:sz w:val="28"/>
          <w:szCs w:val="28"/>
          <w:highlight w:val="none"/>
        </w:rPr>
        <w:t>由采购代理机构组织。</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1.3供应商在磋商过程中涉及到的磋商文件密封性检查、磋商结果确认等工作，按照采购代理机构指引进行。</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2.磋商小组</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2.1磋商开始仪式结束后，采购代理机构将立即组织磋商小组进行评审。</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2.3超过公开招标限额标准的项目，磋商小组应当由5人以上单数组成。</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2.5磋商小组独立工作，负责评审所有响应文件并确定成交候选人。</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磋商评审过程的保密与公正</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3.1磋商小组、采购人和采购代理机构工作人员、相关监督人员等与评审工作有关的人员，对评审情况以及在评审过程中获悉的国家秘密、商业秘密负有保密责任。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3.2在磋商评审过程中，磋商供应商不得以任何行为影响磋商评审过程，否则其响应文件将被作为无效响应文件。</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3.4</w:t>
      </w:r>
      <w:r>
        <w:rPr>
          <w:rFonts w:hint="eastAsia" w:ascii="仿宋" w:hAnsi="仿宋" w:eastAsia="仿宋" w:cs="仿宋"/>
          <w:bCs/>
          <w:color w:val="auto"/>
          <w:sz w:val="28"/>
          <w:szCs w:val="28"/>
          <w:highlight w:val="none"/>
        </w:rPr>
        <w:t>评审开始后，直至向成交供应商授予合同时止，凡是与审查、澄清、评价和比较响应的有关资料以及授标建议等，采购人、磋商小组、采购代理机构均不得向供应商或与评标无关的其他人员透露。</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3.5在评审期间，采购代理机构将设专门人员与供应商联系。</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3.6采购代理机构和评审小组不向未成交的供应商解释未成交原因，也不公布评审过程中的相关细节。</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4.评审过程的澄清</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4.1评审期间，为有助于对响应文件的审查、评价和比较，磋商小组有权要求响应人对其响应文件进行澄清，但并非对每个供应商都作澄清要求。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4.2接到磋商小组澄清要求的供应商应按磋商小组规定的时间和格式做出澄清，澄清的内容作为响应文件的补充部分，但实质性的内容不得做任何更改。</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4.3 接到磋商小组澄清要求的供应商如未按规定做出澄清，其风</w:t>
      </w:r>
      <w:r>
        <w:rPr>
          <w:rFonts w:hint="eastAsia" w:ascii="仿宋" w:hAnsi="仿宋" w:eastAsia="仿宋" w:cs="仿宋"/>
          <w:bCs/>
          <w:color w:val="auto"/>
          <w:sz w:val="28"/>
          <w:szCs w:val="28"/>
          <w:highlight w:val="none"/>
        </w:rPr>
        <w:t>险由供应商自行承担。</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5.对响应文件的初审</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5.1响应文件初审分为资格性审查和符合性审查。</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5.1.1资格性检查：依据法律法规和磋商文件的规定，由采购人对响应文件中的资格审查证明材料进行审查。</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5.1.3未通过资格审查或符合性审查的供应商人，采购代理机构将告知未通过资格审查或符合性审查的原因，并记录存档。</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5.3如果响应文件实质上没有响应磋商文件的要求，磋商小组将予以拒绝，供应商不得通过修改或撤销不合要求的偏离或保留而使其响应文件成为实质性响应的文件。</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5.4</w:t>
      </w:r>
      <w:r>
        <w:rPr>
          <w:rFonts w:hint="eastAsia" w:ascii="仿宋" w:hAnsi="仿宋" w:eastAsia="仿宋" w:cs="仿宋"/>
          <w:bCs/>
          <w:color w:val="auto"/>
          <w:sz w:val="28"/>
          <w:szCs w:val="28"/>
          <w:highlight w:val="none"/>
        </w:rPr>
        <w:t>磋商小组将对确定为实质性响应的文件进行进一步审核，看其是否有计算上或累加上的算术错误，修正错误的原则如下：</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（1）响应文件中</w:t>
      </w:r>
      <w:r>
        <w:rPr>
          <w:rFonts w:hint="eastAsia" w:ascii="仿宋" w:hAnsi="仿宋" w:eastAsia="仿宋" w:cs="仿宋"/>
          <w:color w:val="auto"/>
          <w:kern w:val="0"/>
          <w:sz w:val="28"/>
          <w:szCs w:val="28"/>
          <w:highlight w:val="none"/>
        </w:rPr>
        <w:t>报价总表</w:t>
      </w:r>
      <w:r>
        <w:rPr>
          <w:rFonts w:hint="eastAsia" w:ascii="仿宋" w:hAnsi="仿宋" w:eastAsia="仿宋" w:cs="仿宋"/>
          <w:bCs/>
          <w:color w:val="auto"/>
          <w:sz w:val="28"/>
          <w:szCs w:val="28"/>
          <w:highlight w:val="none"/>
        </w:rPr>
        <w:t>内容与响应文件中相应内容不一致的，以</w:t>
      </w:r>
      <w:r>
        <w:rPr>
          <w:rFonts w:hint="eastAsia" w:ascii="仿宋" w:hAnsi="仿宋" w:eastAsia="仿宋" w:cs="仿宋"/>
          <w:color w:val="auto"/>
          <w:kern w:val="0"/>
          <w:sz w:val="28"/>
          <w:szCs w:val="28"/>
          <w:highlight w:val="none"/>
        </w:rPr>
        <w:t>报价总表</w:t>
      </w:r>
      <w:r>
        <w:rPr>
          <w:rFonts w:hint="eastAsia" w:ascii="仿宋" w:hAnsi="仿宋" w:eastAsia="仿宋" w:cs="仿宋"/>
          <w:bCs/>
          <w:color w:val="auto"/>
          <w:sz w:val="28"/>
          <w:szCs w:val="28"/>
          <w:highlight w:val="none"/>
        </w:rPr>
        <w:t>为准。</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（2）大写金额和小写金额不一致的，以大写金额为准。</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（3）单价金额小数点或者百分比有明显错位的，以</w:t>
      </w:r>
      <w:r>
        <w:rPr>
          <w:rFonts w:hint="eastAsia" w:ascii="仿宋" w:hAnsi="仿宋" w:eastAsia="仿宋" w:cs="仿宋"/>
          <w:color w:val="auto"/>
          <w:kern w:val="0"/>
          <w:sz w:val="28"/>
          <w:szCs w:val="28"/>
          <w:highlight w:val="none"/>
        </w:rPr>
        <w:t>报价总表</w:t>
      </w:r>
      <w:r>
        <w:rPr>
          <w:rFonts w:hint="eastAsia" w:ascii="仿宋" w:hAnsi="仿宋" w:eastAsia="仿宋" w:cs="仿宋"/>
          <w:bCs/>
          <w:color w:val="auto"/>
          <w:sz w:val="28"/>
          <w:szCs w:val="28"/>
          <w:highlight w:val="none"/>
        </w:rPr>
        <w:t>的总价为准，并修改单价。</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（4）总价金额与按单价汇总金额不一致的，以单价金额计算结果为准。</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同时出现两种以上错误的，按照前款规定的顺序修正。</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Cs/>
          <w:color w:val="auto"/>
          <w:sz w:val="28"/>
          <w:szCs w:val="28"/>
          <w:highlight w:val="none"/>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5.6磋商小组将允许修正响应文件中不构成重大偏离的、微小的、非正规的、不一致的或不规则的地方，但这些修改不能影响任何供应商相应的名次排列。</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5.7</w:t>
      </w:r>
      <w:r>
        <w:rPr>
          <w:rFonts w:hint="eastAsia" w:ascii="仿宋" w:hAnsi="仿宋" w:eastAsia="仿宋" w:cs="仿宋"/>
          <w:color w:val="auto"/>
          <w:sz w:val="28"/>
          <w:szCs w:val="28"/>
          <w:highlight w:val="none"/>
        </w:rPr>
        <w:t>供应商在评审全过程中应保持通讯畅通，并安排专人与采购代理机构及磋商小组联系（适用于不见面磋商模式）。</w:t>
      </w:r>
    </w:p>
    <w:p>
      <w:pPr>
        <w:tabs>
          <w:tab w:val="left" w:pos="6555"/>
          <w:tab w:val="right" w:pos="8306"/>
        </w:tabs>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 被认定为未实质性响应磋商文件的响应文件的情形。</w:t>
      </w:r>
    </w:p>
    <w:bookmarkEnd w:id="75"/>
    <w:bookmarkEnd w:id="76"/>
    <w:bookmarkEnd w:id="77"/>
    <w:p>
      <w:pPr>
        <w:tabs>
          <w:tab w:val="left" w:pos="6555"/>
          <w:tab w:val="right" w:pos="8306"/>
        </w:tabs>
        <w:adjustRightInd w:val="0"/>
        <w:snapToGrid w:val="0"/>
        <w:spacing w:line="460" w:lineRule="exact"/>
        <w:ind w:firstLine="560" w:firstLineChars="200"/>
        <w:rPr>
          <w:rFonts w:hint="eastAsia" w:ascii="仿宋" w:hAnsi="仿宋" w:eastAsia="仿宋" w:cs="仿宋"/>
          <w:b/>
          <w:color w:val="auto"/>
          <w:sz w:val="28"/>
          <w:szCs w:val="28"/>
          <w:highlight w:val="none"/>
        </w:rPr>
      </w:pPr>
      <w:bookmarkStart w:id="78" w:name="_Toc120614219"/>
      <w:r>
        <w:rPr>
          <w:rFonts w:hint="eastAsia" w:ascii="仿宋" w:hAnsi="仿宋" w:eastAsia="仿宋" w:cs="仿宋"/>
          <w:bCs/>
          <w:color w:val="auto"/>
          <w:sz w:val="28"/>
          <w:szCs w:val="28"/>
          <w:highlight w:val="none"/>
        </w:rPr>
        <w:t>6.1出现下列情形之一的，作无效响应处理，</w:t>
      </w:r>
      <w:r>
        <w:rPr>
          <w:rFonts w:hint="eastAsia" w:ascii="仿宋" w:hAnsi="仿宋" w:eastAsia="仿宋" w:cs="仿宋"/>
          <w:color w:val="auto"/>
          <w:sz w:val="28"/>
          <w:szCs w:val="28"/>
          <w:highlight w:val="none"/>
        </w:rPr>
        <w:t>并视情报监管部门调查其相互串通投标嫌疑。</w:t>
      </w:r>
      <w:r>
        <w:rPr>
          <w:rFonts w:hint="eastAsia" w:ascii="仿宋" w:hAnsi="仿宋" w:eastAsia="仿宋" w:cs="仿宋"/>
          <w:bCs/>
          <w:color w:val="auto"/>
          <w:sz w:val="28"/>
          <w:szCs w:val="28"/>
          <w:highlight w:val="none"/>
        </w:rPr>
        <w:tab/>
      </w:r>
      <w:r>
        <w:rPr>
          <w:rFonts w:hint="eastAsia" w:ascii="仿宋" w:hAnsi="仿宋" w:eastAsia="仿宋" w:cs="仿宋"/>
          <w:b/>
          <w:color w:val="auto"/>
          <w:sz w:val="28"/>
          <w:szCs w:val="28"/>
          <w:highlight w:val="none"/>
        </w:rPr>
        <w:tab/>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6.1.1供应商在规定的时间内未成功提交磋商响应文件的。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6.1.2未完整提交响应文件的。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6.1.3同一供应商提交两个（含两个）以上不同的响应报价的。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6.1.4不具备磋商文件中规定的资格要求的。 </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6.1.5响应报价超过了采购预算或最高限价的。 </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6.1.6未通过符合性检查的。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6.1.7不符合法律、法规和磋商文件中规定的其他实质性要求的。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6.1.9 响应文件含有采购人不能接受的附加条件的。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6.1.12响应文件未按照采购文件要求盖章、密封的。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6.1.13投标供应商的商务技术部分得分相差悬殊，评标委员会认为得分畸低者没有实质性响应的。</w:t>
      </w:r>
    </w:p>
    <w:p>
      <w:pPr>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6.1.14</w:t>
      </w:r>
      <w:r>
        <w:rPr>
          <w:rFonts w:hint="eastAsia" w:ascii="仿宋" w:hAnsi="仿宋" w:eastAsia="仿宋" w:cs="仿宋"/>
          <w:color w:val="auto"/>
          <w:sz w:val="28"/>
          <w:szCs w:val="28"/>
          <w:highlight w:val="none"/>
        </w:rPr>
        <w:t>不同供应商的响应文件由同一单位或者个人编制的；不同投标供应商的磋商响应文件相互混装；</w:t>
      </w:r>
    </w:p>
    <w:p>
      <w:pPr>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6.1.15不同供应商委托同一单位或者个人办理磋商事宜；不同投标供应商的磋商响应文件错漏之处雷同；</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6.1.16不同供应商的响应文件载明的项目管理成员或者联系人员为同一人；</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6.1.17不同供应商的响应文件异常一致或者响应报价呈规律性差异。</w:t>
      </w:r>
    </w:p>
    <w:p>
      <w:pPr>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6.1.18 投标供应商之间相互约定，一致抬高或压低投标报价；</w:t>
      </w:r>
    </w:p>
    <w:p>
      <w:pPr>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6.1.19投标供应商之间相互约定，在招标项目中轮流以高价位或低价位中标；</w:t>
      </w:r>
    </w:p>
    <w:p>
      <w:pPr>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6.1.20不同投标供应商的施工组织设计方案基本雷同的；不同投标供应商的磋商响应文件出现了评标委员会认为不应当雷同的情况；</w:t>
      </w:r>
    </w:p>
    <w:p>
      <w:pPr>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6.1.21开标前已有举报，开标后发现各投标单位的报价情况与举报情况相吻合的；</w:t>
      </w:r>
    </w:p>
    <w:p>
      <w:pPr>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6.1.22磋商小组一致认定判为无效响应的；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6.1.23其他法律、法规及本磋商文件规定的属无效响应的情形。</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6.2</w:t>
      </w:r>
      <w:r>
        <w:rPr>
          <w:rFonts w:hint="eastAsia" w:ascii="仿宋" w:hAnsi="仿宋" w:eastAsia="仿宋" w:cs="仿宋"/>
          <w:color w:val="auto"/>
          <w:sz w:val="28"/>
          <w:szCs w:val="28"/>
          <w:highlight w:val="none"/>
        </w:rPr>
        <w:t xml:space="preserve">凡磋商响应文件有下列情形之一的，属于重大偏差，视同未能对招标文件作出实质性响应，按废标处理。 </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6.2.1法人授权委托书或投标函未加盖投标供应商单位公章或法定代表印鉴章的；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6.2.2未按招标文件规定的格式填写，内容不全或关键字迹模糊、无法辨认的； </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6.2.3投标供应商递交两份或多份内容不同的磋商响应文件，或在一份磋商响应文件中对同一招标项目报有两个或多个报价，且未声明哪一个有效（按招标文件规定提交备选投标方案的除外）；</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6.2.4磋商响应文件载明的项目完成期限超过采购文件规定的期限；</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6.2.5明显不符合技术规范、技术标准的要求，或者对采购文件质量要求未明确响应的；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6.2.6投标报价低于成本或者高于招标文件规定的最高限价（招标控制价）的；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6.2.7与采购文件规定的暂估价、暂列金额及甲供材料价格不一致的；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6.2.8与采购文件提供的工程量清单中的项目编码、项目名称、项目特征、计量单位、工程量不一致的；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6.2.9磋商响应文件载明的货物包装方式、检验标准和方法等不符合采购文件的要求；</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6.2.10不符合采购文件规定的质量标准、付款方式、工程验收、计量方式、结算方式、工期、工程款支付方式、违约责任、奖惩等实质性条款的；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6.2.11组成联合体投标的，磋商响应文件未附联合体各方共同投标协议的；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6.2.12在同一招标项目中，联合体成员以自己名义单独投标或者参加其他联合体投标的；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6.2.13采用暗标方式的技术标中，有不符合采购文件有关暗标要求的；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6.2.14未按采购文件要求提供磋商响应文件电子光盘（或U盘）或内容不全的；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6.2.15以他人的名义投标、串通投标、以行贿手段谋取中标或者以其他弄虚作假方式投标的；</w:t>
      </w:r>
    </w:p>
    <w:p>
      <w:pPr>
        <w:widowControl/>
        <w:spacing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6.2.16磋商响应文件的装订、密封和标记不符合采购文件要求的；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6.3出现下列情形之一的，磋商失败。</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6.3.1符合条件的供应商或者对磋商文件作实质响应的供应商不足3家的（市场竞争不充分的科研项目，以及需要扶持的科技成果转化项目可以是2家）；</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6.3.2出现影响采购公正的违法违规行为的；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6.3.3因重大变故，采购任务取消的。</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6.3.4磋商小组认定磋商文件存在歧义、重大缺陷导致评审工作无法进行。</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6.3.5 因系统故障原因造成磋商无法继续进行的</w:t>
      </w:r>
      <w:r>
        <w:rPr>
          <w:rFonts w:hint="eastAsia" w:ascii="仿宋" w:hAnsi="仿宋" w:eastAsia="仿宋" w:cs="仿宋"/>
          <w:color w:val="auto"/>
          <w:sz w:val="28"/>
          <w:szCs w:val="28"/>
          <w:highlight w:val="none"/>
        </w:rPr>
        <w:t>（适用于不见面磋商模式）</w:t>
      </w:r>
      <w:r>
        <w:rPr>
          <w:rFonts w:hint="eastAsia" w:ascii="仿宋" w:hAnsi="仿宋" w:eastAsia="仿宋" w:cs="仿宋"/>
          <w:bCs/>
          <w:color w:val="auto"/>
          <w:sz w:val="28"/>
          <w:szCs w:val="28"/>
          <w:highlight w:val="none"/>
        </w:rPr>
        <w:t>。</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6.4 响应</w:t>
      </w:r>
      <w:r>
        <w:rPr>
          <w:rFonts w:hint="eastAsia" w:ascii="仿宋" w:hAnsi="仿宋" w:eastAsia="仿宋" w:cs="仿宋"/>
          <w:color w:val="auto"/>
          <w:sz w:val="28"/>
          <w:szCs w:val="28"/>
          <w:highlight w:val="none"/>
        </w:rPr>
        <w:t>文件提交</w:t>
      </w:r>
      <w:r>
        <w:rPr>
          <w:rFonts w:hint="eastAsia" w:ascii="仿宋" w:hAnsi="仿宋" w:eastAsia="仿宋" w:cs="仿宋"/>
          <w:bCs/>
          <w:color w:val="auto"/>
          <w:sz w:val="28"/>
          <w:szCs w:val="28"/>
          <w:highlight w:val="none"/>
        </w:rPr>
        <w:t>截止时间结束后参加磋商的供应商不足三家的处理：</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6.4.1如出现响应</w:t>
      </w:r>
      <w:r>
        <w:rPr>
          <w:rFonts w:hint="eastAsia" w:ascii="仿宋" w:hAnsi="仿宋" w:eastAsia="仿宋" w:cs="仿宋"/>
          <w:color w:val="auto"/>
          <w:sz w:val="28"/>
          <w:szCs w:val="28"/>
          <w:highlight w:val="none"/>
        </w:rPr>
        <w:t>文件提交</w:t>
      </w:r>
      <w:r>
        <w:rPr>
          <w:rFonts w:hint="eastAsia" w:ascii="仿宋" w:hAnsi="仿宋" w:eastAsia="仿宋" w:cs="仿宋"/>
          <w:bCs/>
          <w:color w:val="auto"/>
          <w:sz w:val="28"/>
          <w:szCs w:val="28"/>
          <w:highlight w:val="none"/>
        </w:rPr>
        <w:t>截止时间结束后参加磋商的供应商或者在评审期间对磋商文件做出实质响应的供应商不足三家情况，按政府采购相关规定执行。</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（六）</w:t>
      </w:r>
      <w:bookmarkEnd w:id="78"/>
      <w:r>
        <w:rPr>
          <w:rFonts w:hint="eastAsia" w:ascii="仿宋" w:hAnsi="仿宋" w:eastAsia="仿宋" w:cs="仿宋"/>
          <w:b/>
          <w:bCs/>
          <w:color w:val="auto"/>
          <w:kern w:val="0"/>
          <w:sz w:val="28"/>
          <w:szCs w:val="28"/>
          <w:highlight w:val="none"/>
        </w:rPr>
        <w:t>成交</w:t>
      </w:r>
    </w:p>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highlight w:val="none"/>
        </w:rPr>
      </w:pPr>
      <w:bookmarkStart w:id="79" w:name="_Toc20823310"/>
      <w:bookmarkStart w:id="80" w:name="_Toc16938554"/>
      <w:r>
        <w:rPr>
          <w:rFonts w:hint="eastAsia" w:ascii="仿宋" w:hAnsi="仿宋" w:eastAsia="仿宋" w:cs="仿宋"/>
          <w:color w:val="auto"/>
          <w:kern w:val="0"/>
          <w:sz w:val="28"/>
          <w:szCs w:val="28"/>
          <w:highlight w:val="none"/>
        </w:rPr>
        <w:t>1.确定</w:t>
      </w:r>
      <w:bookmarkEnd w:id="79"/>
      <w:bookmarkEnd w:id="80"/>
      <w:r>
        <w:rPr>
          <w:rFonts w:hint="eastAsia" w:ascii="仿宋" w:hAnsi="仿宋" w:eastAsia="仿宋" w:cs="仿宋"/>
          <w:color w:val="auto"/>
          <w:kern w:val="0"/>
          <w:sz w:val="28"/>
          <w:szCs w:val="28"/>
          <w:highlight w:val="none"/>
        </w:rPr>
        <w:t>成交单位</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1.1成交候选供应商的选取原则和数量见磋商文件第四部分规定。 </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采购人授权磋商小组在成交候选供应商中直接确定成交供应商。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1.3 </w:t>
      </w:r>
      <w:r>
        <w:rPr>
          <w:rFonts w:hint="eastAsia" w:ascii="仿宋" w:hAnsi="仿宋" w:eastAsia="仿宋" w:cs="仿宋"/>
          <w:color w:val="auto"/>
          <w:sz w:val="28"/>
          <w:szCs w:val="28"/>
          <w:highlight w:val="none"/>
        </w:rPr>
        <w:t>采购代理机构将在“江苏省政府采购网”发布成交结果公告，公告期限为1个工作日。</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1.4若有充分证据证明，成交供应商出现下列情况之一的，一经查实，将被取消成交资格：</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1.4.1提供虚假材料谋取成交的。</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1.4.2向采购人、采购代理机构行贿或者评审专家提供其他不正当利益的。</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1.4.3恶意竞争，最终总报价明显低于其自身合理成本且又无法提供证明的。</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1.4.4属于本文件规定的无效条件，但在评审过程中又未被磋商小组发现的。</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1.4.5与采购人或者其他供应商恶意串通的。</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1.4.6采取不正当手段诋毁、排挤其他供应商的。</w:t>
      </w:r>
    </w:p>
    <w:p>
      <w:pPr>
        <w:adjustRightInd w:val="0"/>
        <w:snapToGrid w:val="0"/>
        <w:spacing w:line="460" w:lineRule="exact"/>
        <w:ind w:firstLine="560" w:firstLineChars="200"/>
        <w:rPr>
          <w:rFonts w:hint="eastAsia" w:ascii="仿宋" w:hAnsi="仿宋" w:eastAsia="仿宋" w:cs="仿宋"/>
          <w:color w:val="auto"/>
          <w:sz w:val="28"/>
          <w:szCs w:val="28"/>
          <w:highlight w:val="none"/>
        </w:rPr>
      </w:pPr>
      <w:bookmarkStart w:id="81" w:name="_Toc200451960"/>
      <w:r>
        <w:rPr>
          <w:rFonts w:hint="eastAsia" w:ascii="仿宋" w:hAnsi="仿宋" w:eastAsia="仿宋" w:cs="仿宋"/>
          <w:color w:val="auto"/>
          <w:sz w:val="28"/>
          <w:szCs w:val="28"/>
          <w:highlight w:val="none"/>
        </w:rPr>
        <w:t>1.5.</w:t>
      </w:r>
      <w:r>
        <w:rPr>
          <w:rFonts w:hint="eastAsia" w:ascii="仿宋" w:hAnsi="仿宋" w:eastAsia="仿宋" w:cs="仿宋"/>
          <w:color w:val="auto"/>
          <w:kern w:val="0"/>
          <w:sz w:val="28"/>
          <w:szCs w:val="28"/>
          <w:highlight w:val="none"/>
        </w:rPr>
        <w:t>有下列情形之一的，视为供应商串通参与磋商，响应无效：</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1.5.1不同供应商的响应文件由同一单位或者个人编制；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1.5.2不同供应商委托同一单位或者个人办理磋商事宜；</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1.5.3不同供应商的响应文件载明的项目管理成员或者联系人员为同一人；</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1.5.4不同供应商的响应文件异常一致或者响应报价呈规律性差异。</w:t>
      </w:r>
    </w:p>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2.质疑处理</w:t>
      </w:r>
      <w:bookmarkEnd w:id="81"/>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提出质疑的供应商应当是参与所质疑项目采购活动的供应商。潜在供应商依法获取其可质疑的磋商文件的，可以对磋商文件提出质疑。</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2.2.1</w:t>
      </w:r>
      <w:r>
        <w:rPr>
          <w:rFonts w:hint="eastAsia" w:ascii="仿宋" w:hAnsi="仿宋" w:eastAsia="仿宋" w:cs="仿宋"/>
          <w:color w:val="auto"/>
          <w:kern w:val="0"/>
          <w:sz w:val="28"/>
          <w:szCs w:val="28"/>
          <w:highlight w:val="none"/>
        </w:rPr>
        <w:t>对可以质疑的磋商文件提出质疑的，为收到磋商文件之日或者磋商文件公告期限届满之日；</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2.2.2</w:t>
      </w:r>
      <w:r>
        <w:rPr>
          <w:rFonts w:hint="eastAsia" w:ascii="仿宋" w:hAnsi="仿宋" w:eastAsia="仿宋" w:cs="仿宋"/>
          <w:color w:val="auto"/>
          <w:kern w:val="0"/>
          <w:sz w:val="28"/>
          <w:szCs w:val="28"/>
          <w:highlight w:val="none"/>
        </w:rPr>
        <w:t>对采购过程提出质疑的，为各采购程序环节结束之日；</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2.2.3</w:t>
      </w:r>
      <w:r>
        <w:rPr>
          <w:rFonts w:hint="eastAsia" w:ascii="仿宋" w:hAnsi="仿宋" w:eastAsia="仿宋" w:cs="仿宋"/>
          <w:color w:val="auto"/>
          <w:kern w:val="0"/>
          <w:sz w:val="28"/>
          <w:szCs w:val="28"/>
          <w:highlight w:val="none"/>
        </w:rPr>
        <w:t>对成交结果提出质疑的，为成交结果公告期限届满之日。</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4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磋商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供应商提起质疑采取书面形式，现场送达。</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质疑受理联系地址：南通市崇川路58号南通产业技术研究院9号楼10楼1004，联系电话：0513-55887688。</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采购人质疑接收人及联系方式，见磋商文件第一部分。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 内容不符合《政府采购质疑和投诉办法》第十二条规定的质疑。</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 超出政府采购法定期限的质疑。</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2.5.3 未参加磋商活动的供应商或在磋商活动中自身权益未受到损害的供应商所提出的质疑。</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2.5.4供应商组成联合体参加磋商，联合体中任何一方或多方未按要求签字、盖章、加盖公章的质疑。</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3．成交通知书</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3.l</w:t>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highlight w:val="none"/>
        </w:rPr>
      </w:pPr>
      <w:bookmarkStart w:id="82" w:name="_Toc120614220"/>
      <w:bookmarkStart w:id="83" w:name="_Toc16938552"/>
      <w:bookmarkStart w:id="84" w:name="_Toc20823308"/>
      <w:bookmarkStart w:id="85" w:name="_Toc513029236"/>
      <w:r>
        <w:rPr>
          <w:rFonts w:hint="eastAsia" w:ascii="仿宋" w:hAnsi="仿宋" w:eastAsia="仿宋" w:cs="仿宋"/>
          <w:b/>
          <w:bCs/>
          <w:color w:val="auto"/>
          <w:kern w:val="0"/>
          <w:sz w:val="28"/>
          <w:szCs w:val="28"/>
          <w:highlight w:val="none"/>
        </w:rPr>
        <w:t>（七）授予合同</w:t>
      </w:r>
      <w:bookmarkEnd w:id="82"/>
    </w:p>
    <w:bookmarkEnd w:id="83"/>
    <w:bookmarkEnd w:id="84"/>
    <w:bookmarkEnd w:id="85"/>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highlight w:val="none"/>
        </w:rPr>
      </w:pPr>
      <w:bookmarkStart w:id="86" w:name="_Toc20823309"/>
      <w:bookmarkStart w:id="87" w:name="_Toc513029237"/>
      <w:bookmarkStart w:id="88" w:name="_Toc16938553"/>
      <w:r>
        <w:rPr>
          <w:rFonts w:hint="eastAsia" w:ascii="仿宋" w:hAnsi="仿宋" w:eastAsia="仿宋" w:cs="仿宋"/>
          <w:color w:val="auto"/>
          <w:kern w:val="0"/>
          <w:sz w:val="28"/>
          <w:szCs w:val="28"/>
          <w:highlight w:val="none"/>
        </w:rPr>
        <w:t>1.签订合同</w:t>
      </w:r>
    </w:p>
    <w:p>
      <w:pPr>
        <w:adjustRightInd w:val="0"/>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color w:val="auto"/>
          <w:sz w:val="28"/>
          <w:szCs w:val="28"/>
          <w:highlight w:val="none"/>
        </w:rPr>
        <w:t>.l成交供应商应当在成交通知书发出之日起三十日内（在新冠疫情防控期间为十五日内），按照磋商文件确定的事项与采购人签订政府采购合同。</w:t>
      </w:r>
    </w:p>
    <w:p>
      <w:pPr>
        <w:adjustRightInd w:val="0"/>
        <w:snapToGrid w:val="0"/>
        <w:spacing w:line="460" w:lineRule="exact"/>
        <w:ind w:firstLine="420" w:firstLineChars="15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签订合同时需做好提交各类声明函、承诺函、业绩证明、资质、职称证书等相应原件的核查准备；核查后发现虚假或违背承诺的，依照相关法律法规规定处理。</w:t>
      </w:r>
    </w:p>
    <w:p>
      <w:pPr>
        <w:adjustRightInd w:val="0"/>
        <w:snapToGrid w:val="0"/>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采购文件凡是带★项内容均为实质性条款（下同），投标供应商必须响应。</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1.2磋商文件、成交供应商的响应文件及磋商过程中有关澄清、承诺文件均应作为合同附件。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2.货物和服务的追加、减少和添购。</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3.附件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3.1合同样本</w:t>
      </w:r>
    </w:p>
    <w:p>
      <w:pPr>
        <w:pStyle w:val="12"/>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p>
      <w:pPr>
        <w:pStyle w:val="14"/>
        <w:rPr>
          <w:rFonts w:hint="eastAsia" w:ascii="仿宋" w:hAnsi="仿宋" w:eastAsia="仿宋" w:cs="仿宋"/>
          <w:color w:val="auto"/>
          <w:highlight w:val="none"/>
        </w:rPr>
      </w:pPr>
    </w:p>
    <w:p>
      <w:pPr>
        <w:rPr>
          <w:rFonts w:hint="eastAsia" w:ascii="仿宋" w:hAnsi="仿宋" w:eastAsia="仿宋" w:cs="仿宋"/>
          <w:color w:val="auto"/>
          <w:highlight w:val="none"/>
        </w:rPr>
      </w:pPr>
    </w:p>
    <w:bookmarkEnd w:id="86"/>
    <w:bookmarkEnd w:id="87"/>
    <w:bookmarkEnd w:id="88"/>
    <w:p>
      <w:pPr>
        <w:keepNext/>
        <w:keepLines/>
        <w:spacing w:line="440" w:lineRule="exact"/>
        <w:outlineLvl w:val="2"/>
        <w:rPr>
          <w:rFonts w:hint="eastAsia" w:ascii="宋体" w:hAnsi="宋体"/>
          <w:b/>
          <w:bCs/>
          <w:color w:val="auto"/>
          <w:sz w:val="24"/>
          <w:highlight w:val="none"/>
        </w:rPr>
      </w:pPr>
      <w:r>
        <w:rPr>
          <w:rFonts w:hint="eastAsia" w:ascii="仿宋" w:hAnsi="仿宋" w:eastAsia="仿宋" w:cs="仿宋"/>
          <w:b/>
          <w:bCs/>
          <w:color w:val="auto"/>
          <w:spacing w:val="60"/>
          <w:sz w:val="32"/>
          <w:szCs w:val="32"/>
          <w:highlight w:val="none"/>
        </w:rPr>
        <w:br w:type="page"/>
      </w:r>
      <w:r>
        <w:rPr>
          <w:rFonts w:hint="eastAsia" w:ascii="宋体" w:hAnsi="宋体"/>
          <w:b/>
          <w:bCs/>
          <w:color w:val="auto"/>
          <w:sz w:val="24"/>
          <w:highlight w:val="none"/>
        </w:rPr>
        <w:t>附件1</w:t>
      </w:r>
    </w:p>
    <w:p>
      <w:pPr>
        <w:keepNext/>
        <w:keepLines/>
        <w:spacing w:line="440" w:lineRule="exact"/>
        <w:jc w:val="center"/>
        <w:outlineLvl w:val="2"/>
        <w:rPr>
          <w:rFonts w:hint="eastAsia" w:ascii="仿宋" w:hAnsi="仿宋" w:eastAsia="仿宋" w:cs="仿宋"/>
          <w:bCs/>
          <w:color w:val="auto"/>
          <w:sz w:val="24"/>
          <w:highlight w:val="none"/>
        </w:rPr>
      </w:pPr>
      <w:r>
        <w:rPr>
          <w:rFonts w:hint="eastAsia" w:ascii="仿宋" w:hAnsi="仿宋" w:eastAsia="仿宋" w:cs="仿宋"/>
          <w:b/>
          <w:bCs/>
          <w:color w:val="auto"/>
          <w:sz w:val="32"/>
          <w:szCs w:val="32"/>
          <w:highlight w:val="none"/>
        </w:rPr>
        <w:t>合同协议书</w:t>
      </w:r>
    </w:p>
    <w:p>
      <w:pPr>
        <w:spacing w:line="44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发包人（全称）：江苏省南通卫生高等职业技术学校</w:t>
      </w:r>
    </w:p>
    <w:p>
      <w:pPr>
        <w:spacing w:line="44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承包人（全称）：</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根据《中华人民共和国民法典》、《中华人民共和国建筑法》及有关法律规定，遵循平等、自愿、公平和诚实信用的原则，双方就施工及有关事项协商一致，共同达成如下协议：  </w:t>
      </w:r>
    </w:p>
    <w:p>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一、工程概况</w:t>
      </w:r>
    </w:p>
    <w:p>
      <w:pPr>
        <w:spacing w:line="440" w:lineRule="exact"/>
        <w:ind w:firstLine="470" w:firstLineChars="196"/>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p>
    <w:p>
      <w:pPr>
        <w:spacing w:line="44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rPr>
        <w:t>。</w:t>
      </w:r>
    </w:p>
    <w:p>
      <w:pPr>
        <w:spacing w:line="44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p>
    <w:p>
      <w:pPr>
        <w:spacing w:line="44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b/>
          <w:bCs/>
          <w:color w:val="auto"/>
          <w:sz w:val="24"/>
          <w:highlight w:val="none"/>
          <w:u w:val="single"/>
        </w:rPr>
        <w:t>自筹</w:t>
      </w:r>
      <w:r>
        <w:rPr>
          <w:rFonts w:hint="eastAsia" w:ascii="仿宋" w:hAnsi="仿宋" w:eastAsia="仿宋" w:cs="仿宋"/>
          <w:bCs/>
          <w:color w:val="auto"/>
          <w:sz w:val="24"/>
          <w:highlight w:val="none"/>
        </w:rPr>
        <w:t>。</w:t>
      </w:r>
    </w:p>
    <w:p>
      <w:pPr>
        <w:spacing w:line="440" w:lineRule="exact"/>
        <w:ind w:firstLine="48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5.工程内容：</w:t>
      </w:r>
      <w:r>
        <w:rPr>
          <w:rFonts w:hint="eastAsia" w:ascii="仿宋" w:hAnsi="仿宋" w:eastAsia="仿宋" w:cs="仿宋"/>
          <w:b/>
          <w:bCs/>
          <w:color w:val="auto"/>
          <w:sz w:val="24"/>
          <w:highlight w:val="none"/>
          <w:u w:val="single"/>
        </w:rPr>
        <w:t xml:space="preserve">                              。</w:t>
      </w:r>
    </w:p>
    <w:p>
      <w:pPr>
        <w:spacing w:line="440" w:lineRule="exact"/>
        <w:ind w:firstLine="480"/>
        <w:rPr>
          <w:rFonts w:hint="eastAsia" w:ascii="仿宋" w:hAnsi="仿宋" w:eastAsia="仿宋" w:cs="仿宋"/>
          <w:bCs/>
          <w:color w:val="auto"/>
          <w:sz w:val="24"/>
          <w:highlight w:val="none"/>
        </w:rPr>
      </w:pPr>
      <w:r>
        <w:rPr>
          <w:rFonts w:hint="eastAsia" w:ascii="仿宋" w:hAnsi="仿宋" w:eastAsia="仿宋" w:cs="仿宋"/>
          <w:color w:val="auto"/>
          <w:sz w:val="24"/>
          <w:highlight w:val="none"/>
        </w:rPr>
        <w:t>群体工程应附《承包人承揽工程项目一览表》（附件1）。</w:t>
      </w:r>
    </w:p>
    <w:p>
      <w:pPr>
        <w:spacing w:line="44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6.工程承包范围：</w:t>
      </w:r>
      <w:r>
        <w:rPr>
          <w:rFonts w:hint="eastAsia" w:ascii="仿宋" w:hAnsi="仿宋" w:eastAsia="仿宋" w:cs="仿宋"/>
          <w:b/>
          <w:bCs/>
          <w:color w:val="auto"/>
          <w:sz w:val="24"/>
          <w:highlight w:val="none"/>
          <w:u w:val="single"/>
        </w:rPr>
        <w:t xml:space="preserve">包工包料 </w:t>
      </w:r>
      <w:r>
        <w:rPr>
          <w:rFonts w:hint="eastAsia" w:ascii="仿宋" w:hAnsi="仿宋" w:eastAsia="仿宋" w:cs="仿宋"/>
          <w:b/>
          <w:bCs/>
          <w:color w:val="auto"/>
          <w:sz w:val="24"/>
          <w:highlight w:val="none"/>
        </w:rPr>
        <w:t>。</w:t>
      </w:r>
    </w:p>
    <w:p>
      <w:pPr>
        <w:keepNext/>
        <w:spacing w:line="440" w:lineRule="exact"/>
        <w:ind w:firstLine="600" w:firstLineChars="250"/>
        <w:outlineLvl w:val="3"/>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二、合同工期</w:t>
      </w:r>
    </w:p>
    <w:p>
      <w:pPr>
        <w:spacing w:line="440" w:lineRule="exact"/>
        <w:ind w:firstLine="459"/>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2022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月   日。</w:t>
      </w:r>
    </w:p>
    <w:p>
      <w:pPr>
        <w:spacing w:line="440" w:lineRule="exact"/>
        <w:ind w:firstLine="459"/>
        <w:rPr>
          <w:rFonts w:hint="eastAsia" w:ascii="仿宋" w:hAnsi="仿宋" w:eastAsia="仿宋" w:cs="仿宋"/>
          <w:color w:val="auto"/>
          <w:sz w:val="24"/>
          <w:highlight w:val="non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2022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11</w:t>
      </w:r>
      <w:r>
        <w:rPr>
          <w:rFonts w:hint="eastAsia" w:ascii="仿宋" w:hAnsi="仿宋" w:eastAsia="仿宋" w:cs="仿宋"/>
          <w:color w:val="auto"/>
          <w:sz w:val="24"/>
          <w:highlight w:val="none"/>
        </w:rPr>
        <w:t>月    日。</w:t>
      </w:r>
    </w:p>
    <w:p>
      <w:pPr>
        <w:spacing w:line="440" w:lineRule="exact"/>
        <w:ind w:firstLine="459"/>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工期总日历天数：30日历天。工期总日历天数与根据前述计划开竣工日期计算的工期天数不一致的，以工期总日历天数为准。开工日期以发包人签发的书面开工通知为准。。</w:t>
      </w:r>
    </w:p>
    <w:p>
      <w:pPr>
        <w:keepNext/>
        <w:spacing w:line="440" w:lineRule="exact"/>
        <w:ind w:firstLine="600" w:firstLineChars="25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三、质量标准</w:t>
      </w:r>
    </w:p>
    <w:p>
      <w:pPr>
        <w:spacing w:line="440" w:lineRule="exact"/>
        <w:ind w:firstLine="459"/>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工程质量符合标准。</w:t>
      </w:r>
    </w:p>
    <w:p>
      <w:pPr>
        <w:keepNext/>
        <w:spacing w:line="440" w:lineRule="exact"/>
        <w:ind w:firstLine="600" w:firstLineChars="25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四、签约合同价与合同价格形式</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pPr>
        <w:spacing w:line="44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     (¥元)；</w:t>
      </w:r>
    </w:p>
    <w:p>
      <w:pPr>
        <w:numPr>
          <w:ilvl w:val="0"/>
          <w:numId w:val="1"/>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合同价格形式：</w:t>
      </w:r>
      <w:r>
        <w:rPr>
          <w:rFonts w:hint="eastAsia" w:ascii="仿宋" w:hAnsi="仿宋" w:eastAsia="仿宋" w:cs="仿宋"/>
          <w:b/>
          <w:color w:val="auto"/>
          <w:sz w:val="24"/>
          <w:highlight w:val="none"/>
          <w:u w:val="single"/>
        </w:rPr>
        <w:t>固定单价合同</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签订时签约合同价按中标价签约。</w:t>
      </w:r>
      <w:r>
        <w:rPr>
          <w:rFonts w:hint="eastAsia" w:ascii="仿宋" w:hAnsi="仿宋" w:eastAsia="仿宋" w:cs="仿宋"/>
          <w:color w:val="auto"/>
          <w:sz w:val="24"/>
          <w:highlight w:val="none"/>
        </w:rPr>
        <w:t>施工建安工程费待工程竣工合格后由承包人按招标文件约定结算编制依据编制施工建安工程结算价，结算价经招标人确认后报审计单位审核，如最终审定的施工建安工程费超过本项目施工建安工程费用中标价的，则按中标价进行结算。如最终审定的施工建安工程费未超过施工建安工程费用中标价的，则按审定的施工建安工程费进行结算。</w:t>
      </w:r>
    </w:p>
    <w:p>
      <w:pPr>
        <w:keepNext/>
        <w:keepLines/>
        <w:spacing w:line="440" w:lineRule="exact"/>
        <w:ind w:firstLine="480" w:firstLineChars="200"/>
        <w:outlineLvl w:val="3"/>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五、项目经理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承包人项目经理：           。</w:t>
      </w:r>
    </w:p>
    <w:p>
      <w:pPr>
        <w:keepNext/>
        <w:keepLines/>
        <w:spacing w:line="440" w:lineRule="exact"/>
        <w:ind w:firstLine="480" w:firstLineChars="20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六、合同文件构成</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（1）本合同协议书及承诺书；</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（2）中标通知书；</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（3）投标函及其附录；</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（4）本合同专用条款；</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（5）本合同通用条款；</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（6）标准、规范及有关技术资料；</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（7）图纸；</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（8）已标价工程量清单或预算书；</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（9）招标文件及其附件；</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（10）工程报价单或预算书。</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autoSpaceDE w:val="0"/>
        <w:autoSpaceDN w:val="0"/>
        <w:adjustRightIn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80" w:firstLineChars="200"/>
        <w:outlineLvl w:val="3"/>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七、承诺</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pPr>
        <w:spacing w:line="440" w:lineRule="exac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 xml:space="preserve">    八、词语含义</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pPr>
        <w:keepNext/>
        <w:keepLines/>
        <w:spacing w:line="440" w:lineRule="exact"/>
        <w:ind w:firstLine="480" w:firstLineChars="20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九、签订时间</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本合同于年月日签订。</w:t>
      </w:r>
    </w:p>
    <w:p>
      <w:pPr>
        <w:keepNext/>
        <w:keepLines/>
        <w:spacing w:line="440" w:lineRule="exact"/>
        <w:ind w:firstLine="480" w:firstLineChars="20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十、签订地点</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本合同在签订。</w:t>
      </w:r>
    </w:p>
    <w:p>
      <w:pPr>
        <w:keepNext/>
        <w:keepLines/>
        <w:spacing w:line="440" w:lineRule="exact"/>
        <w:ind w:firstLine="480" w:firstLineChars="20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十一、补充协议</w:t>
      </w:r>
    </w:p>
    <w:p>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pPr>
        <w:keepNext/>
        <w:keepLines/>
        <w:spacing w:line="440" w:lineRule="exact"/>
        <w:ind w:firstLine="480" w:firstLineChars="20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十二、合同生效</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
          <w:bCs/>
          <w:color w:val="auto"/>
          <w:sz w:val="24"/>
          <w:highlight w:val="none"/>
          <w:u w:val="single"/>
        </w:rPr>
        <w:t xml:space="preserve"> 双方签字盖章后</w:t>
      </w:r>
      <w:r>
        <w:rPr>
          <w:rFonts w:hint="eastAsia" w:ascii="仿宋" w:hAnsi="仿宋" w:eastAsia="仿宋" w:cs="仿宋"/>
          <w:bCs/>
          <w:color w:val="auto"/>
          <w:sz w:val="24"/>
          <w:highlight w:val="none"/>
        </w:rPr>
        <w:t>生效。</w:t>
      </w:r>
    </w:p>
    <w:p>
      <w:pPr>
        <w:keepNext/>
        <w:keepLines/>
        <w:spacing w:line="440" w:lineRule="exact"/>
        <w:ind w:firstLine="480" w:firstLineChars="200"/>
        <w:outlineLvl w:val="3"/>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十三、合同份数</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本合同壹式</w:t>
      </w:r>
      <w:r>
        <w:rPr>
          <w:rFonts w:hint="eastAsia" w:ascii="仿宋" w:hAnsi="仿宋" w:eastAsia="仿宋" w:cs="仿宋"/>
          <w:bCs/>
          <w:color w:val="auto"/>
          <w:sz w:val="24"/>
          <w:highlight w:val="none"/>
          <w:u w:val="single"/>
        </w:rPr>
        <w:t>陆</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叁</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叁</w:t>
      </w:r>
      <w:r>
        <w:rPr>
          <w:rFonts w:hint="eastAsia" w:ascii="仿宋" w:hAnsi="仿宋" w:eastAsia="仿宋" w:cs="仿宋"/>
          <w:bCs/>
          <w:color w:val="auto"/>
          <w:sz w:val="24"/>
          <w:highlight w:val="none"/>
        </w:rPr>
        <w:t>份。</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pPr>
        <w:spacing w:line="440" w:lineRule="exact"/>
        <w:rPr>
          <w:rFonts w:hint="eastAsia" w:ascii="仿宋" w:hAnsi="仿宋" w:eastAsia="仿宋" w:cs="仿宋"/>
          <w:color w:val="auto"/>
          <w:sz w:val="24"/>
          <w:highlight w:val="none"/>
          <w:u w:val="singl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pPr>
        <w:tabs>
          <w:tab w:val="left" w:pos="4410"/>
        </w:tabs>
        <w:spacing w:line="440" w:lineRule="exact"/>
        <w:rPr>
          <w:rFonts w:hint="eastAsia" w:ascii="仿宋" w:hAnsi="仿宋" w:eastAsia="仿宋" w:cs="仿宋"/>
          <w:color w:val="auto"/>
          <w:sz w:val="24"/>
          <w:highlight w:val="none"/>
        </w:rPr>
      </w:pPr>
    </w:p>
    <w:p>
      <w:pPr>
        <w:tabs>
          <w:tab w:val="left" w:pos="441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组织机构代码：                      组织机构代码：      </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地  址：</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                      委托代理人：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传  真：</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                       电子信箱：</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                          账  号：</w:t>
      </w:r>
    </w:p>
    <w:p>
      <w:pPr>
        <w:keepNext/>
        <w:keepLines/>
        <w:spacing w:line="440" w:lineRule="exact"/>
        <w:jc w:val="center"/>
        <w:outlineLvl w:val="2"/>
        <w:rPr>
          <w:rFonts w:hint="eastAsia" w:ascii="仿宋" w:hAnsi="仿宋" w:eastAsia="仿宋" w:cs="仿宋"/>
          <w:b/>
          <w:bCs/>
          <w:color w:val="auto"/>
          <w:sz w:val="24"/>
          <w:highlight w:val="none"/>
        </w:rPr>
      </w:pPr>
    </w:p>
    <w:p>
      <w:pPr>
        <w:keepNext/>
        <w:keepLines/>
        <w:spacing w:line="440" w:lineRule="exact"/>
        <w:jc w:val="center"/>
        <w:outlineLvl w:val="2"/>
        <w:rPr>
          <w:rFonts w:hint="eastAsia" w:ascii="仿宋" w:hAnsi="仿宋" w:eastAsia="仿宋" w:cs="仿宋"/>
          <w:b/>
          <w:bCs/>
          <w:color w:val="auto"/>
          <w:sz w:val="24"/>
          <w:highlight w:val="none"/>
        </w:rPr>
      </w:pPr>
    </w:p>
    <w:p>
      <w:pPr>
        <w:keepNext/>
        <w:keepLines/>
        <w:spacing w:line="440" w:lineRule="exact"/>
        <w:jc w:val="center"/>
        <w:outlineLvl w:val="2"/>
        <w:rPr>
          <w:rFonts w:hint="eastAsia" w:ascii="仿宋" w:hAnsi="仿宋" w:eastAsia="仿宋" w:cs="仿宋"/>
          <w:b/>
          <w:bCs/>
          <w:color w:val="auto"/>
          <w:sz w:val="24"/>
          <w:highlight w:val="none"/>
        </w:rPr>
      </w:pPr>
    </w:p>
    <w:p>
      <w:pPr>
        <w:keepNext/>
        <w:keepLines/>
        <w:spacing w:line="440" w:lineRule="exact"/>
        <w:jc w:val="center"/>
        <w:outlineLvl w:val="2"/>
        <w:rPr>
          <w:rFonts w:hint="eastAsia" w:ascii="仿宋" w:hAnsi="仿宋" w:eastAsia="仿宋" w:cs="仿宋"/>
          <w:b/>
          <w:bCs/>
          <w:color w:val="auto"/>
          <w:sz w:val="24"/>
          <w:highlight w:val="none"/>
        </w:rPr>
      </w:pPr>
    </w:p>
    <w:p>
      <w:pPr>
        <w:keepNext/>
        <w:keepLines/>
        <w:spacing w:line="440" w:lineRule="exact"/>
        <w:jc w:val="center"/>
        <w:outlineLvl w:val="2"/>
        <w:rPr>
          <w:rFonts w:hint="eastAsia" w:ascii="仿宋" w:hAnsi="仿宋" w:eastAsia="仿宋" w:cs="仿宋"/>
          <w:b/>
          <w:bCs/>
          <w:color w:val="auto"/>
          <w:sz w:val="24"/>
          <w:highlight w:val="none"/>
        </w:rPr>
      </w:pPr>
    </w:p>
    <w:p>
      <w:pPr>
        <w:keepNext/>
        <w:keepLines/>
        <w:spacing w:line="440" w:lineRule="exact"/>
        <w:jc w:val="center"/>
        <w:outlineLvl w:val="2"/>
        <w:rPr>
          <w:rFonts w:hint="eastAsia" w:ascii="仿宋" w:hAnsi="仿宋" w:eastAsia="仿宋" w:cs="仿宋"/>
          <w:b/>
          <w:bCs/>
          <w:color w:val="auto"/>
          <w:sz w:val="24"/>
          <w:highlight w:val="none"/>
        </w:rPr>
      </w:pP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keepNext/>
        <w:keepLines/>
        <w:spacing w:line="440" w:lineRule="exact"/>
        <w:jc w:val="center"/>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第二部分  通用合同条款</w:t>
      </w:r>
    </w:p>
    <w:p>
      <w:pPr>
        <w:autoSpaceDE w:val="0"/>
        <w:autoSpaceDN w:val="0"/>
        <w:adjustRightInd w:val="0"/>
        <w:spacing w:line="360" w:lineRule="auto"/>
        <w:ind w:firstLine="480" w:firstLineChars="200"/>
        <w:jc w:val="left"/>
        <w:rPr>
          <w:rFonts w:hint="eastAsia" w:ascii="仿宋" w:hAnsi="仿宋" w:eastAsia="仿宋" w:cs="仿宋"/>
          <w:color w:val="auto"/>
          <w:sz w:val="24"/>
          <w:highlight w:val="none"/>
        </w:rPr>
      </w:pPr>
    </w:p>
    <w:p>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此部分采用《建设工程施工合同》范本（GF-2017-0201）中《第二部分 通用条款》</w:t>
      </w:r>
    </w:p>
    <w:p>
      <w:pPr>
        <w:keepNext/>
        <w:keepLines/>
        <w:spacing w:line="440" w:lineRule="exact"/>
        <w:jc w:val="center"/>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keepNext/>
        <w:keepLines/>
        <w:spacing w:line="360" w:lineRule="auto"/>
        <w:jc w:val="center"/>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第三部分 专用合同条款</w:t>
      </w:r>
    </w:p>
    <w:p>
      <w:pPr>
        <w:autoSpaceDE w:val="0"/>
        <w:autoSpaceDN w:val="0"/>
        <w:adjustRightInd w:val="0"/>
        <w:snapToGrid w:val="0"/>
        <w:spacing w:line="360" w:lineRule="auto"/>
        <w:rPr>
          <w:rFonts w:hint="eastAsia" w:ascii="仿宋" w:hAnsi="仿宋" w:eastAsia="仿宋" w:cs="仿宋"/>
          <w:color w:val="auto"/>
          <w:sz w:val="24"/>
          <w:highlight w:val="none"/>
        </w:rPr>
      </w:pPr>
    </w:p>
    <w:p>
      <w:pPr>
        <w:keepNext/>
        <w:keepLines/>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 一般约定</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 词语定义</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1.1.1合同</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1.1.1.10其他合同文件包括：</w:t>
      </w:r>
      <w:r>
        <w:rPr>
          <w:rFonts w:hint="eastAsia" w:ascii="仿宋" w:hAnsi="仿宋" w:eastAsia="仿宋" w:cs="仿宋"/>
          <w:b/>
          <w:bCs/>
          <w:color w:val="auto"/>
          <w:kern w:val="0"/>
          <w:sz w:val="24"/>
          <w:highlight w:val="none"/>
          <w:u w:val="single"/>
          <w:lang w:val="zh-CN"/>
        </w:rPr>
        <w:t xml:space="preserve">招标文件及其附件 </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工程和设备</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lang w:val="zh-CN"/>
        </w:rPr>
        <w:t xml:space="preserve"> 作为施工现场组成部分的其他场所包括：</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2.2</w:t>
      </w:r>
      <w:r>
        <w:rPr>
          <w:rFonts w:hint="eastAsia" w:ascii="仿宋" w:hAnsi="仿宋" w:eastAsia="仿宋" w:cs="仿宋"/>
          <w:color w:val="auto"/>
          <w:kern w:val="0"/>
          <w:sz w:val="24"/>
          <w:highlight w:val="none"/>
          <w:lang w:val="zh-CN"/>
        </w:rPr>
        <w:t xml:space="preserve"> 永久占地包括：。</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2.3</w:t>
      </w:r>
      <w:r>
        <w:rPr>
          <w:rFonts w:hint="eastAsia" w:ascii="仿宋" w:hAnsi="仿宋" w:eastAsia="仿宋" w:cs="仿宋"/>
          <w:color w:val="auto"/>
          <w:kern w:val="0"/>
          <w:sz w:val="24"/>
          <w:highlight w:val="none"/>
          <w:lang w:val="zh-CN"/>
        </w:rPr>
        <w:t xml:space="preserve"> 临时占地包括：。</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1.3法律 </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适用于合同的其他规范性文件：</w:t>
      </w:r>
      <w:r>
        <w:rPr>
          <w:rFonts w:hint="eastAsia" w:ascii="仿宋" w:hAnsi="仿宋" w:eastAsia="仿宋" w:cs="仿宋"/>
          <w:b/>
          <w:bCs/>
          <w:color w:val="auto"/>
          <w:kern w:val="0"/>
          <w:sz w:val="24"/>
          <w:highlight w:val="none"/>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1.4 标准和规范</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1.4.1适用于工程的标准规范包括：</w:t>
      </w:r>
      <w:r>
        <w:rPr>
          <w:rFonts w:hint="eastAsia" w:ascii="仿宋" w:hAnsi="仿宋" w:eastAsia="仿宋" w:cs="仿宋"/>
          <w:b/>
          <w:bCs/>
          <w:color w:val="auto"/>
          <w:kern w:val="0"/>
          <w:sz w:val="24"/>
          <w:highlight w:val="none"/>
          <w:u w:val="single"/>
        </w:rPr>
        <w:t>中华人民共和国颁发的有关标准、规范及省、市有关规定</w:t>
      </w:r>
      <w:r>
        <w:rPr>
          <w:rFonts w:hint="eastAsia" w:ascii="仿宋" w:hAnsi="仿宋" w:eastAsia="仿宋" w:cs="仿宋"/>
          <w:b/>
          <w:bCs/>
          <w:color w:val="auto"/>
          <w:kern w:val="0"/>
          <w:sz w:val="24"/>
          <w:highlight w:val="none"/>
          <w:u w:val="single"/>
          <w:lang w:val="zh-CN"/>
        </w:rPr>
        <w:t>。当标准互相矛盾时，以最新和最严格的为准。发包人不提供标准和规范，由承包人自备。</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1.4.2 发包人提供国外标准、规范的名称：</w:t>
      </w:r>
      <w:r>
        <w:rPr>
          <w:rFonts w:hint="eastAsia" w:ascii="仿宋" w:hAnsi="仿宋" w:eastAsia="仿宋" w:cs="仿宋"/>
          <w:b/>
          <w:bCs/>
          <w:color w:val="auto"/>
          <w:kern w:val="0"/>
          <w:sz w:val="24"/>
          <w:highlight w:val="none"/>
          <w:u w:val="single"/>
          <w:lang w:val="zh-CN"/>
        </w:rPr>
        <w:t>/</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发包人提供国外标准、规范的份数：</w:t>
      </w:r>
      <w:r>
        <w:rPr>
          <w:rFonts w:hint="eastAsia" w:ascii="仿宋" w:hAnsi="仿宋" w:eastAsia="仿宋" w:cs="仿宋"/>
          <w:b/>
          <w:bCs/>
          <w:color w:val="auto"/>
          <w:kern w:val="0"/>
          <w:sz w:val="24"/>
          <w:highlight w:val="none"/>
          <w:u w:val="single"/>
          <w:lang w:val="zh-CN"/>
        </w:rPr>
        <w:t>/</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发包人提供国外标准、规范的名称：</w:t>
      </w:r>
      <w:r>
        <w:rPr>
          <w:rFonts w:hint="eastAsia" w:ascii="仿宋" w:hAnsi="仿宋" w:eastAsia="仿宋" w:cs="仿宋"/>
          <w:b/>
          <w:bCs/>
          <w:color w:val="auto"/>
          <w:kern w:val="0"/>
          <w:sz w:val="24"/>
          <w:highlight w:val="none"/>
          <w:u w:val="single"/>
          <w:lang w:val="zh-CN"/>
        </w:rPr>
        <w:t>/</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1.4.3发包人对工程的技术标准和功能要求的特殊要求：</w:t>
      </w:r>
      <w:r>
        <w:rPr>
          <w:rFonts w:hint="eastAsia" w:ascii="仿宋" w:hAnsi="仿宋" w:eastAsia="仿宋" w:cs="仿宋"/>
          <w:b/>
          <w:bCs/>
          <w:color w:val="auto"/>
          <w:kern w:val="0"/>
          <w:sz w:val="24"/>
          <w:highlight w:val="none"/>
          <w:u w:val="single"/>
          <w:lang w:val="zh-CN"/>
        </w:rPr>
        <w:t>/</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1.5 合同文件的优先顺序</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合同文件组成及优先顺序为：</w:t>
      </w:r>
      <w:r>
        <w:rPr>
          <w:rFonts w:hint="eastAsia" w:ascii="仿宋" w:hAnsi="仿宋" w:eastAsia="仿宋" w:cs="仿宋"/>
          <w:b/>
          <w:bCs/>
          <w:color w:val="auto"/>
          <w:kern w:val="0"/>
          <w:sz w:val="24"/>
          <w:highlight w:val="none"/>
          <w:u w:val="single"/>
          <w:lang w:val="zh-CN"/>
        </w:rPr>
        <w:t>（</w:t>
      </w:r>
      <w:r>
        <w:rPr>
          <w:rFonts w:hint="eastAsia" w:ascii="仿宋" w:hAnsi="仿宋" w:eastAsia="仿宋" w:cs="仿宋"/>
          <w:b/>
          <w:bCs/>
          <w:color w:val="auto"/>
          <w:kern w:val="0"/>
          <w:sz w:val="24"/>
          <w:highlight w:val="none"/>
          <w:u w:val="single"/>
        </w:rPr>
        <w:t>1</w:t>
      </w:r>
      <w:r>
        <w:rPr>
          <w:rFonts w:hint="eastAsia" w:ascii="仿宋" w:hAnsi="仿宋" w:eastAsia="仿宋" w:cs="仿宋"/>
          <w:b/>
          <w:bCs/>
          <w:color w:val="auto"/>
          <w:kern w:val="0"/>
          <w:sz w:val="24"/>
          <w:highlight w:val="none"/>
          <w:u w:val="single"/>
          <w:lang w:val="zh-CN"/>
        </w:rPr>
        <w:t>）本合同协议书及承诺书；（</w:t>
      </w:r>
      <w:r>
        <w:rPr>
          <w:rFonts w:hint="eastAsia" w:ascii="仿宋" w:hAnsi="仿宋" w:eastAsia="仿宋" w:cs="仿宋"/>
          <w:b/>
          <w:bCs/>
          <w:color w:val="auto"/>
          <w:kern w:val="0"/>
          <w:sz w:val="24"/>
          <w:highlight w:val="none"/>
          <w:u w:val="single"/>
        </w:rPr>
        <w:t>2</w:t>
      </w:r>
      <w:r>
        <w:rPr>
          <w:rFonts w:hint="eastAsia" w:ascii="仿宋" w:hAnsi="仿宋" w:eastAsia="仿宋" w:cs="仿宋"/>
          <w:b/>
          <w:bCs/>
          <w:color w:val="auto"/>
          <w:kern w:val="0"/>
          <w:sz w:val="24"/>
          <w:highlight w:val="none"/>
          <w:u w:val="single"/>
          <w:lang w:val="zh-CN"/>
        </w:rPr>
        <w:t>）中标通知书；（</w:t>
      </w:r>
      <w:r>
        <w:rPr>
          <w:rFonts w:hint="eastAsia" w:ascii="仿宋" w:hAnsi="仿宋" w:eastAsia="仿宋" w:cs="仿宋"/>
          <w:b/>
          <w:bCs/>
          <w:color w:val="auto"/>
          <w:kern w:val="0"/>
          <w:sz w:val="24"/>
          <w:highlight w:val="none"/>
          <w:u w:val="single"/>
        </w:rPr>
        <w:t>3</w:t>
      </w:r>
      <w:r>
        <w:rPr>
          <w:rFonts w:hint="eastAsia" w:ascii="仿宋" w:hAnsi="仿宋" w:eastAsia="仿宋" w:cs="仿宋"/>
          <w:b/>
          <w:bCs/>
          <w:color w:val="auto"/>
          <w:kern w:val="0"/>
          <w:sz w:val="24"/>
          <w:highlight w:val="none"/>
          <w:u w:val="single"/>
          <w:lang w:val="zh-CN"/>
        </w:rPr>
        <w:t>）投标函及其附录；（</w:t>
      </w:r>
      <w:r>
        <w:rPr>
          <w:rFonts w:hint="eastAsia" w:ascii="仿宋" w:hAnsi="仿宋" w:eastAsia="仿宋" w:cs="仿宋"/>
          <w:b/>
          <w:bCs/>
          <w:color w:val="auto"/>
          <w:kern w:val="0"/>
          <w:sz w:val="24"/>
          <w:highlight w:val="none"/>
          <w:u w:val="single"/>
        </w:rPr>
        <w:t>4</w:t>
      </w:r>
      <w:r>
        <w:rPr>
          <w:rFonts w:hint="eastAsia" w:ascii="仿宋" w:hAnsi="仿宋" w:eastAsia="仿宋" w:cs="仿宋"/>
          <w:b/>
          <w:bCs/>
          <w:color w:val="auto"/>
          <w:kern w:val="0"/>
          <w:sz w:val="24"/>
          <w:highlight w:val="none"/>
          <w:u w:val="single"/>
          <w:lang w:val="zh-CN"/>
        </w:rPr>
        <w:t>）本合同专用条款；（</w:t>
      </w:r>
      <w:r>
        <w:rPr>
          <w:rFonts w:hint="eastAsia" w:ascii="仿宋" w:hAnsi="仿宋" w:eastAsia="仿宋" w:cs="仿宋"/>
          <w:b/>
          <w:bCs/>
          <w:color w:val="auto"/>
          <w:kern w:val="0"/>
          <w:sz w:val="24"/>
          <w:highlight w:val="none"/>
          <w:u w:val="single"/>
        </w:rPr>
        <w:t>5</w:t>
      </w:r>
      <w:r>
        <w:rPr>
          <w:rFonts w:hint="eastAsia" w:ascii="仿宋" w:hAnsi="仿宋" w:eastAsia="仿宋" w:cs="仿宋"/>
          <w:b/>
          <w:bCs/>
          <w:color w:val="auto"/>
          <w:kern w:val="0"/>
          <w:sz w:val="24"/>
          <w:highlight w:val="none"/>
          <w:u w:val="single"/>
          <w:lang w:val="zh-CN"/>
        </w:rPr>
        <w:t>）本合同通用条款；（</w:t>
      </w:r>
      <w:r>
        <w:rPr>
          <w:rFonts w:hint="eastAsia" w:ascii="仿宋" w:hAnsi="仿宋" w:eastAsia="仿宋" w:cs="仿宋"/>
          <w:b/>
          <w:bCs/>
          <w:color w:val="auto"/>
          <w:kern w:val="0"/>
          <w:sz w:val="24"/>
          <w:highlight w:val="none"/>
          <w:u w:val="single"/>
        </w:rPr>
        <w:t>6</w:t>
      </w:r>
      <w:r>
        <w:rPr>
          <w:rFonts w:hint="eastAsia" w:ascii="仿宋" w:hAnsi="仿宋" w:eastAsia="仿宋" w:cs="仿宋"/>
          <w:b/>
          <w:bCs/>
          <w:color w:val="auto"/>
          <w:kern w:val="0"/>
          <w:sz w:val="24"/>
          <w:highlight w:val="none"/>
          <w:u w:val="single"/>
          <w:lang w:val="zh-CN"/>
        </w:rPr>
        <w:t>）标准、规范及有关技术资料；（</w:t>
      </w:r>
      <w:r>
        <w:rPr>
          <w:rFonts w:hint="eastAsia" w:ascii="仿宋" w:hAnsi="仿宋" w:eastAsia="仿宋" w:cs="仿宋"/>
          <w:b/>
          <w:bCs/>
          <w:color w:val="auto"/>
          <w:kern w:val="0"/>
          <w:sz w:val="24"/>
          <w:highlight w:val="none"/>
          <w:u w:val="single"/>
        </w:rPr>
        <w:t>7</w:t>
      </w:r>
      <w:r>
        <w:rPr>
          <w:rFonts w:hint="eastAsia" w:ascii="仿宋" w:hAnsi="仿宋" w:eastAsia="仿宋" w:cs="仿宋"/>
          <w:b/>
          <w:bCs/>
          <w:color w:val="auto"/>
          <w:kern w:val="0"/>
          <w:sz w:val="24"/>
          <w:highlight w:val="none"/>
          <w:u w:val="single"/>
          <w:lang w:val="zh-CN"/>
        </w:rPr>
        <w:t>）图纸；（</w:t>
      </w:r>
      <w:r>
        <w:rPr>
          <w:rFonts w:hint="eastAsia" w:ascii="仿宋" w:hAnsi="仿宋" w:eastAsia="仿宋" w:cs="仿宋"/>
          <w:b/>
          <w:bCs/>
          <w:color w:val="auto"/>
          <w:kern w:val="0"/>
          <w:sz w:val="24"/>
          <w:highlight w:val="none"/>
          <w:u w:val="single"/>
        </w:rPr>
        <w:t>8</w:t>
      </w:r>
      <w:r>
        <w:rPr>
          <w:rFonts w:hint="eastAsia" w:ascii="仿宋" w:hAnsi="仿宋" w:eastAsia="仿宋" w:cs="仿宋"/>
          <w:b/>
          <w:bCs/>
          <w:color w:val="auto"/>
          <w:kern w:val="0"/>
          <w:sz w:val="24"/>
          <w:highlight w:val="none"/>
          <w:u w:val="single"/>
          <w:lang w:val="zh-CN"/>
        </w:rPr>
        <w:t>）已标价工程量清单或预算书；（</w:t>
      </w:r>
      <w:r>
        <w:rPr>
          <w:rFonts w:hint="eastAsia" w:ascii="仿宋" w:hAnsi="仿宋" w:eastAsia="仿宋" w:cs="仿宋"/>
          <w:b/>
          <w:bCs/>
          <w:color w:val="auto"/>
          <w:kern w:val="0"/>
          <w:sz w:val="24"/>
          <w:highlight w:val="none"/>
          <w:u w:val="single"/>
        </w:rPr>
        <w:t>9</w:t>
      </w:r>
      <w:r>
        <w:rPr>
          <w:rFonts w:hint="eastAsia" w:ascii="仿宋" w:hAnsi="仿宋" w:eastAsia="仿宋" w:cs="仿宋"/>
          <w:b/>
          <w:bCs/>
          <w:color w:val="auto"/>
          <w:kern w:val="0"/>
          <w:sz w:val="24"/>
          <w:highlight w:val="none"/>
          <w:u w:val="single"/>
          <w:lang w:val="zh-CN"/>
        </w:rPr>
        <w:t>）招标文件及其附件；（</w:t>
      </w:r>
      <w:r>
        <w:rPr>
          <w:rFonts w:hint="eastAsia" w:ascii="仿宋" w:hAnsi="仿宋" w:eastAsia="仿宋" w:cs="仿宋"/>
          <w:b/>
          <w:bCs/>
          <w:color w:val="auto"/>
          <w:kern w:val="0"/>
          <w:sz w:val="24"/>
          <w:highlight w:val="none"/>
          <w:u w:val="single"/>
        </w:rPr>
        <w:t>10</w:t>
      </w:r>
      <w:r>
        <w:rPr>
          <w:rFonts w:hint="eastAsia" w:ascii="仿宋" w:hAnsi="仿宋" w:eastAsia="仿宋" w:cs="仿宋"/>
          <w:b/>
          <w:bCs/>
          <w:color w:val="auto"/>
          <w:kern w:val="0"/>
          <w:sz w:val="24"/>
          <w:highlight w:val="none"/>
          <w:u w:val="single"/>
          <w:lang w:val="zh-CN"/>
        </w:rPr>
        <w:t>）工程报价单或预算书。</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1.6 图纸和承包人文件</w:t>
      </w:r>
      <w:r>
        <w:rPr>
          <w:rFonts w:hint="eastAsia" w:ascii="仿宋" w:hAnsi="仿宋" w:eastAsia="仿宋" w:cs="仿宋"/>
          <w:color w:val="auto"/>
          <w:kern w:val="0"/>
          <w:sz w:val="24"/>
          <w:highlight w:val="none"/>
          <w:lang w:val="zh-CN"/>
        </w:rPr>
        <w:tab/>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1.6.1 图纸的提供</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发包人向承包人提</w:t>
      </w:r>
      <w:r>
        <w:rPr>
          <w:rFonts w:hint="eastAsia" w:ascii="仿宋" w:hAnsi="仿宋" w:eastAsia="仿宋" w:cs="仿宋"/>
          <w:color w:val="auto"/>
          <w:sz w:val="24"/>
          <w:highlight w:val="none"/>
        </w:rPr>
        <w:t>供图纸的期限：</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发包人向承包人提供图纸的数量：</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发</w:t>
      </w:r>
      <w:r>
        <w:rPr>
          <w:rFonts w:hint="eastAsia" w:ascii="仿宋" w:hAnsi="仿宋" w:eastAsia="仿宋" w:cs="仿宋"/>
          <w:color w:val="auto"/>
          <w:sz w:val="24"/>
          <w:highlight w:val="none"/>
        </w:rPr>
        <w:t>包人向承包人提供图纸的内容：</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1.6.4 承包人文件</w:t>
      </w:r>
    </w:p>
    <w:p>
      <w:pPr>
        <w:autoSpaceDE w:val="0"/>
        <w:autoSpaceDN w:val="0"/>
        <w:adjustRightInd w:val="0"/>
        <w:spacing w:line="360" w:lineRule="auto"/>
        <w:ind w:firstLine="480" w:firstLineChars="200"/>
        <w:rPr>
          <w:rFonts w:hint="eastAsia" w:ascii="仿宋" w:hAnsi="仿宋" w:eastAsia="仿宋" w:cs="仿宋"/>
          <w:b/>
          <w:color w:val="auto"/>
          <w:spacing w:val="-2"/>
          <w:sz w:val="24"/>
          <w:highlight w:val="none"/>
          <w:u w:val="single"/>
          <w:lang w:val="zh-CN"/>
        </w:rPr>
      </w:pPr>
      <w:r>
        <w:rPr>
          <w:rFonts w:hint="eastAsia" w:ascii="仿宋" w:hAnsi="仿宋" w:eastAsia="仿宋" w:cs="仿宋"/>
          <w:color w:val="auto"/>
          <w:kern w:val="0"/>
          <w:sz w:val="24"/>
          <w:highlight w:val="none"/>
          <w:lang w:val="zh-CN"/>
        </w:rPr>
        <w:t>需要由承包人提供</w:t>
      </w:r>
      <w:r>
        <w:rPr>
          <w:rFonts w:hint="eastAsia" w:ascii="仿宋" w:hAnsi="仿宋" w:eastAsia="仿宋" w:cs="仿宋"/>
          <w:color w:val="auto"/>
          <w:sz w:val="24"/>
          <w:highlight w:val="none"/>
        </w:rPr>
        <w:t>的文件，包括：</w:t>
      </w:r>
      <w:r>
        <w:rPr>
          <w:rFonts w:hint="eastAsia" w:ascii="仿宋" w:hAnsi="仿宋" w:eastAsia="仿宋" w:cs="仿宋"/>
          <w:b/>
          <w:color w:val="auto"/>
          <w:spacing w:val="-2"/>
          <w:sz w:val="24"/>
          <w:highlight w:val="none"/>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承包人提</w:t>
      </w:r>
      <w:r>
        <w:rPr>
          <w:rFonts w:hint="eastAsia" w:ascii="仿宋" w:hAnsi="仿宋" w:eastAsia="仿宋" w:cs="仿宋"/>
          <w:color w:val="auto"/>
          <w:sz w:val="24"/>
          <w:highlight w:val="none"/>
        </w:rPr>
        <w:t>供的文件的数量为：</w:t>
      </w:r>
      <w:r>
        <w:rPr>
          <w:rFonts w:hint="eastAsia" w:ascii="仿宋" w:hAnsi="仿宋" w:eastAsia="仿宋" w:cs="仿宋"/>
          <w:b/>
          <w:color w:val="auto"/>
          <w:spacing w:val="-2"/>
          <w:sz w:val="24"/>
          <w:highlight w:val="none"/>
          <w:u w:val="single"/>
        </w:rPr>
        <w:t>施工组织设计、总进度计划叁套，其余按发包人要求；</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承包人</w:t>
      </w:r>
      <w:r>
        <w:rPr>
          <w:rFonts w:hint="eastAsia" w:ascii="仿宋" w:hAnsi="仿宋" w:eastAsia="仿宋" w:cs="仿宋"/>
          <w:color w:val="auto"/>
          <w:sz w:val="24"/>
          <w:highlight w:val="none"/>
        </w:rPr>
        <w:t>提供的文件的形式为：</w:t>
      </w:r>
      <w:r>
        <w:rPr>
          <w:rFonts w:hint="eastAsia" w:ascii="仿宋" w:hAnsi="仿宋" w:eastAsia="仿宋" w:cs="仿宋"/>
          <w:b/>
          <w:color w:val="auto"/>
          <w:sz w:val="24"/>
          <w:highlight w:val="none"/>
          <w:u w:val="single"/>
        </w:rPr>
        <w:t>书面形式</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b/>
          <w:color w:val="auto"/>
          <w:sz w:val="24"/>
          <w:highlight w:val="none"/>
          <w:u w:val="single"/>
        </w:rPr>
        <w:t xml:space="preserve">收到文件后7天内  </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1.6.5 现场图纸准备</w:t>
      </w:r>
    </w:p>
    <w:p>
      <w:pPr>
        <w:autoSpaceDE w:val="0"/>
        <w:autoSpaceDN w:val="0"/>
        <w:adjustRightInd w:val="0"/>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lang w:val="zh-CN"/>
        </w:rPr>
        <w:t>关于现场图纸准备的约定：</w:t>
      </w:r>
      <w:r>
        <w:rPr>
          <w:rFonts w:hint="eastAsia" w:ascii="仿宋" w:hAnsi="仿宋" w:eastAsia="仿宋" w:cs="仿宋"/>
          <w:b/>
          <w:color w:val="auto"/>
          <w:sz w:val="24"/>
          <w:highlight w:val="none"/>
          <w:u w:val="single"/>
        </w:rPr>
        <w:t>施工现场保留一套完整图纸供发包人及有关人员使用。</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1.7 联络</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1.7.1发包人和承包人应当在</w:t>
      </w:r>
      <w:r>
        <w:rPr>
          <w:rFonts w:hint="eastAsia" w:ascii="仿宋" w:hAnsi="仿宋" w:eastAsia="仿宋" w:cs="仿宋"/>
          <w:b/>
          <w:bCs/>
          <w:color w:val="auto"/>
          <w:kern w:val="0"/>
          <w:sz w:val="24"/>
          <w:highlight w:val="none"/>
          <w:u w:val="single"/>
        </w:rPr>
        <w:t xml:space="preserve"> 3 </w:t>
      </w:r>
      <w:r>
        <w:rPr>
          <w:rFonts w:hint="eastAsia" w:ascii="仿宋" w:hAnsi="仿宋" w:eastAsia="仿宋" w:cs="仿宋"/>
          <w:color w:val="auto"/>
          <w:kern w:val="0"/>
          <w:sz w:val="24"/>
          <w:highlight w:val="none"/>
          <w:lang w:val="zh-CN"/>
        </w:rPr>
        <w:t>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b/>
          <w:bCs/>
          <w:color w:val="auto"/>
          <w:kern w:val="0"/>
          <w:sz w:val="24"/>
          <w:highlight w:val="none"/>
          <w:u w:val="single"/>
          <w:lang w:val="zh-CN"/>
        </w:rPr>
        <w:t xml:space="preserve"> 工地现场 </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b/>
          <w:bCs/>
          <w:color w:val="auto"/>
          <w:kern w:val="0"/>
          <w:sz w:val="24"/>
          <w:highlight w:val="none"/>
          <w:u w:val="single"/>
          <w:lang w:val="zh-CN"/>
        </w:rPr>
        <w:t>工地现场</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1.10 交通运输</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1.10.1 出入现场的权利</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关于出入现场的权利的约定：</w:t>
      </w:r>
      <w:r>
        <w:rPr>
          <w:rFonts w:hint="eastAsia" w:ascii="仿宋" w:hAnsi="仿宋" w:eastAsia="仿宋" w:cs="仿宋"/>
          <w:b/>
          <w:bCs/>
          <w:color w:val="auto"/>
          <w:kern w:val="0"/>
          <w:sz w:val="24"/>
          <w:highlight w:val="none"/>
          <w:u w:val="single"/>
          <w:lang w:val="zh-CN"/>
        </w:rPr>
        <w:t xml:space="preserve">     /         </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1.10.3 场内交通</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关于场外交通和场内交通的边界的约定：</w:t>
      </w:r>
      <w:r>
        <w:rPr>
          <w:rFonts w:hint="eastAsia" w:ascii="仿宋" w:hAnsi="仿宋" w:eastAsia="仿宋" w:cs="仿宋"/>
          <w:b/>
          <w:bCs/>
          <w:color w:val="auto"/>
          <w:kern w:val="0"/>
          <w:sz w:val="24"/>
          <w:highlight w:val="none"/>
          <w:u w:val="single"/>
          <w:lang w:val="zh-CN"/>
        </w:rPr>
        <w:t xml:space="preserve">  /   </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关于发包人向承包人免费提供满足工程施工需要的场内道路和交通设施的约定：</w:t>
      </w:r>
      <w:r>
        <w:rPr>
          <w:rFonts w:hint="eastAsia" w:ascii="仿宋" w:hAnsi="仿宋" w:eastAsia="仿宋" w:cs="仿宋"/>
          <w:b/>
          <w:bCs/>
          <w:color w:val="auto"/>
          <w:kern w:val="0"/>
          <w:sz w:val="24"/>
          <w:highlight w:val="none"/>
          <w:u w:val="single"/>
          <w:lang w:val="zh-CN"/>
        </w:rPr>
        <w:t>按通用条款执行</w:t>
      </w:r>
      <w:r>
        <w:rPr>
          <w:rFonts w:hint="eastAsia" w:ascii="仿宋" w:hAnsi="仿宋" w:eastAsia="仿宋" w:cs="仿宋"/>
          <w:color w:val="auto"/>
          <w:kern w:val="0"/>
          <w:sz w:val="24"/>
          <w:highlight w:val="none"/>
          <w:lang w:val="zh-CN"/>
        </w:rPr>
        <w:t xml:space="preserve">。  </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1.10.4超大件和超重件的运输</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运输超大件或超重件所需的道路和桥梁临时加固改造费用和其他有关费用由</w:t>
      </w:r>
      <w:r>
        <w:rPr>
          <w:rFonts w:hint="eastAsia" w:ascii="仿宋" w:hAnsi="仿宋" w:eastAsia="仿宋" w:cs="仿宋"/>
          <w:b/>
          <w:bCs/>
          <w:color w:val="auto"/>
          <w:kern w:val="0"/>
          <w:sz w:val="24"/>
          <w:highlight w:val="none"/>
          <w:u w:val="single"/>
          <w:lang w:val="zh-CN"/>
        </w:rPr>
        <w:t>承包人</w:t>
      </w:r>
      <w:r>
        <w:rPr>
          <w:rFonts w:hint="eastAsia" w:ascii="仿宋" w:hAnsi="仿宋" w:eastAsia="仿宋" w:cs="仿宋"/>
          <w:color w:val="auto"/>
          <w:kern w:val="0"/>
          <w:sz w:val="24"/>
          <w:highlight w:val="none"/>
          <w:lang w:val="zh-CN"/>
        </w:rPr>
        <w:t>承担。</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1.11 知识产权</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rPr>
      </w:pPr>
      <w:r>
        <w:rPr>
          <w:rFonts w:hint="eastAsia" w:ascii="仿宋" w:hAnsi="仿宋" w:eastAsia="仿宋" w:cs="仿宋"/>
          <w:color w:val="auto"/>
          <w:kern w:val="0"/>
          <w:sz w:val="24"/>
          <w:highlight w:val="none"/>
          <w:lang w:val="zh-CN"/>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color w:val="auto"/>
          <w:kern w:val="0"/>
          <w:sz w:val="24"/>
          <w:highlight w:val="none"/>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关于发包人提供的上述文件的使用限制的要求：</w:t>
      </w:r>
      <w:r>
        <w:rPr>
          <w:rFonts w:hint="eastAsia" w:ascii="仿宋" w:hAnsi="仿宋" w:eastAsia="仿宋" w:cs="仿宋"/>
          <w:b/>
          <w:bCs/>
          <w:color w:val="auto"/>
          <w:kern w:val="0"/>
          <w:sz w:val="24"/>
          <w:highlight w:val="none"/>
          <w:u w:val="single"/>
          <w:lang w:val="zh-CN"/>
        </w:rPr>
        <w:t>按通用条款执行</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1.11.2 关于承包人为实施工程所编制文件的著作权的归属：</w:t>
      </w:r>
      <w:r>
        <w:rPr>
          <w:rFonts w:hint="eastAsia" w:ascii="仿宋" w:hAnsi="仿宋" w:eastAsia="仿宋" w:cs="仿宋"/>
          <w:b/>
          <w:bCs/>
          <w:color w:val="auto"/>
          <w:kern w:val="0"/>
          <w:sz w:val="24"/>
          <w:highlight w:val="none"/>
          <w:u w:val="single"/>
          <w:lang w:val="zh-CN"/>
        </w:rPr>
        <w:t>按通用条款执行</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关于承包人提供的上述文件的使用限制的要求：</w:t>
      </w:r>
      <w:r>
        <w:rPr>
          <w:rFonts w:hint="eastAsia" w:ascii="仿宋" w:hAnsi="仿宋" w:eastAsia="仿宋" w:cs="仿宋"/>
          <w:b/>
          <w:bCs/>
          <w:color w:val="auto"/>
          <w:kern w:val="0"/>
          <w:sz w:val="24"/>
          <w:highlight w:val="none"/>
          <w:u w:val="single"/>
          <w:lang w:val="zh-CN"/>
        </w:rPr>
        <w:t>按通用条款执行</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1.11.4 承包人在施工过程中所采用的专利、专有技术、技术秘密的使用费的承担方式：</w:t>
      </w:r>
      <w:r>
        <w:rPr>
          <w:rFonts w:hint="eastAsia" w:ascii="仿宋" w:hAnsi="仿宋" w:eastAsia="仿宋" w:cs="仿宋"/>
          <w:b/>
          <w:bCs/>
          <w:color w:val="auto"/>
          <w:kern w:val="0"/>
          <w:sz w:val="24"/>
          <w:highlight w:val="none"/>
          <w:u w:val="single"/>
          <w:lang w:val="zh-CN"/>
        </w:rPr>
        <w:t>已含在合同价中。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pPr>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出现工程量清单错误时，是否调整合同价格：否。</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2. 发包人</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2.2 发包人代表</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发包人代表：</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姓    名：；</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身份证号：；</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职    务：；</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联系电话：；</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电子信箱：；</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通信地址：。</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发包人对发包人代表的授权范围如下：</w:t>
      </w:r>
      <w:r>
        <w:rPr>
          <w:rFonts w:hint="eastAsia" w:ascii="仿宋" w:hAnsi="仿宋" w:eastAsia="仿宋" w:cs="仿宋"/>
          <w:b/>
          <w:bCs/>
          <w:color w:val="auto"/>
          <w:kern w:val="0"/>
          <w:sz w:val="24"/>
          <w:highlight w:val="none"/>
          <w:u w:val="single"/>
          <w:lang w:val="zh-CN"/>
        </w:rPr>
        <w:t>代表发包方行使发包方的权力和监理人（如有）需要取得发包人批准的权力。</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2.4 施工现场、施工条件和基础资料的提供</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2.4.1 提供施工现场</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关于发包人移交施工现场的期限要求：</w:t>
      </w:r>
      <w:r>
        <w:rPr>
          <w:rFonts w:hint="eastAsia" w:ascii="仿宋" w:hAnsi="仿宋" w:eastAsia="仿宋" w:cs="仿宋"/>
          <w:b/>
          <w:bCs/>
          <w:color w:val="auto"/>
          <w:kern w:val="0"/>
          <w:sz w:val="24"/>
          <w:highlight w:val="none"/>
          <w:u w:val="single"/>
          <w:lang w:val="zh-CN"/>
        </w:rPr>
        <w:t>以施工现场的现状为准</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2.4.2 提供施工条件</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rPr>
      </w:pPr>
      <w:r>
        <w:rPr>
          <w:rFonts w:hint="eastAsia" w:ascii="仿宋" w:hAnsi="仿宋" w:eastAsia="仿宋" w:cs="仿宋"/>
          <w:color w:val="auto"/>
          <w:kern w:val="0"/>
          <w:sz w:val="24"/>
          <w:highlight w:val="none"/>
          <w:lang w:val="zh-CN"/>
        </w:rPr>
        <w:t>关于发包人应负责提供施工所需要的条件，包括：</w:t>
      </w:r>
      <w:r>
        <w:rPr>
          <w:rFonts w:hint="eastAsia" w:ascii="仿宋" w:hAnsi="仿宋" w:eastAsia="仿宋" w:cs="仿宋"/>
          <w:b/>
          <w:bCs/>
          <w:color w:val="auto"/>
          <w:kern w:val="0"/>
          <w:sz w:val="24"/>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2.5 资金来源证明及支付担保</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发包人提供资金来源证明的期限要求：</w:t>
      </w:r>
      <w:r>
        <w:rPr>
          <w:rFonts w:hint="eastAsia" w:ascii="仿宋" w:hAnsi="仿宋" w:eastAsia="仿宋" w:cs="仿宋"/>
          <w:b/>
          <w:bCs/>
          <w:color w:val="auto"/>
          <w:kern w:val="0"/>
          <w:sz w:val="24"/>
          <w:highlight w:val="none"/>
          <w:u w:val="single"/>
          <w:lang w:val="zh-CN"/>
        </w:rPr>
        <w:t>/</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发包人是否提供支付担保：</w:t>
      </w:r>
      <w:r>
        <w:rPr>
          <w:rFonts w:hint="eastAsia" w:ascii="仿宋" w:hAnsi="仿宋" w:eastAsia="仿宋" w:cs="仿宋"/>
          <w:b/>
          <w:bCs/>
          <w:color w:val="auto"/>
          <w:kern w:val="0"/>
          <w:sz w:val="24"/>
          <w:highlight w:val="none"/>
          <w:u w:val="single"/>
          <w:lang w:val="zh-CN"/>
        </w:rPr>
        <w:t>/</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发包人提供支付担保的形式：</w:t>
      </w:r>
      <w:r>
        <w:rPr>
          <w:rFonts w:hint="eastAsia" w:ascii="仿宋" w:hAnsi="仿宋" w:eastAsia="仿宋" w:cs="仿宋"/>
          <w:b/>
          <w:bCs/>
          <w:color w:val="auto"/>
          <w:kern w:val="0"/>
          <w:sz w:val="24"/>
          <w:highlight w:val="none"/>
          <w:u w:val="single"/>
          <w:lang w:val="zh-CN"/>
        </w:rPr>
        <w:t xml:space="preserve"> / </w:t>
      </w:r>
      <w:r>
        <w:rPr>
          <w:rFonts w:hint="eastAsia" w:ascii="仿宋" w:hAnsi="仿宋" w:eastAsia="仿宋" w:cs="仿宋"/>
          <w:color w:val="auto"/>
          <w:kern w:val="0"/>
          <w:sz w:val="24"/>
          <w:highlight w:val="none"/>
          <w:lang w:val="zh-CN"/>
        </w:rPr>
        <w:t>。</w:t>
      </w:r>
    </w:p>
    <w:p>
      <w:pPr>
        <w:keepNext/>
        <w:keepLines/>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 承包人</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3.1 承包人的一般义务</w:t>
      </w:r>
    </w:p>
    <w:p>
      <w:pPr>
        <w:tabs>
          <w:tab w:val="left" w:pos="1125"/>
        </w:tabs>
        <w:overflowPunct w:val="0"/>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（5）承包人提交的竣工资料的内容：</w:t>
      </w:r>
      <w:r>
        <w:rPr>
          <w:rFonts w:hint="eastAsia" w:ascii="仿宋" w:hAnsi="仿宋" w:eastAsia="仿宋" w:cs="仿宋"/>
          <w:b/>
          <w:bCs/>
          <w:color w:val="auto"/>
          <w:kern w:val="0"/>
          <w:sz w:val="24"/>
          <w:highlight w:val="none"/>
          <w:u w:val="single"/>
          <w:lang w:val="zh-CN"/>
        </w:rPr>
        <w:t>承包人提供的完整</w:t>
      </w:r>
      <w:r>
        <w:rPr>
          <w:rFonts w:hint="eastAsia" w:ascii="仿宋" w:hAnsi="仿宋" w:eastAsia="仿宋" w:cs="仿宋"/>
          <w:b/>
          <w:bCs/>
          <w:color w:val="auto"/>
          <w:kern w:val="0"/>
          <w:sz w:val="24"/>
          <w:highlight w:val="none"/>
          <w:u w:val="single"/>
          <w:lang w:val="zh-CN" w:eastAsia="zh-TW"/>
        </w:rPr>
        <w:t>的竣工图</w:t>
      </w:r>
      <w:r>
        <w:rPr>
          <w:rFonts w:hint="eastAsia" w:ascii="仿宋" w:hAnsi="仿宋" w:eastAsia="仿宋" w:cs="仿宋"/>
          <w:b/>
          <w:bCs/>
          <w:color w:val="auto"/>
          <w:kern w:val="0"/>
          <w:sz w:val="24"/>
          <w:highlight w:val="none"/>
          <w:u w:val="single"/>
          <w:lang w:val="zh-CN"/>
        </w:rPr>
        <w:t>、竣工备案资料、</w:t>
      </w:r>
      <w:r>
        <w:rPr>
          <w:rFonts w:hint="eastAsia" w:ascii="仿宋" w:hAnsi="仿宋" w:eastAsia="仿宋" w:cs="仿宋"/>
          <w:b/>
          <w:bCs/>
          <w:color w:val="auto"/>
          <w:kern w:val="0"/>
          <w:sz w:val="24"/>
          <w:highlight w:val="none"/>
          <w:u w:val="single"/>
          <w:lang w:val="zh-CN" w:eastAsia="zh-TW"/>
        </w:rPr>
        <w:t>竣工结算及其他资料。</w:t>
      </w:r>
      <w:r>
        <w:rPr>
          <w:rFonts w:hint="eastAsia" w:ascii="仿宋" w:hAnsi="仿宋" w:eastAsia="仿宋" w:cs="仿宋"/>
          <w:b/>
          <w:bCs/>
          <w:color w:val="auto"/>
          <w:kern w:val="0"/>
          <w:sz w:val="24"/>
          <w:highlight w:val="none"/>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承包人需要提交的竣工资料套数：</w:t>
      </w:r>
      <w:r>
        <w:rPr>
          <w:rFonts w:hint="eastAsia" w:ascii="仿宋" w:hAnsi="仿宋" w:eastAsia="仿宋" w:cs="仿宋"/>
          <w:b/>
          <w:bCs/>
          <w:color w:val="auto"/>
          <w:kern w:val="0"/>
          <w:sz w:val="24"/>
          <w:highlight w:val="none"/>
          <w:u w:val="single"/>
          <w:lang w:val="zh-CN"/>
        </w:rPr>
        <w:t>肆套</w:t>
      </w:r>
      <w:r>
        <w:rPr>
          <w:rFonts w:hint="eastAsia" w:ascii="仿宋" w:hAnsi="仿宋" w:eastAsia="仿宋" w:cs="仿宋"/>
          <w:color w:val="auto"/>
          <w:kern w:val="0"/>
          <w:sz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承包人提交的竣工资料的费用承担：</w:t>
      </w:r>
      <w:r>
        <w:rPr>
          <w:rFonts w:hint="eastAsia" w:ascii="仿宋" w:hAnsi="仿宋" w:eastAsia="仿宋" w:cs="仿宋"/>
          <w:b/>
          <w:bCs/>
          <w:color w:val="auto"/>
          <w:kern w:val="0"/>
          <w:sz w:val="24"/>
          <w:highlight w:val="none"/>
          <w:u w:val="single"/>
          <w:lang w:val="zh-CN"/>
        </w:rPr>
        <w:t>由承包人承担</w:t>
      </w:r>
      <w:r>
        <w:rPr>
          <w:rFonts w:hint="eastAsia" w:ascii="仿宋" w:hAnsi="仿宋" w:eastAsia="仿宋" w:cs="仿宋"/>
          <w:color w:val="auto"/>
          <w:kern w:val="0"/>
          <w:sz w:val="24"/>
          <w:highlight w:val="none"/>
          <w:lang w:val="zh-CN"/>
        </w:rPr>
        <w:t>。</w:t>
      </w:r>
    </w:p>
    <w:p>
      <w:pPr>
        <w:tabs>
          <w:tab w:val="left" w:pos="1126"/>
        </w:tabs>
        <w:overflowPunct w:val="0"/>
        <w:autoSpaceDE w:val="0"/>
        <w:autoSpaceDN w:val="0"/>
        <w:adjustRightIn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承包人提交的竣工资料移交时间：</w:t>
      </w:r>
      <w:r>
        <w:rPr>
          <w:rFonts w:hint="eastAsia" w:ascii="仿宋" w:hAnsi="仿宋" w:eastAsia="仿宋" w:cs="仿宋"/>
          <w:b/>
          <w:color w:val="auto"/>
          <w:kern w:val="0"/>
          <w:sz w:val="24"/>
          <w:highlight w:val="none"/>
          <w:u w:val="single"/>
        </w:rPr>
        <w:t xml:space="preserve">工程竣工验收合格之日算起28天内  </w:t>
      </w:r>
      <w:r>
        <w:rPr>
          <w:rFonts w:hint="eastAsia" w:ascii="仿宋" w:hAnsi="仿宋" w:eastAsia="仿宋" w:cs="仿宋"/>
          <w:b/>
          <w:color w:val="auto"/>
          <w:kern w:val="0"/>
          <w:sz w:val="24"/>
          <w:highlight w:val="none"/>
        </w:rPr>
        <w:t xml:space="preserve">。 </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承包人提交的竣工资料形式要求：</w:t>
      </w:r>
      <w:r>
        <w:rPr>
          <w:rFonts w:hint="eastAsia" w:ascii="仿宋" w:hAnsi="仿宋" w:eastAsia="仿宋" w:cs="仿宋"/>
          <w:b/>
          <w:bCs/>
          <w:color w:val="auto"/>
          <w:kern w:val="0"/>
          <w:sz w:val="24"/>
          <w:highlight w:val="none"/>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（6）承包人应履行的其他义务：</w:t>
      </w:r>
    </w:p>
    <w:p>
      <w:pPr>
        <w:autoSpaceDE w:val="0"/>
        <w:autoSpaceDN w:val="0"/>
        <w:adjustRightInd w:val="0"/>
        <w:spacing w:line="360" w:lineRule="auto"/>
        <w:ind w:firstLine="482"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82"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82"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C. 在施工合同范围内，为完成施工合同内容所采取的任何措施均由承包人承担。</w:t>
      </w:r>
    </w:p>
    <w:p>
      <w:pPr>
        <w:autoSpaceDE w:val="0"/>
        <w:autoSpaceDN w:val="0"/>
        <w:adjustRightInd w:val="0"/>
        <w:spacing w:line="360" w:lineRule="auto"/>
        <w:ind w:firstLine="482"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82"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82"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 项目经理</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3.2.1 项目经理：</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姓    名：；</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身份证号：；</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建造师执业资格等级：；</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建造师注册证书号：；</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建造师执业印章号：；</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安全生产考核合格证书号：；</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联系电话：；</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电子信箱：；</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通信地址：；</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rPr>
      </w:pPr>
      <w:r>
        <w:rPr>
          <w:rFonts w:hint="eastAsia" w:ascii="仿宋" w:hAnsi="仿宋" w:eastAsia="仿宋" w:cs="仿宋"/>
          <w:color w:val="auto"/>
          <w:kern w:val="0"/>
          <w:sz w:val="24"/>
          <w:highlight w:val="none"/>
          <w:lang w:val="zh-CN"/>
        </w:rPr>
        <w:t>承包人对项目经理的授权范围如下：</w:t>
      </w:r>
      <w:r>
        <w:rPr>
          <w:rFonts w:hint="eastAsia" w:ascii="仿宋" w:hAnsi="仿宋" w:eastAsia="仿宋" w:cs="仿宋"/>
          <w:b/>
          <w:bCs/>
          <w:color w:val="auto"/>
          <w:kern w:val="0"/>
          <w:sz w:val="24"/>
          <w:highlight w:val="none"/>
          <w:u w:val="single"/>
          <w:lang w:val="zh-CN"/>
        </w:rPr>
        <w:t>负责现场工程管理、协调关系、听从发包人的指挥。</w:t>
      </w:r>
    </w:p>
    <w:p>
      <w:pPr>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关于项目经理每月在施工现场的时间要求：</w:t>
      </w:r>
      <w:r>
        <w:rPr>
          <w:rFonts w:hint="eastAsia" w:ascii="仿宋" w:hAnsi="仿宋" w:eastAsia="仿宋" w:cs="仿宋"/>
          <w:b/>
          <w:bCs/>
          <w:color w:val="auto"/>
          <w:kern w:val="0"/>
          <w:sz w:val="24"/>
          <w:highlight w:val="none"/>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承包人未提交劳动合同，以及没有为项目经理缴纳社会保险证明的违约责任：</w:t>
      </w:r>
      <w:r>
        <w:rPr>
          <w:rFonts w:hint="eastAsia" w:ascii="仿宋" w:hAnsi="仿宋" w:eastAsia="仿宋" w:cs="仿宋"/>
          <w:b/>
          <w:bCs/>
          <w:color w:val="auto"/>
          <w:kern w:val="0"/>
          <w:sz w:val="24"/>
          <w:highlight w:val="none"/>
          <w:u w:val="single"/>
          <w:lang w:val="zh-CN"/>
        </w:rPr>
        <w:t xml:space="preserve"> 除须补交资料及补齐手续外，另收取500元违约金。</w:t>
      </w:r>
    </w:p>
    <w:p>
      <w:pPr>
        <w:autoSpaceDE w:val="0"/>
        <w:autoSpaceDN w:val="0"/>
        <w:adjustRightInd w:val="0"/>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lang w:val="zh-CN"/>
        </w:rPr>
        <w:t>3.2.3 承包人擅自更换项目经理的违约责任：</w:t>
      </w:r>
      <w:r>
        <w:rPr>
          <w:rFonts w:hint="eastAsia" w:ascii="仿宋" w:hAnsi="仿宋" w:eastAsia="仿宋" w:cs="仿宋"/>
          <w:b/>
          <w:bCs/>
          <w:color w:val="auto"/>
          <w:sz w:val="24"/>
          <w:highlight w:val="none"/>
          <w:u w:val="single"/>
        </w:rPr>
        <w:t>承包人必须指派投标书中承诺的项目负责人到施工现场负责施工管理，不得更换。</w:t>
      </w:r>
    </w:p>
    <w:p>
      <w:pPr>
        <w:autoSpaceDE w:val="0"/>
        <w:autoSpaceDN w:val="0"/>
        <w:adjustRightInd w:val="0"/>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lang w:val="zh-CN"/>
        </w:rPr>
        <w:t>3.2.4 承包人无正当理由拒绝更换项目经理的违约责任：</w:t>
      </w:r>
      <w:r>
        <w:rPr>
          <w:rFonts w:hint="eastAsia" w:ascii="仿宋" w:hAnsi="仿宋" w:eastAsia="仿宋" w:cs="仿宋"/>
          <w:b/>
          <w:bCs/>
          <w:color w:val="auto"/>
          <w:kern w:val="0"/>
          <w:sz w:val="24"/>
          <w:highlight w:val="none"/>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 承包人人员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b/>
          <w:color w:val="auto"/>
          <w:sz w:val="24"/>
          <w:highlight w:val="none"/>
          <w:u w:val="single"/>
        </w:rPr>
        <w:t>开工前3天</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3.3.2 承包人无正当理由拒绝撤换主要施工管理人员的违约责任：</w:t>
      </w:r>
      <w:r>
        <w:rPr>
          <w:rFonts w:hint="eastAsia" w:ascii="仿宋" w:hAnsi="仿宋" w:eastAsia="仿宋" w:cs="仿宋"/>
          <w:b/>
          <w:bCs/>
          <w:color w:val="auto"/>
          <w:kern w:val="0"/>
          <w:sz w:val="24"/>
          <w:highlight w:val="none"/>
          <w:u w:val="single"/>
          <w:lang w:val="zh-CN"/>
        </w:rPr>
        <w:t>承包人常驻项目部组成人员经发包人考核不合格者，承包人必须在一周内无条件更换。</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3.3.3 承包人主要施工管理人员离开施工现场的批准要求： </w:t>
      </w:r>
      <w:r>
        <w:rPr>
          <w:rFonts w:hint="eastAsia" w:ascii="仿宋" w:hAnsi="仿宋" w:eastAsia="仿宋" w:cs="仿宋"/>
          <w:b/>
          <w:color w:val="auto"/>
          <w:sz w:val="24"/>
          <w:highlight w:val="none"/>
          <w:u w:val="single"/>
        </w:rPr>
        <w:t>发包人书面认可后方可离开</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 xml:space="preserve"> 分包</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 xml:space="preserve"> 工程照管与成品、半成品保护</w:t>
      </w:r>
    </w:p>
    <w:p>
      <w:pPr>
        <w:autoSpaceDE w:val="0"/>
        <w:autoSpaceDN w:val="0"/>
        <w:adjustRightIn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lang w:val="zh-CN"/>
        </w:rPr>
        <w:t>承包人负责照管工程及工程相关的材料、工程设备的起始时间：</w:t>
      </w:r>
      <w:r>
        <w:rPr>
          <w:rFonts w:hint="eastAsia" w:ascii="仿宋" w:hAnsi="仿宋" w:eastAsia="仿宋" w:cs="仿宋"/>
          <w:b/>
          <w:color w:val="auto"/>
          <w:sz w:val="24"/>
          <w:highlight w:val="none"/>
          <w:u w:val="single"/>
        </w:rPr>
        <w:t>设备、人员进场至验收交付使用前由承包人负责保修，无其它特殊要求的，费用由承包人承担</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 xml:space="preserve"> 履约担保</w:t>
      </w:r>
    </w:p>
    <w:p>
      <w:pPr>
        <w:autoSpaceDE w:val="0"/>
        <w:autoSpaceDN w:val="0"/>
        <w:adjustRightInd w:val="0"/>
        <w:spacing w:line="360" w:lineRule="auto"/>
        <w:ind w:firstLine="480" w:firstLineChars="200"/>
        <w:rPr>
          <w:rFonts w:hint="eastAsia" w:ascii="仿宋" w:hAnsi="仿宋" w:eastAsia="仿宋" w:cs="仿宋"/>
          <w:b/>
          <w:bCs/>
          <w:color w:val="auto"/>
          <w:kern w:val="0"/>
          <w:sz w:val="24"/>
          <w:highlight w:val="none"/>
          <w:u w:val="single"/>
          <w:lang w:val="zh-CN"/>
        </w:rPr>
      </w:pPr>
      <w:r>
        <w:rPr>
          <w:rFonts w:hint="eastAsia" w:ascii="仿宋" w:hAnsi="仿宋" w:eastAsia="仿宋" w:cs="仿宋"/>
          <w:color w:val="auto"/>
          <w:kern w:val="0"/>
          <w:sz w:val="24"/>
          <w:highlight w:val="none"/>
          <w:lang w:val="zh-CN"/>
        </w:rPr>
        <w:t>承包人是否提供履约担保：</w:t>
      </w:r>
      <w:r>
        <w:rPr>
          <w:rFonts w:hint="eastAsia" w:ascii="仿宋" w:hAnsi="仿宋" w:eastAsia="仿宋" w:cs="仿宋"/>
          <w:b/>
          <w:bCs/>
          <w:color w:val="auto"/>
          <w:kern w:val="0"/>
          <w:sz w:val="24"/>
          <w:highlight w:val="none"/>
          <w:u w:val="single"/>
          <w:lang w:val="zh-CN"/>
        </w:rPr>
        <w:t xml:space="preserve">  提供  。</w:t>
      </w:r>
    </w:p>
    <w:p>
      <w:pPr>
        <w:autoSpaceDE w:val="0"/>
        <w:autoSpaceDN w:val="0"/>
        <w:adjustRightInd w:val="0"/>
        <w:spacing w:line="360" w:lineRule="auto"/>
        <w:ind w:firstLine="480" w:firstLineChars="200"/>
        <w:rPr>
          <w:rFonts w:hint="eastAsia" w:ascii="仿宋" w:hAnsi="仿宋" w:eastAsia="仿宋" w:cs="仿宋"/>
          <w:b/>
          <w:bCs/>
          <w:color w:val="auto"/>
          <w:sz w:val="24"/>
          <w:highlight w:val="none"/>
          <w:u w:val="single"/>
        </w:rPr>
      </w:pPr>
      <w:r>
        <w:rPr>
          <w:rFonts w:hint="eastAsia" w:ascii="仿宋" w:hAnsi="仿宋" w:eastAsia="仿宋" w:cs="仿宋"/>
          <w:color w:val="auto"/>
          <w:kern w:val="0"/>
          <w:sz w:val="24"/>
          <w:highlight w:val="none"/>
          <w:lang w:val="zh-CN"/>
        </w:rPr>
        <w:t>承包人提供履约担保的形式、金额及期限：</w:t>
      </w:r>
      <w:r>
        <w:rPr>
          <w:rFonts w:hint="eastAsia" w:ascii="仿宋" w:hAnsi="仿宋" w:eastAsia="仿宋" w:cs="仿宋"/>
          <w:b/>
          <w:bCs/>
          <w:color w:val="auto"/>
          <w:sz w:val="24"/>
          <w:highlight w:val="none"/>
          <w:u w:val="single"/>
        </w:rPr>
        <w:t>投标人提供的履约保证金为合同价的10%，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pPr>
        <w:autoSpaceDE w:val="0"/>
        <w:autoSpaceDN w:val="0"/>
        <w:adjustRightIn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3.6.3关于质量保证金的补充约定： </w:t>
      </w:r>
    </w:p>
    <w:p>
      <w:pPr>
        <w:autoSpaceDE w:val="0"/>
        <w:autoSpaceDN w:val="0"/>
        <w:adjustRightIn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sz w:val="24"/>
          <w:highlight w:val="none"/>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 监理人</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 工程质量</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质量要求</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5.1.1</w:t>
      </w:r>
      <w:r>
        <w:rPr>
          <w:rFonts w:hint="eastAsia" w:ascii="仿宋" w:hAnsi="仿宋" w:eastAsia="仿宋" w:cs="仿宋"/>
          <w:b/>
          <w:color w:val="auto"/>
          <w:sz w:val="24"/>
          <w:highlight w:val="none"/>
          <w:u w:val="single"/>
          <w:lang w:val="zh-CN"/>
        </w:rPr>
        <w:t>工程质量必须达到国家施工质量验收规范合格标准。</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双方对质量评定意见不一致时，由南通市质监站进行质量评定。</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5.2 隐蔽工程检查</w:t>
      </w:r>
    </w:p>
    <w:p>
      <w:pPr>
        <w:autoSpaceDE w:val="0"/>
        <w:autoSpaceDN w:val="0"/>
        <w:adjustRightInd w:val="0"/>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lang w:val="zh-CN"/>
        </w:rPr>
        <w:t>承包人提前通</w:t>
      </w:r>
      <w:r>
        <w:rPr>
          <w:rFonts w:hint="eastAsia" w:ascii="仿宋" w:hAnsi="仿宋" w:eastAsia="仿宋" w:cs="仿宋"/>
          <w:color w:val="auto"/>
          <w:sz w:val="24"/>
          <w:highlight w:val="none"/>
        </w:rPr>
        <w:t>知建设单位隐蔽工程检查的期限的约定：</w:t>
      </w:r>
      <w:r>
        <w:rPr>
          <w:rFonts w:hint="eastAsia" w:ascii="仿宋" w:hAnsi="仿宋" w:eastAsia="仿宋" w:cs="仿宋"/>
          <w:b/>
          <w:color w:val="auto"/>
          <w:sz w:val="24"/>
          <w:highlight w:val="none"/>
          <w:u w:val="single"/>
        </w:rPr>
        <w:t>按规定进行验收。共同检查前48小时书面通知建设单位。</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建设单位</w:t>
      </w:r>
      <w:r>
        <w:rPr>
          <w:rFonts w:hint="eastAsia" w:ascii="仿宋" w:hAnsi="仿宋" w:eastAsia="仿宋" w:cs="仿宋"/>
          <w:color w:val="auto"/>
          <w:sz w:val="24"/>
          <w:highlight w:val="none"/>
        </w:rPr>
        <w:t>不能按时进行检查时，应提前</w:t>
      </w:r>
      <w:r>
        <w:rPr>
          <w:rFonts w:hint="eastAsia" w:ascii="仿宋" w:hAnsi="仿宋" w:eastAsia="仿宋" w:cs="仿宋"/>
          <w:color w:val="auto"/>
          <w:sz w:val="24"/>
          <w:highlight w:val="none"/>
          <w:u w:val="single"/>
        </w:rPr>
        <w:t>24</w:t>
      </w:r>
      <w:r>
        <w:rPr>
          <w:rFonts w:hint="eastAsia" w:ascii="仿宋" w:hAnsi="仿宋" w:eastAsia="仿宋" w:cs="仿宋"/>
          <w:color w:val="auto"/>
          <w:sz w:val="24"/>
          <w:highlight w:val="none"/>
        </w:rPr>
        <w:t>小时提交书面延期要求。</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关</w:t>
      </w:r>
      <w:r>
        <w:rPr>
          <w:rFonts w:hint="eastAsia" w:ascii="仿宋" w:hAnsi="仿宋" w:eastAsia="仿宋" w:cs="仿宋"/>
          <w:color w:val="auto"/>
          <w:sz w:val="24"/>
          <w:highlight w:val="none"/>
        </w:rPr>
        <w:t>于延期最长不得超过：</w:t>
      </w:r>
      <w:r>
        <w:rPr>
          <w:rFonts w:hint="eastAsia" w:ascii="仿宋" w:hAnsi="仿宋" w:eastAsia="仿宋" w:cs="仿宋"/>
          <w:color w:val="auto"/>
          <w:sz w:val="24"/>
          <w:highlight w:val="none"/>
          <w:u w:val="single"/>
        </w:rPr>
        <w:t>48</w:t>
      </w:r>
      <w:r>
        <w:rPr>
          <w:rFonts w:hint="eastAsia" w:ascii="仿宋" w:hAnsi="仿宋" w:eastAsia="仿宋" w:cs="仿宋"/>
          <w:color w:val="auto"/>
          <w:sz w:val="24"/>
          <w:highlight w:val="none"/>
        </w:rPr>
        <w:t>小时。</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6. 安全文明施工与环境保护</w:t>
      </w:r>
    </w:p>
    <w:p>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6.1安全文明施工</w:t>
      </w:r>
    </w:p>
    <w:p>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6.1.1 项目安全</w:t>
      </w:r>
      <w:r>
        <w:rPr>
          <w:rFonts w:hint="eastAsia" w:ascii="仿宋" w:hAnsi="仿宋" w:eastAsia="仿宋" w:cs="仿宋"/>
          <w:color w:val="auto"/>
          <w:kern w:val="0"/>
          <w:sz w:val="24"/>
          <w:highlight w:val="none"/>
          <w:lang w:val="zh-CN"/>
        </w:rPr>
        <w:t>生产的达标目标及相应事项的约定</w:t>
      </w:r>
      <w:r>
        <w:rPr>
          <w:rFonts w:hint="eastAsia" w:ascii="仿宋" w:hAnsi="仿宋" w:eastAsia="仿宋" w:cs="仿宋"/>
          <w:color w:val="auto"/>
          <w:sz w:val="24"/>
          <w:highlight w:val="none"/>
          <w:lang w:val="zh-CN"/>
        </w:rPr>
        <w:t>：</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fldChar w:fldCharType="begin"/>
      </w:r>
      <w:r>
        <w:rPr>
          <w:rFonts w:hint="eastAsia" w:ascii="仿宋" w:hAnsi="仿宋" w:eastAsia="仿宋" w:cs="仿宋"/>
          <w:b/>
          <w:color w:val="auto"/>
          <w:sz w:val="24"/>
          <w:highlight w:val="none"/>
          <w:u w:val="single"/>
        </w:rPr>
        <w:instrText xml:space="preserve"> = 1 \* GB2 </w:instrText>
      </w:r>
      <w:r>
        <w:rPr>
          <w:rFonts w:hint="eastAsia" w:ascii="仿宋" w:hAnsi="仿宋" w:eastAsia="仿宋" w:cs="仿宋"/>
          <w:b/>
          <w:color w:val="auto"/>
          <w:sz w:val="24"/>
          <w:highlight w:val="none"/>
          <w:u w:val="single"/>
        </w:rPr>
        <w:fldChar w:fldCharType="separate"/>
      </w:r>
      <w:r>
        <w:rPr>
          <w:rFonts w:hint="eastAsia" w:ascii="仿宋" w:hAnsi="仿宋" w:eastAsia="仿宋" w:cs="仿宋"/>
          <w:b/>
          <w:color w:val="auto"/>
          <w:sz w:val="24"/>
          <w:highlight w:val="none"/>
          <w:u w:val="single"/>
        </w:rPr>
        <w:t>⑴</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fldChar w:fldCharType="begin"/>
      </w:r>
      <w:r>
        <w:rPr>
          <w:rFonts w:hint="eastAsia" w:ascii="仿宋" w:hAnsi="仿宋" w:eastAsia="仿宋" w:cs="仿宋"/>
          <w:b/>
          <w:color w:val="auto"/>
          <w:sz w:val="24"/>
          <w:highlight w:val="none"/>
          <w:u w:val="single"/>
        </w:rPr>
        <w:instrText xml:space="preserve"> = 2 \* GB2 </w:instrText>
      </w:r>
      <w:r>
        <w:rPr>
          <w:rFonts w:hint="eastAsia" w:ascii="仿宋" w:hAnsi="仿宋" w:eastAsia="仿宋" w:cs="仿宋"/>
          <w:b/>
          <w:color w:val="auto"/>
          <w:sz w:val="24"/>
          <w:highlight w:val="none"/>
          <w:u w:val="single"/>
        </w:rPr>
        <w:fldChar w:fldCharType="separate"/>
      </w:r>
      <w:r>
        <w:rPr>
          <w:rFonts w:hint="eastAsia" w:ascii="仿宋" w:hAnsi="仿宋" w:eastAsia="仿宋" w:cs="仿宋"/>
          <w:b/>
          <w:color w:val="auto"/>
          <w:sz w:val="24"/>
          <w:highlight w:val="none"/>
          <w:u w:val="single"/>
        </w:rPr>
        <w:t>⑵</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fldChar w:fldCharType="begin"/>
      </w:r>
      <w:r>
        <w:rPr>
          <w:rFonts w:hint="eastAsia" w:ascii="仿宋" w:hAnsi="仿宋" w:eastAsia="仿宋" w:cs="仿宋"/>
          <w:b/>
          <w:color w:val="auto"/>
          <w:sz w:val="24"/>
          <w:highlight w:val="none"/>
          <w:u w:val="single"/>
        </w:rPr>
        <w:instrText xml:space="preserve"> = 3 \* GB2 </w:instrText>
      </w:r>
      <w:r>
        <w:rPr>
          <w:rFonts w:hint="eastAsia" w:ascii="仿宋" w:hAnsi="仿宋" w:eastAsia="仿宋" w:cs="仿宋"/>
          <w:b/>
          <w:color w:val="auto"/>
          <w:sz w:val="24"/>
          <w:highlight w:val="none"/>
          <w:u w:val="single"/>
        </w:rPr>
        <w:fldChar w:fldCharType="separate"/>
      </w:r>
      <w:r>
        <w:rPr>
          <w:rFonts w:hint="eastAsia" w:ascii="仿宋" w:hAnsi="仿宋" w:eastAsia="仿宋" w:cs="仿宋"/>
          <w:b/>
          <w:color w:val="auto"/>
          <w:sz w:val="24"/>
          <w:highlight w:val="none"/>
          <w:u w:val="single"/>
        </w:rPr>
        <w:t>⑶</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fldChar w:fldCharType="begin"/>
      </w:r>
      <w:r>
        <w:rPr>
          <w:rFonts w:hint="eastAsia" w:ascii="仿宋" w:hAnsi="仿宋" w:eastAsia="仿宋" w:cs="仿宋"/>
          <w:b/>
          <w:color w:val="auto"/>
          <w:sz w:val="24"/>
          <w:highlight w:val="none"/>
          <w:u w:val="single"/>
        </w:rPr>
        <w:instrText xml:space="preserve"> = 4 \* GB2 </w:instrText>
      </w:r>
      <w:r>
        <w:rPr>
          <w:rFonts w:hint="eastAsia" w:ascii="仿宋" w:hAnsi="仿宋" w:eastAsia="仿宋" w:cs="仿宋"/>
          <w:b/>
          <w:color w:val="auto"/>
          <w:sz w:val="24"/>
          <w:highlight w:val="none"/>
          <w:u w:val="single"/>
        </w:rPr>
        <w:fldChar w:fldCharType="separate"/>
      </w:r>
      <w:r>
        <w:rPr>
          <w:rFonts w:hint="eastAsia" w:ascii="仿宋" w:hAnsi="仿宋" w:eastAsia="仿宋" w:cs="仿宋"/>
          <w:b/>
          <w:color w:val="auto"/>
          <w:sz w:val="24"/>
          <w:highlight w:val="none"/>
          <w:u w:val="single"/>
        </w:rPr>
        <w:t>⑷</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fldChar w:fldCharType="begin"/>
      </w:r>
      <w:r>
        <w:rPr>
          <w:rFonts w:hint="eastAsia" w:ascii="仿宋" w:hAnsi="仿宋" w:eastAsia="仿宋" w:cs="仿宋"/>
          <w:b/>
          <w:color w:val="auto"/>
          <w:sz w:val="24"/>
          <w:highlight w:val="none"/>
          <w:u w:val="single"/>
        </w:rPr>
        <w:instrText xml:space="preserve"> = 5 \* GB2 </w:instrText>
      </w:r>
      <w:r>
        <w:rPr>
          <w:rFonts w:hint="eastAsia" w:ascii="仿宋" w:hAnsi="仿宋" w:eastAsia="仿宋" w:cs="仿宋"/>
          <w:b/>
          <w:color w:val="auto"/>
          <w:sz w:val="24"/>
          <w:highlight w:val="none"/>
          <w:u w:val="single"/>
        </w:rPr>
        <w:fldChar w:fldCharType="separate"/>
      </w:r>
      <w:r>
        <w:rPr>
          <w:rFonts w:hint="eastAsia" w:ascii="仿宋" w:hAnsi="仿宋" w:eastAsia="仿宋" w:cs="仿宋"/>
          <w:b/>
          <w:color w:val="auto"/>
          <w:sz w:val="24"/>
          <w:highlight w:val="none"/>
          <w:u w:val="single"/>
        </w:rPr>
        <w:t>⑸</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 xml:space="preserve"> 本工程设安全文明施工保证金（合同价的1%）。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6.1.</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 xml:space="preserve"> 关于治安保卫</w:t>
      </w:r>
      <w:r>
        <w:rPr>
          <w:rFonts w:hint="eastAsia" w:ascii="仿宋" w:hAnsi="仿宋" w:eastAsia="仿宋" w:cs="仿宋"/>
          <w:color w:val="auto"/>
          <w:sz w:val="24"/>
          <w:highlight w:val="none"/>
        </w:rPr>
        <w:t>的特别约定：</w:t>
      </w:r>
      <w:r>
        <w:rPr>
          <w:rFonts w:hint="eastAsia" w:ascii="仿宋" w:hAnsi="仿宋" w:eastAsia="仿宋" w:cs="仿宋"/>
          <w:b/>
          <w:color w:val="auto"/>
          <w:sz w:val="24"/>
          <w:highlight w:val="none"/>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仿宋" w:hAnsi="仿宋" w:eastAsia="仿宋" w:cs="仿宋"/>
          <w:b/>
          <w:color w:val="auto"/>
          <w:sz w:val="24"/>
          <w:highlight w:val="none"/>
          <w:u w:val="single"/>
          <w:lang w:eastAsia="zh-TW"/>
        </w:rPr>
        <w:t>。</w:t>
      </w:r>
      <w:r>
        <w:rPr>
          <w:rFonts w:hint="eastAsia" w:ascii="仿宋" w:hAnsi="仿宋" w:eastAsia="仿宋" w:cs="仿宋"/>
          <w:b/>
          <w:color w:val="auto"/>
          <w:sz w:val="24"/>
          <w:highlight w:val="none"/>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80" w:firstLineChars="200"/>
        <w:rPr>
          <w:rFonts w:hint="eastAsia" w:ascii="仿宋" w:hAnsi="仿宋" w:eastAsia="仿宋" w:cs="仿宋"/>
          <w:b/>
          <w:color w:val="auto"/>
          <w:sz w:val="24"/>
          <w:highlight w:val="none"/>
          <w:u w:val="single"/>
          <w:lang w:val="zh-CN"/>
        </w:rPr>
      </w:pPr>
      <w:r>
        <w:rPr>
          <w:rFonts w:hint="eastAsia" w:ascii="仿宋" w:hAnsi="仿宋" w:eastAsia="仿宋" w:cs="仿宋"/>
          <w:color w:val="auto"/>
          <w:kern w:val="0"/>
          <w:sz w:val="24"/>
          <w:highlight w:val="none"/>
          <w:lang w:val="zh-CN"/>
        </w:rPr>
        <w:t>关于编</w:t>
      </w:r>
      <w:r>
        <w:rPr>
          <w:rFonts w:hint="eastAsia" w:ascii="仿宋" w:hAnsi="仿宋" w:eastAsia="仿宋" w:cs="仿宋"/>
          <w:color w:val="auto"/>
          <w:sz w:val="24"/>
          <w:highlight w:val="none"/>
        </w:rPr>
        <w:t>制施工场地治安管理计划的约定：</w:t>
      </w:r>
      <w:r>
        <w:rPr>
          <w:rFonts w:hint="eastAsia" w:ascii="仿宋" w:hAnsi="仿宋" w:eastAsia="仿宋" w:cs="仿宋"/>
          <w:b/>
          <w:color w:val="auto"/>
          <w:sz w:val="24"/>
          <w:highlight w:val="none"/>
          <w:u w:val="single"/>
        </w:rPr>
        <w:t>开工前三天提供施工场地治安管理计划，需得到发包人的认可。</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6.1.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 xml:space="preserve"> 文明施工</w:t>
      </w:r>
    </w:p>
    <w:p>
      <w:pPr>
        <w:autoSpaceDE w:val="0"/>
        <w:autoSpaceDN w:val="0"/>
        <w:adjustRightInd w:val="0"/>
        <w:spacing w:line="360" w:lineRule="auto"/>
        <w:ind w:firstLine="480" w:firstLineChars="200"/>
        <w:rPr>
          <w:rFonts w:hint="eastAsia" w:ascii="仿宋" w:hAnsi="仿宋" w:eastAsia="仿宋" w:cs="仿宋"/>
          <w:b/>
          <w:color w:val="auto"/>
          <w:sz w:val="24"/>
          <w:highlight w:val="none"/>
          <w:u w:val="single"/>
          <w:lang w:val="zh-CN"/>
        </w:rPr>
      </w:pPr>
      <w:r>
        <w:rPr>
          <w:rFonts w:hint="eastAsia" w:ascii="仿宋" w:hAnsi="仿宋" w:eastAsia="仿宋" w:cs="仿宋"/>
          <w:color w:val="auto"/>
          <w:kern w:val="0"/>
          <w:sz w:val="24"/>
          <w:highlight w:val="none"/>
          <w:lang w:val="zh-CN"/>
        </w:rPr>
        <w:t>合同当</w:t>
      </w:r>
      <w:r>
        <w:rPr>
          <w:rFonts w:hint="eastAsia" w:ascii="仿宋" w:hAnsi="仿宋" w:eastAsia="仿宋" w:cs="仿宋"/>
          <w:color w:val="auto"/>
          <w:sz w:val="24"/>
          <w:highlight w:val="none"/>
        </w:rPr>
        <w:t>事人对文明施工的要求：</w:t>
      </w:r>
      <w:r>
        <w:rPr>
          <w:rFonts w:hint="eastAsia" w:ascii="仿宋" w:hAnsi="仿宋" w:eastAsia="仿宋" w:cs="仿宋"/>
          <w:b/>
          <w:color w:val="auto"/>
          <w:sz w:val="24"/>
          <w:highlight w:val="none"/>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pPr>
        <w:autoSpaceDE w:val="0"/>
        <w:autoSpaceDN w:val="0"/>
        <w:adjustRightInd w:val="0"/>
        <w:spacing w:line="360" w:lineRule="auto"/>
        <w:ind w:firstLine="480" w:firstLineChars="200"/>
        <w:rPr>
          <w:rFonts w:hint="eastAsia" w:ascii="仿宋" w:hAnsi="仿宋" w:eastAsia="仿宋" w:cs="仿宋"/>
          <w:b/>
          <w:color w:val="auto"/>
          <w:sz w:val="24"/>
          <w:highlight w:val="none"/>
          <w:u w:val="single"/>
          <w:lang w:val="zh-CN"/>
        </w:rPr>
      </w:pPr>
      <w:r>
        <w:rPr>
          <w:rFonts w:hint="eastAsia" w:ascii="仿宋" w:hAnsi="仿宋" w:eastAsia="仿宋" w:cs="仿宋"/>
          <w:color w:val="auto"/>
          <w:kern w:val="0"/>
          <w:sz w:val="24"/>
          <w:highlight w:val="none"/>
          <w:lang w:val="zh-CN"/>
        </w:rPr>
        <w:t>6.1.</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 xml:space="preserve"> 关</w:t>
      </w:r>
      <w:r>
        <w:rPr>
          <w:rFonts w:hint="eastAsia" w:ascii="仿宋" w:hAnsi="仿宋" w:eastAsia="仿宋" w:cs="仿宋"/>
          <w:color w:val="auto"/>
          <w:sz w:val="24"/>
          <w:highlight w:val="none"/>
        </w:rPr>
        <w:t>于安全文明施工费支付比例和支付期限的约定：</w:t>
      </w:r>
      <w:r>
        <w:rPr>
          <w:rFonts w:hint="eastAsia" w:ascii="仿宋" w:hAnsi="仿宋" w:eastAsia="仿宋" w:cs="仿宋"/>
          <w:b/>
          <w:color w:val="auto"/>
          <w:sz w:val="24"/>
          <w:highlight w:val="none"/>
          <w:u w:val="single"/>
        </w:rPr>
        <w:t>已包含在合同价中，含在合同款中支付，其余按通用条款。</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6.1.</w:t>
      </w: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安全生产责任</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80" w:firstLineChars="200"/>
        <w:rPr>
          <w:rFonts w:hint="eastAsia" w:ascii="仿宋" w:hAnsi="仿宋" w:eastAsia="仿宋" w:cs="仿宋"/>
          <w:color w:val="auto"/>
          <w:sz w:val="24"/>
          <w:highlight w:val="none"/>
        </w:rPr>
      </w:pPr>
      <w:bookmarkStart w:id="89" w:name="_Toc351203639"/>
      <w:r>
        <w:rPr>
          <w:rFonts w:hint="eastAsia" w:ascii="仿宋" w:hAnsi="仿宋" w:eastAsia="仿宋" w:cs="仿宋"/>
          <w:color w:val="auto"/>
          <w:sz w:val="24"/>
          <w:highlight w:val="none"/>
        </w:rPr>
        <w:t>7．工期和进度</w:t>
      </w:r>
      <w:bookmarkEnd w:id="89"/>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90" w:name="_Toc297123514"/>
      <w:bookmarkStart w:id="91" w:name="_Toc312678005"/>
      <w:bookmarkStart w:id="92" w:name="_Toc312677479"/>
      <w:bookmarkStart w:id="93" w:name="_Toc300934966"/>
      <w:bookmarkStart w:id="94" w:name="_Toc304295541"/>
      <w:bookmarkStart w:id="95" w:name="_Toc297216173"/>
      <w:bookmarkStart w:id="96" w:name="_Toc303539123"/>
      <w:r>
        <w:rPr>
          <w:rFonts w:hint="eastAsia" w:ascii="仿宋" w:hAnsi="仿宋" w:eastAsia="仿宋" w:cs="仿宋"/>
          <w:color w:val="auto"/>
          <w:sz w:val="24"/>
          <w:highlight w:val="none"/>
        </w:rPr>
        <w:t>.1 施工进度计划</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施工进度计划的修订</w:t>
      </w:r>
    </w:p>
    <w:p>
      <w:pPr>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发包人在收到修订的施工进度计划后确认或提出修改意见的期限：</w:t>
      </w:r>
      <w:r>
        <w:rPr>
          <w:rFonts w:hint="eastAsia" w:ascii="仿宋" w:hAnsi="仿宋" w:eastAsia="仿宋" w:cs="仿宋"/>
          <w:b/>
          <w:color w:val="auto"/>
          <w:sz w:val="24"/>
          <w:highlight w:val="none"/>
          <w:u w:val="single"/>
        </w:rPr>
        <w:t>收到后7日内予以确认或提出修改意见，逾期视为已确认。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 开工准备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b/>
          <w:color w:val="auto"/>
          <w:sz w:val="24"/>
          <w:highlight w:val="none"/>
          <w:u w:val="single"/>
        </w:rPr>
        <w:t>合同签订后3天内</w:t>
      </w:r>
      <w:r>
        <w:rPr>
          <w:rFonts w:hint="eastAsia" w:ascii="仿宋" w:hAnsi="仿宋" w:eastAsia="仿宋" w:cs="仿宋"/>
          <w:color w:val="auto"/>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b/>
          <w:color w:val="auto"/>
          <w:sz w:val="24"/>
          <w:highlight w:val="none"/>
          <w:u w:val="single"/>
        </w:rPr>
        <w:t>开工前</w:t>
      </w:r>
      <w:r>
        <w:rPr>
          <w:rFonts w:hint="eastAsia" w:ascii="仿宋" w:hAnsi="仿宋" w:eastAsia="仿宋" w:cs="仿宋"/>
          <w:b/>
          <w:snapToGrid w:val="0"/>
          <w:color w:val="auto"/>
          <w:kern w:val="0"/>
          <w:sz w:val="24"/>
          <w:highlight w:val="none"/>
          <w:u w:val="single"/>
        </w:rPr>
        <w:t>发包人提供</w:t>
      </w:r>
      <w:r>
        <w:rPr>
          <w:rFonts w:hint="eastAsia" w:ascii="仿宋" w:hAnsi="仿宋" w:eastAsia="仿宋" w:cs="仿宋"/>
          <w:b/>
          <w:bCs/>
          <w:snapToGrid w:val="0"/>
          <w:color w:val="auto"/>
          <w:kern w:val="0"/>
          <w:sz w:val="24"/>
          <w:highlight w:val="none"/>
          <w:u w:val="single"/>
        </w:rPr>
        <w:t>施工用水源及电源，水、电费用由中标人承担</w:t>
      </w:r>
      <w:r>
        <w:rPr>
          <w:rFonts w:hint="eastAsia" w:ascii="仿宋" w:hAnsi="仿宋" w:eastAsia="仿宋" w:cs="仿宋"/>
          <w:b/>
          <w:bCs/>
          <w:color w:val="auto"/>
          <w:kern w:val="0"/>
          <w:sz w:val="24"/>
          <w:highlight w:val="none"/>
          <w:u w:val="single"/>
        </w:rPr>
        <w:t>；开工前组织图纸会审和设计交底。</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b/>
          <w:bCs/>
          <w:color w:val="auto"/>
          <w:kern w:val="0"/>
          <w:sz w:val="24"/>
          <w:highlight w:val="none"/>
          <w:u w:val="single"/>
        </w:rPr>
        <w:t>遵守政府有关主管部门对施工场地交通、施工噪音、环境保护和安全生产等的管理规定，按规定办理有关手续，并以书面形式通知发包人。</w:t>
      </w:r>
    </w:p>
    <w:bookmarkEnd w:id="90"/>
    <w:bookmarkEnd w:id="91"/>
    <w:bookmarkEnd w:id="92"/>
    <w:bookmarkEnd w:id="93"/>
    <w:bookmarkEnd w:id="94"/>
    <w:bookmarkEnd w:id="95"/>
    <w:bookmarkEnd w:id="96"/>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97" w:name="_Toc297123516"/>
      <w:bookmarkStart w:id="98" w:name="_Toc312678010"/>
      <w:bookmarkStart w:id="99" w:name="_Toc304295546"/>
      <w:bookmarkStart w:id="100" w:name="_Toc297216175"/>
      <w:bookmarkStart w:id="101" w:name="_Toc300934968"/>
      <w:bookmarkStart w:id="102" w:name="_Toc312677484"/>
      <w:bookmarkStart w:id="103" w:name="_Toc303539125"/>
      <w:r>
        <w:rPr>
          <w:rFonts w:hint="eastAsia" w:ascii="仿宋" w:hAnsi="仿宋" w:eastAsia="仿宋" w:cs="仿宋"/>
          <w:color w:val="auto"/>
          <w:sz w:val="24"/>
          <w:highlight w:val="none"/>
        </w:rPr>
        <w:t>.3 工期延误</w:t>
      </w:r>
    </w:p>
    <w:bookmarkEnd w:id="97"/>
    <w:bookmarkEnd w:id="98"/>
    <w:bookmarkEnd w:id="99"/>
    <w:bookmarkEnd w:id="100"/>
    <w:bookmarkEnd w:id="101"/>
    <w:bookmarkEnd w:id="102"/>
    <w:bookmarkEnd w:id="103"/>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7.3.1 因发包人原因导致工期延误的情形：</w:t>
      </w:r>
    </w:p>
    <w:p>
      <w:pPr>
        <w:spacing w:line="360" w:lineRule="auto"/>
        <w:ind w:firstLine="482" w:firstLineChars="20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A.因发包人未在开工前提供施工场地；</w:t>
      </w:r>
    </w:p>
    <w:p>
      <w:pPr>
        <w:spacing w:line="360" w:lineRule="auto"/>
        <w:ind w:firstLine="482" w:firstLineChars="20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B.因发包人原因造成工程延期开工、停建、缓建、暂停施工（不含勒令停工）；</w:t>
      </w:r>
    </w:p>
    <w:p>
      <w:pPr>
        <w:spacing w:line="360" w:lineRule="auto"/>
        <w:ind w:firstLine="482" w:firstLineChars="20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C.因发包人原因提出的单次设计变更导致工程量增加超过合同总价的8%以上的；</w:t>
      </w:r>
    </w:p>
    <w:p>
      <w:pPr>
        <w:spacing w:line="360" w:lineRule="auto"/>
        <w:ind w:firstLine="482" w:firstLineChars="20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D.由市级以上有关部门正式发布和认定的自然灾害。</w:t>
      </w:r>
    </w:p>
    <w:p>
      <w:pPr>
        <w:spacing w:line="360" w:lineRule="auto"/>
        <w:ind w:firstLine="482" w:firstLineChars="20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7.3.2 因承包人原因导致工期延误</w:t>
      </w:r>
    </w:p>
    <w:p>
      <w:pPr>
        <w:spacing w:line="360" w:lineRule="auto"/>
        <w:ind w:firstLine="480" w:firstLineChars="200"/>
        <w:rPr>
          <w:rFonts w:hint="eastAsia" w:ascii="仿宋" w:hAnsi="仿宋" w:eastAsia="仿宋" w:cs="仿宋"/>
          <w:b/>
          <w:bCs/>
          <w:color w:val="auto"/>
          <w:kern w:val="0"/>
          <w:sz w:val="24"/>
          <w:highlight w:val="none"/>
          <w:u w:val="single"/>
        </w:rPr>
      </w:pPr>
      <w:r>
        <w:rPr>
          <w:rFonts w:hint="eastAsia" w:ascii="仿宋" w:hAnsi="仿宋" w:eastAsia="仿宋" w:cs="仿宋"/>
          <w:color w:val="auto"/>
          <w:sz w:val="24"/>
          <w:highlight w:val="none"/>
        </w:rPr>
        <w:t>因承包人原因造成工期延误，逾期竣工违约金的计算方法为：</w:t>
      </w:r>
      <w:r>
        <w:rPr>
          <w:rFonts w:hint="eastAsia" w:ascii="仿宋" w:hAnsi="仿宋" w:eastAsia="仿宋" w:cs="仿宋"/>
          <w:b/>
          <w:bCs/>
          <w:color w:val="auto"/>
          <w:kern w:val="0"/>
          <w:sz w:val="24"/>
          <w:highlight w:val="none"/>
          <w:u w:val="single"/>
        </w:rPr>
        <w:t>因承包人原因延误工期，在规定的工期或阶段工期前未能完成，工期每推迟一天，支付给发包人违约金500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 不利物质条件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r>
        <w:rPr>
          <w:rFonts w:hint="eastAsia" w:ascii="仿宋" w:hAnsi="仿宋" w:eastAsia="仿宋" w:cs="仿宋"/>
          <w:b/>
          <w:color w:val="auto"/>
          <w:sz w:val="24"/>
          <w:highlight w:val="none"/>
          <w:u w:val="single"/>
        </w:rPr>
        <w:t>按通用条款。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 异常恶劣的气候条件</w:t>
      </w:r>
    </w:p>
    <w:p>
      <w:pPr>
        <w:spacing w:line="360" w:lineRule="auto"/>
        <w:ind w:firstLine="482" w:firstLineChars="20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82" w:firstLineChars="200"/>
        <w:rPr>
          <w:rFonts w:hint="eastAsia" w:ascii="仿宋" w:hAnsi="仿宋" w:eastAsia="仿宋" w:cs="仿宋"/>
          <w:b/>
          <w:color w:val="auto"/>
          <w:sz w:val="24"/>
          <w:highlight w:val="none"/>
        </w:rPr>
      </w:pPr>
      <w:bookmarkStart w:id="104" w:name="_Toc351203640"/>
      <w:r>
        <w:rPr>
          <w:rFonts w:hint="eastAsia" w:ascii="仿宋" w:hAnsi="仿宋" w:eastAsia="仿宋" w:cs="仿宋"/>
          <w:b/>
          <w:color w:val="auto"/>
          <w:sz w:val="24"/>
          <w:highlight w:val="none"/>
        </w:rPr>
        <w:t>8. 材料与设备</w:t>
      </w:r>
      <w:bookmarkEnd w:id="104"/>
    </w:p>
    <w:p>
      <w:pPr>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8</w:t>
      </w:r>
      <w:bookmarkStart w:id="105" w:name="_Toc280868654"/>
      <w:bookmarkStart w:id="106" w:name="_Toc297120467"/>
      <w:bookmarkStart w:id="107" w:name="_Toc300934979"/>
      <w:bookmarkStart w:id="108" w:name="_Toc296891207"/>
      <w:bookmarkStart w:id="109" w:name="_Toc297216186"/>
      <w:bookmarkStart w:id="110" w:name="_Toc312678019"/>
      <w:bookmarkStart w:id="111" w:name="_Toc296347166"/>
      <w:bookmarkStart w:id="112" w:name="_Toc292559877"/>
      <w:bookmarkStart w:id="113" w:name="_Toc296890995"/>
      <w:bookmarkStart w:id="114" w:name="_Toc296944506"/>
      <w:bookmarkStart w:id="115" w:name="_Toc297123527"/>
      <w:bookmarkStart w:id="116" w:name="_Toc297048353"/>
      <w:bookmarkStart w:id="117" w:name="_Toc296503167"/>
      <w:bookmarkStart w:id="118" w:name="_Toc304295556"/>
      <w:bookmarkStart w:id="119" w:name="_Toc312677493"/>
      <w:bookmarkStart w:id="120" w:name="_Toc296346668"/>
      <w:bookmarkStart w:id="121" w:name="_Toc303539136"/>
      <w:bookmarkStart w:id="122" w:name="_Toc292559372"/>
      <w:r>
        <w:rPr>
          <w:rFonts w:hint="eastAsia" w:ascii="仿宋" w:hAnsi="仿宋" w:eastAsia="仿宋" w:cs="仿宋"/>
          <w:color w:val="auto"/>
          <w:sz w:val="24"/>
          <w:highlight w:val="none"/>
        </w:rPr>
        <w:t>. 1发包人供应的材料与工程设备的保管与使用:</w:t>
      </w:r>
      <w:r>
        <w:rPr>
          <w:rFonts w:hint="eastAsia" w:ascii="仿宋" w:hAnsi="仿宋" w:eastAsia="仿宋" w:cs="仿宋"/>
          <w:b/>
          <w:color w:val="auto"/>
          <w:sz w:val="24"/>
          <w:highlight w:val="none"/>
          <w:u w:val="single"/>
        </w:rPr>
        <w:t xml:space="preserve"> 发包人不供应材料。</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发包人供应材料设备的结算方法：</w:t>
      </w:r>
      <w:r>
        <w:rPr>
          <w:rFonts w:hint="eastAsia" w:ascii="仿宋" w:hAnsi="仿宋" w:eastAsia="仿宋" w:cs="仿宋"/>
          <w:b/>
          <w:color w:val="auto"/>
          <w:sz w:val="24"/>
          <w:highlight w:val="none"/>
          <w:u w:val="singl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 样品</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pPr>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rPr>
        <w:t>需要承包人报送样品的材料或工程设备，样品的种类、名称、规格、数量要求：</w:t>
      </w:r>
      <w:r>
        <w:rPr>
          <w:rFonts w:hint="eastAsia" w:ascii="仿宋" w:hAnsi="仿宋" w:eastAsia="仿宋" w:cs="仿宋"/>
          <w:b/>
          <w:bCs/>
          <w:color w:val="auto"/>
          <w:sz w:val="24"/>
          <w:highlight w:val="none"/>
          <w:u w:val="single"/>
        </w:rPr>
        <w:t>按管理部门要求和发包人需求确定</w:t>
      </w:r>
      <w:r>
        <w:rPr>
          <w:rFonts w:hint="eastAsia" w:ascii="仿宋" w:hAnsi="仿宋" w:eastAsia="仿宋" w:cs="仿宋"/>
          <w:b/>
          <w:color w:val="auto"/>
          <w:sz w:val="24"/>
          <w:highlight w:val="none"/>
          <w:u w:val="single"/>
        </w:rPr>
        <w:t>。</w:t>
      </w:r>
    </w:p>
    <w:p>
      <w:pPr>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fldChar w:fldCharType="begin"/>
      </w:r>
      <w:r>
        <w:rPr>
          <w:rFonts w:hint="eastAsia" w:ascii="仿宋" w:hAnsi="仿宋" w:eastAsia="仿宋" w:cs="仿宋"/>
          <w:b/>
          <w:color w:val="auto"/>
          <w:kern w:val="0"/>
          <w:sz w:val="24"/>
          <w:highlight w:val="none"/>
          <w:u w:val="single"/>
        </w:rPr>
        <w:instrText xml:space="preserve"> = 1 \* GB2 </w:instrText>
      </w:r>
      <w:r>
        <w:rPr>
          <w:rFonts w:hint="eastAsia" w:ascii="仿宋" w:hAnsi="仿宋" w:eastAsia="仿宋" w:cs="仿宋"/>
          <w:b/>
          <w:color w:val="auto"/>
          <w:kern w:val="0"/>
          <w:sz w:val="24"/>
          <w:highlight w:val="none"/>
          <w:u w:val="single"/>
        </w:rPr>
        <w:fldChar w:fldCharType="separate"/>
      </w:r>
      <w:r>
        <w:rPr>
          <w:rFonts w:hint="eastAsia" w:ascii="仿宋" w:hAnsi="仿宋" w:eastAsia="仿宋" w:cs="仿宋"/>
          <w:b/>
          <w:color w:val="auto"/>
          <w:kern w:val="0"/>
          <w:sz w:val="24"/>
          <w:highlight w:val="none"/>
          <w:u w:val="single"/>
        </w:rPr>
        <w:t>⑴</w:t>
      </w:r>
      <w:r>
        <w:rPr>
          <w:rFonts w:hint="eastAsia" w:ascii="仿宋" w:hAnsi="仿宋" w:eastAsia="仿宋" w:cs="仿宋"/>
          <w:b/>
          <w:color w:val="auto"/>
          <w:kern w:val="0"/>
          <w:sz w:val="24"/>
          <w:highlight w:val="none"/>
          <w:u w:val="single"/>
        </w:rPr>
        <w:fldChar w:fldCharType="end"/>
      </w:r>
      <w:r>
        <w:rPr>
          <w:rFonts w:hint="eastAsia" w:ascii="仿宋" w:hAnsi="仿宋" w:eastAsia="仿宋" w:cs="仿宋"/>
          <w:b/>
          <w:color w:val="auto"/>
          <w:kern w:val="0"/>
          <w:sz w:val="24"/>
          <w:highlight w:val="none"/>
          <w:u w:val="single"/>
        </w:rPr>
        <w:t xml:space="preserve"> 凡是工程量清单中暂定单价的材料设备，承包人在采购前须将材料设备的品种、规格、颜色、质量、价格、样品报送相关单位；</w:t>
      </w:r>
    </w:p>
    <w:p>
      <w:pPr>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fldChar w:fldCharType="begin"/>
      </w:r>
      <w:r>
        <w:rPr>
          <w:rFonts w:hint="eastAsia" w:ascii="仿宋" w:hAnsi="仿宋" w:eastAsia="仿宋" w:cs="仿宋"/>
          <w:b/>
          <w:color w:val="auto"/>
          <w:kern w:val="0"/>
          <w:sz w:val="24"/>
          <w:highlight w:val="none"/>
          <w:u w:val="single"/>
        </w:rPr>
        <w:instrText xml:space="preserve"> = 2 \* GB2 </w:instrText>
      </w:r>
      <w:r>
        <w:rPr>
          <w:rFonts w:hint="eastAsia" w:ascii="仿宋" w:hAnsi="仿宋" w:eastAsia="仿宋" w:cs="仿宋"/>
          <w:b/>
          <w:color w:val="auto"/>
          <w:kern w:val="0"/>
          <w:sz w:val="24"/>
          <w:highlight w:val="none"/>
          <w:u w:val="single"/>
        </w:rPr>
        <w:fldChar w:fldCharType="separate"/>
      </w:r>
      <w:r>
        <w:rPr>
          <w:rFonts w:hint="eastAsia" w:ascii="仿宋" w:hAnsi="仿宋" w:eastAsia="仿宋" w:cs="仿宋"/>
          <w:b/>
          <w:color w:val="auto"/>
          <w:kern w:val="0"/>
          <w:sz w:val="24"/>
          <w:highlight w:val="none"/>
          <w:u w:val="single"/>
        </w:rPr>
        <w:t>⑵</w:t>
      </w:r>
      <w:r>
        <w:rPr>
          <w:rFonts w:hint="eastAsia" w:ascii="仿宋" w:hAnsi="仿宋" w:eastAsia="仿宋" w:cs="仿宋"/>
          <w:b/>
          <w:color w:val="auto"/>
          <w:kern w:val="0"/>
          <w:sz w:val="24"/>
          <w:highlight w:val="none"/>
          <w:u w:val="single"/>
        </w:rPr>
        <w:fldChar w:fldCharType="end"/>
      </w:r>
      <w:r>
        <w:rPr>
          <w:rFonts w:hint="eastAsia" w:ascii="仿宋" w:hAnsi="仿宋" w:eastAsia="仿宋" w:cs="仿宋"/>
          <w:b/>
          <w:color w:val="auto"/>
          <w:kern w:val="0"/>
          <w:sz w:val="24"/>
          <w:highlight w:val="none"/>
          <w:u w:val="single"/>
        </w:rPr>
        <w:t xml:space="preserve"> 凡是招标文件（工程量清单）中予以明确材料品牌范围、生产产家和规格型号的，承包人必须按招标文件（工程量清单）、发包人要求的相关标准进行采购，采购前应将拟用品牌型号的书面材料报告及样品报送相关单位。</w:t>
      </w:r>
    </w:p>
    <w:p>
      <w:pPr>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fldChar w:fldCharType="begin"/>
      </w:r>
      <w:r>
        <w:rPr>
          <w:rFonts w:hint="eastAsia" w:ascii="仿宋" w:hAnsi="仿宋" w:eastAsia="仿宋" w:cs="仿宋"/>
          <w:b/>
          <w:color w:val="auto"/>
          <w:sz w:val="24"/>
          <w:highlight w:val="none"/>
          <w:u w:val="single"/>
        </w:rPr>
        <w:instrText xml:space="preserve"> = 3 \* GB2 </w:instrText>
      </w:r>
      <w:r>
        <w:rPr>
          <w:rFonts w:hint="eastAsia" w:ascii="仿宋" w:hAnsi="仿宋" w:eastAsia="仿宋" w:cs="仿宋"/>
          <w:b/>
          <w:color w:val="auto"/>
          <w:sz w:val="24"/>
          <w:highlight w:val="none"/>
          <w:u w:val="single"/>
        </w:rPr>
        <w:fldChar w:fldCharType="separate"/>
      </w:r>
      <w:r>
        <w:rPr>
          <w:rFonts w:hint="eastAsia" w:ascii="仿宋" w:hAnsi="仿宋" w:eastAsia="仿宋" w:cs="仿宋"/>
          <w:b/>
          <w:color w:val="auto"/>
          <w:sz w:val="24"/>
          <w:highlight w:val="none"/>
          <w:u w:val="single"/>
        </w:rPr>
        <w:t>⑶</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 xml:space="preserve"> 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fldChar w:fldCharType="begin"/>
      </w:r>
      <w:r>
        <w:rPr>
          <w:rFonts w:hint="eastAsia" w:ascii="仿宋" w:hAnsi="仿宋" w:eastAsia="仿宋" w:cs="仿宋"/>
          <w:b/>
          <w:color w:val="auto"/>
          <w:kern w:val="0"/>
          <w:sz w:val="24"/>
          <w:highlight w:val="none"/>
          <w:u w:val="single"/>
        </w:rPr>
        <w:instrText xml:space="preserve"> = 4 \* GB2 </w:instrText>
      </w:r>
      <w:r>
        <w:rPr>
          <w:rFonts w:hint="eastAsia" w:ascii="仿宋" w:hAnsi="仿宋" w:eastAsia="仿宋" w:cs="仿宋"/>
          <w:b/>
          <w:color w:val="auto"/>
          <w:kern w:val="0"/>
          <w:sz w:val="24"/>
          <w:highlight w:val="none"/>
          <w:u w:val="single"/>
        </w:rPr>
        <w:fldChar w:fldCharType="separate"/>
      </w:r>
      <w:r>
        <w:rPr>
          <w:rFonts w:hint="eastAsia" w:ascii="仿宋" w:hAnsi="仿宋" w:eastAsia="仿宋" w:cs="仿宋"/>
          <w:b/>
          <w:color w:val="auto"/>
          <w:kern w:val="0"/>
          <w:sz w:val="24"/>
          <w:highlight w:val="none"/>
          <w:u w:val="single"/>
        </w:rPr>
        <w:t>⑷</w:t>
      </w:r>
      <w:r>
        <w:rPr>
          <w:rFonts w:hint="eastAsia" w:ascii="仿宋" w:hAnsi="仿宋" w:eastAsia="仿宋" w:cs="仿宋"/>
          <w:b/>
          <w:color w:val="auto"/>
          <w:kern w:val="0"/>
          <w:sz w:val="24"/>
          <w:highlight w:val="none"/>
          <w:u w:val="single"/>
        </w:rPr>
        <w:fldChar w:fldCharType="end"/>
      </w:r>
      <w:r>
        <w:rPr>
          <w:rFonts w:hint="eastAsia" w:ascii="仿宋" w:hAnsi="仿宋" w:eastAsia="仿宋" w:cs="仿宋"/>
          <w:b/>
          <w:color w:val="auto"/>
          <w:kern w:val="0"/>
          <w:sz w:val="24"/>
          <w:highlight w:val="none"/>
          <w:u w:val="single"/>
        </w:rPr>
        <w:t xml:space="preserve"> 发包人对上述材料及用于本工程的所有材料有质量认定权（如发包人对承包人采购的材料认定为不合格的，承包人必须重新采购，直到合格为止），</w:t>
      </w:r>
      <w:r>
        <w:rPr>
          <w:rFonts w:hint="eastAsia" w:ascii="仿宋" w:hAnsi="仿宋" w:eastAsia="仿宋" w:cs="仿宋"/>
          <w:b/>
          <w:color w:val="auto"/>
          <w:sz w:val="24"/>
          <w:highlight w:val="none"/>
          <w:u w:val="single"/>
        </w:rPr>
        <w:t>经发包人书面确认后，方可采购，</w:t>
      </w:r>
      <w:r>
        <w:rPr>
          <w:rFonts w:hint="eastAsia" w:ascii="仿宋" w:hAnsi="仿宋" w:eastAsia="仿宋" w:cs="仿宋"/>
          <w:b/>
          <w:color w:val="auto"/>
          <w:kern w:val="0"/>
          <w:sz w:val="24"/>
          <w:highlight w:val="none"/>
          <w:u w:val="single"/>
        </w:rPr>
        <w:t>涉及到的价格不再调整。</w:t>
      </w:r>
    </w:p>
    <w:p>
      <w:pPr>
        <w:autoSpaceDE w:val="0"/>
        <w:autoSpaceDN w:val="0"/>
        <w:adjustRightIn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fldChar w:fldCharType="begin"/>
      </w:r>
      <w:r>
        <w:rPr>
          <w:rFonts w:hint="eastAsia" w:ascii="仿宋" w:hAnsi="仿宋" w:eastAsia="仿宋" w:cs="仿宋"/>
          <w:b/>
          <w:color w:val="auto"/>
          <w:sz w:val="24"/>
          <w:highlight w:val="none"/>
          <w:u w:val="single"/>
        </w:rPr>
        <w:instrText xml:space="preserve"> = 5 \* GB2 </w:instrText>
      </w:r>
      <w:r>
        <w:rPr>
          <w:rFonts w:hint="eastAsia" w:ascii="仿宋" w:hAnsi="仿宋" w:eastAsia="仿宋" w:cs="仿宋"/>
          <w:b/>
          <w:color w:val="auto"/>
          <w:sz w:val="24"/>
          <w:highlight w:val="none"/>
          <w:u w:val="single"/>
        </w:rPr>
        <w:fldChar w:fldCharType="separate"/>
      </w:r>
      <w:r>
        <w:rPr>
          <w:rFonts w:hint="eastAsia" w:ascii="仿宋" w:hAnsi="仿宋" w:eastAsia="仿宋" w:cs="仿宋"/>
          <w:b/>
          <w:color w:val="auto"/>
          <w:sz w:val="24"/>
          <w:highlight w:val="none"/>
          <w:u w:val="single"/>
        </w:rPr>
        <w:t>⑸</w:t>
      </w:r>
      <w:r>
        <w:rPr>
          <w:rFonts w:hint="eastAsia" w:ascii="仿宋" w:hAnsi="仿宋" w:eastAsia="仿宋" w:cs="仿宋"/>
          <w:b/>
          <w:color w:val="auto"/>
          <w:sz w:val="24"/>
          <w:highlight w:val="none"/>
          <w:u w:val="single"/>
        </w:rPr>
        <w:fldChar w:fldCharType="end"/>
      </w:r>
      <w:r>
        <w:rPr>
          <w:rFonts w:hint="eastAsia" w:ascii="仿宋" w:hAnsi="仿宋" w:eastAsia="仿宋" w:cs="仿宋"/>
          <w:b/>
          <w:color w:val="auto"/>
          <w:sz w:val="24"/>
          <w:highlight w:val="none"/>
          <w:u w:val="single"/>
        </w:rPr>
        <w:t xml:space="preserve"> 发包人有权对承包人提供的材料和设备进行抽检，对不符合设计要求及验收规范的材料和设备，有权终止使用，发生的一切损失和费用由承包人承担。</w:t>
      </w:r>
      <w:r>
        <w:rPr>
          <w:rFonts w:hint="eastAsia" w:ascii="仿宋" w:hAnsi="仿宋" w:eastAsia="仿宋" w:cs="仿宋"/>
          <w:b/>
          <w:bCs/>
          <w:color w:val="auto"/>
          <w:sz w:val="24"/>
          <w:highlight w:val="none"/>
          <w:u w:val="single"/>
        </w:rPr>
        <w:t>根据需要可在事前、事中、事后进行抽检，不论在哪个阶段查出问题，所造成的损失均由承包人负责。</w:t>
      </w:r>
    </w:p>
    <w:p>
      <w:pPr>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fldChar w:fldCharType="begin"/>
      </w:r>
      <w:r>
        <w:rPr>
          <w:rFonts w:hint="eastAsia" w:ascii="仿宋" w:hAnsi="仿宋" w:eastAsia="仿宋" w:cs="仿宋"/>
          <w:b/>
          <w:color w:val="auto"/>
          <w:kern w:val="0"/>
          <w:sz w:val="24"/>
          <w:highlight w:val="none"/>
          <w:u w:val="single"/>
        </w:rPr>
        <w:instrText xml:space="preserve"> = 6 \* GB2 </w:instrText>
      </w:r>
      <w:r>
        <w:rPr>
          <w:rFonts w:hint="eastAsia" w:ascii="仿宋" w:hAnsi="仿宋" w:eastAsia="仿宋" w:cs="仿宋"/>
          <w:b/>
          <w:color w:val="auto"/>
          <w:kern w:val="0"/>
          <w:sz w:val="24"/>
          <w:highlight w:val="none"/>
          <w:u w:val="single"/>
        </w:rPr>
        <w:fldChar w:fldCharType="separate"/>
      </w:r>
      <w:r>
        <w:rPr>
          <w:rFonts w:hint="eastAsia" w:ascii="仿宋" w:hAnsi="仿宋" w:eastAsia="仿宋" w:cs="仿宋"/>
          <w:b/>
          <w:color w:val="auto"/>
          <w:kern w:val="0"/>
          <w:sz w:val="24"/>
          <w:highlight w:val="none"/>
          <w:u w:val="single"/>
        </w:rPr>
        <w:t>⑹</w:t>
      </w:r>
      <w:r>
        <w:rPr>
          <w:rFonts w:hint="eastAsia" w:ascii="仿宋" w:hAnsi="仿宋" w:eastAsia="仿宋" w:cs="仿宋"/>
          <w:b/>
          <w:color w:val="auto"/>
          <w:kern w:val="0"/>
          <w:sz w:val="24"/>
          <w:highlight w:val="none"/>
          <w:u w:val="single"/>
        </w:rPr>
        <w:fldChar w:fldCharType="end"/>
      </w:r>
      <w:r>
        <w:rPr>
          <w:rFonts w:hint="eastAsia" w:ascii="仿宋" w:hAnsi="仿宋" w:eastAsia="仿宋" w:cs="仿宋"/>
          <w:b/>
          <w:color w:val="auto"/>
          <w:kern w:val="0"/>
          <w:sz w:val="24"/>
          <w:highlight w:val="none"/>
          <w:u w:val="single"/>
        </w:rPr>
        <w:t xml:space="preserve"> 主要材料设备进场时要有质保书或出厂合格证，并已进行有关必要的检验或试验；主要材料设备进场后须通知发包人验收并经书面确认后方可使用。</w:t>
      </w:r>
    </w:p>
    <w:p>
      <w:pPr>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fldChar w:fldCharType="begin"/>
      </w:r>
      <w:r>
        <w:rPr>
          <w:rFonts w:hint="eastAsia" w:ascii="仿宋" w:hAnsi="仿宋" w:eastAsia="仿宋" w:cs="仿宋"/>
          <w:b/>
          <w:color w:val="auto"/>
          <w:kern w:val="0"/>
          <w:sz w:val="24"/>
          <w:highlight w:val="none"/>
          <w:u w:val="single"/>
        </w:rPr>
        <w:instrText xml:space="preserve"> = 7 \* GB2 </w:instrText>
      </w:r>
      <w:r>
        <w:rPr>
          <w:rFonts w:hint="eastAsia" w:ascii="仿宋" w:hAnsi="仿宋" w:eastAsia="仿宋" w:cs="仿宋"/>
          <w:b/>
          <w:color w:val="auto"/>
          <w:kern w:val="0"/>
          <w:sz w:val="24"/>
          <w:highlight w:val="none"/>
          <w:u w:val="single"/>
        </w:rPr>
        <w:fldChar w:fldCharType="separate"/>
      </w:r>
      <w:r>
        <w:rPr>
          <w:rFonts w:hint="eastAsia" w:ascii="仿宋" w:hAnsi="仿宋" w:eastAsia="仿宋" w:cs="仿宋"/>
          <w:b/>
          <w:color w:val="auto"/>
          <w:kern w:val="0"/>
          <w:sz w:val="24"/>
          <w:highlight w:val="none"/>
          <w:u w:val="single"/>
        </w:rPr>
        <w:t>⑺</w:t>
      </w:r>
      <w:r>
        <w:rPr>
          <w:rFonts w:hint="eastAsia" w:ascii="仿宋" w:hAnsi="仿宋" w:eastAsia="仿宋" w:cs="仿宋"/>
          <w:b/>
          <w:color w:val="auto"/>
          <w:kern w:val="0"/>
          <w:sz w:val="24"/>
          <w:highlight w:val="none"/>
          <w:u w:val="single"/>
        </w:rPr>
        <w:fldChar w:fldCharType="end"/>
      </w:r>
      <w:r>
        <w:rPr>
          <w:rFonts w:hint="eastAsia" w:ascii="仿宋" w:hAnsi="仿宋" w:eastAsia="仿宋" w:cs="仿宋"/>
          <w:b/>
          <w:color w:val="auto"/>
          <w:kern w:val="0"/>
          <w:sz w:val="24"/>
          <w:highlight w:val="none"/>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若承包人不按上述有关条款采购材料，则由此引起的一切责任与后果均由承包人承担。</w:t>
      </w:r>
    </w:p>
    <w:p>
      <w:pPr>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fldChar w:fldCharType="begin"/>
      </w:r>
      <w:r>
        <w:rPr>
          <w:rFonts w:hint="eastAsia" w:ascii="仿宋" w:hAnsi="仿宋" w:eastAsia="仿宋" w:cs="仿宋"/>
          <w:b/>
          <w:color w:val="auto"/>
          <w:kern w:val="0"/>
          <w:sz w:val="24"/>
          <w:highlight w:val="none"/>
          <w:u w:val="single"/>
        </w:rPr>
        <w:instrText xml:space="preserve"> = 8 \* GB2 </w:instrText>
      </w:r>
      <w:r>
        <w:rPr>
          <w:rFonts w:hint="eastAsia" w:ascii="仿宋" w:hAnsi="仿宋" w:eastAsia="仿宋" w:cs="仿宋"/>
          <w:b/>
          <w:color w:val="auto"/>
          <w:kern w:val="0"/>
          <w:sz w:val="24"/>
          <w:highlight w:val="none"/>
          <w:u w:val="single"/>
        </w:rPr>
        <w:fldChar w:fldCharType="separate"/>
      </w:r>
      <w:r>
        <w:rPr>
          <w:rFonts w:hint="eastAsia" w:ascii="仿宋" w:hAnsi="仿宋" w:eastAsia="仿宋" w:cs="仿宋"/>
          <w:b/>
          <w:color w:val="auto"/>
          <w:kern w:val="0"/>
          <w:sz w:val="24"/>
          <w:highlight w:val="none"/>
          <w:u w:val="single"/>
        </w:rPr>
        <w:t>⑻</w:t>
      </w:r>
      <w:r>
        <w:rPr>
          <w:rFonts w:hint="eastAsia" w:ascii="仿宋" w:hAnsi="仿宋" w:eastAsia="仿宋" w:cs="仿宋"/>
          <w:b/>
          <w:color w:val="auto"/>
          <w:kern w:val="0"/>
          <w:sz w:val="24"/>
          <w:highlight w:val="none"/>
          <w:u w:val="single"/>
        </w:rPr>
        <w:fldChar w:fldCharType="end"/>
      </w:r>
      <w:r>
        <w:rPr>
          <w:rFonts w:hint="eastAsia" w:ascii="仿宋" w:hAnsi="仿宋" w:eastAsia="仿宋" w:cs="仿宋"/>
          <w:b/>
          <w:color w:val="auto"/>
          <w:kern w:val="0"/>
          <w:sz w:val="24"/>
          <w:highlight w:val="none"/>
          <w:u w:val="single"/>
        </w:rPr>
        <w:t xml:space="preserve"> 须发包人认质认价的材料，由承包人提前25天以上向发包人提出。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8.3施工设备和临时设施</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8.3.1 承包人提供的施工设备和临时设施</w:t>
      </w:r>
    </w:p>
    <w:p>
      <w:pPr>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b/>
          <w:color w:val="auto"/>
          <w:sz w:val="24"/>
          <w:highlight w:val="none"/>
          <w:u w:val="single"/>
        </w:rPr>
        <w:t>与承包人有关的由承包人自行承担。</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 试验与检验</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bookmarkStart w:id="123" w:name="_Toc304295560"/>
      <w:bookmarkStart w:id="124" w:name="_Toc297123534"/>
      <w:bookmarkStart w:id="125" w:name="_Toc312677496"/>
      <w:bookmarkStart w:id="126" w:name="_Toc303539140"/>
      <w:bookmarkStart w:id="127" w:name="_Toc297216193"/>
      <w:bookmarkStart w:id="128" w:name="_Toc300934983"/>
      <w:bookmarkStart w:id="129" w:name="_Toc312678022"/>
      <w:r>
        <w:rPr>
          <w:rFonts w:hint="eastAsia" w:ascii="仿宋" w:hAnsi="仿宋" w:eastAsia="仿宋" w:cs="仿宋"/>
          <w:color w:val="auto"/>
          <w:kern w:val="0"/>
          <w:sz w:val="24"/>
          <w:highlight w:val="none"/>
          <w:lang w:val="zh-CN"/>
        </w:rPr>
        <w:t>.1试验设备与试验人员</w:t>
      </w:r>
    </w:p>
    <w:bookmarkEnd w:id="123"/>
    <w:bookmarkEnd w:id="124"/>
    <w:bookmarkEnd w:id="125"/>
    <w:bookmarkEnd w:id="126"/>
    <w:bookmarkEnd w:id="127"/>
    <w:bookmarkEnd w:id="128"/>
    <w:bookmarkEnd w:id="129"/>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bookmarkStart w:id="130" w:name="_Toc297123535"/>
      <w:bookmarkStart w:id="131" w:name="_Toc304295561"/>
      <w:bookmarkStart w:id="132" w:name="_Toc312678023"/>
      <w:bookmarkStart w:id="133" w:name="_Toc312677497"/>
      <w:bookmarkStart w:id="134" w:name="_Toc297216194"/>
      <w:bookmarkStart w:id="135" w:name="_Toc300934984"/>
      <w:bookmarkStart w:id="136" w:name="_Toc303539141"/>
      <w:r>
        <w:rPr>
          <w:rFonts w:hint="eastAsia" w:ascii="仿宋" w:hAnsi="仿宋" w:eastAsia="仿宋" w:cs="仿宋"/>
          <w:color w:val="auto"/>
          <w:kern w:val="0"/>
          <w:sz w:val="24"/>
          <w:highlight w:val="none"/>
          <w:lang w:val="zh-CN"/>
        </w:rPr>
        <w:t>.1.2 试验设备</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施工现</w:t>
      </w:r>
      <w:r>
        <w:rPr>
          <w:rFonts w:hint="eastAsia" w:ascii="仿宋" w:hAnsi="仿宋" w:eastAsia="仿宋" w:cs="仿宋"/>
          <w:color w:val="auto"/>
          <w:sz w:val="24"/>
          <w:highlight w:val="none"/>
        </w:rPr>
        <w:t>场需要配置的试验场所：</w:t>
      </w:r>
      <w:bookmarkEnd w:id="130"/>
      <w:bookmarkEnd w:id="131"/>
      <w:bookmarkEnd w:id="132"/>
      <w:bookmarkEnd w:id="133"/>
      <w:bookmarkEnd w:id="134"/>
      <w:bookmarkEnd w:id="135"/>
      <w:bookmarkEnd w:id="136"/>
      <w:r>
        <w:rPr>
          <w:rFonts w:hint="eastAsia" w:ascii="仿宋" w:hAnsi="仿宋" w:eastAsia="仿宋" w:cs="仿宋"/>
          <w:b/>
          <w:color w:val="auto"/>
          <w:sz w:val="24"/>
          <w:highlight w:val="none"/>
          <w:u w:val="single"/>
        </w:rPr>
        <w:t>按有关规定执行</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施工现场</w:t>
      </w:r>
      <w:r>
        <w:rPr>
          <w:rFonts w:hint="eastAsia" w:ascii="仿宋" w:hAnsi="仿宋" w:eastAsia="仿宋" w:cs="仿宋"/>
          <w:color w:val="auto"/>
          <w:sz w:val="24"/>
          <w:highlight w:val="none"/>
        </w:rPr>
        <w:t>需要配备的试验设备：</w:t>
      </w:r>
      <w:r>
        <w:rPr>
          <w:rFonts w:hint="eastAsia" w:ascii="仿宋" w:hAnsi="仿宋" w:eastAsia="仿宋" w:cs="仿宋"/>
          <w:b/>
          <w:color w:val="auto"/>
          <w:sz w:val="24"/>
          <w:highlight w:val="none"/>
          <w:u w:val="single"/>
        </w:rPr>
        <w:t>按有关规定执行</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施工现场需要具</w:t>
      </w:r>
      <w:r>
        <w:rPr>
          <w:rFonts w:hint="eastAsia" w:ascii="仿宋" w:hAnsi="仿宋" w:eastAsia="仿宋" w:cs="仿宋"/>
          <w:color w:val="auto"/>
          <w:sz w:val="24"/>
          <w:highlight w:val="none"/>
        </w:rPr>
        <w:t>备的其他试验条件：</w:t>
      </w:r>
      <w:r>
        <w:rPr>
          <w:rFonts w:hint="eastAsia" w:ascii="仿宋" w:hAnsi="仿宋" w:eastAsia="仿宋" w:cs="仿宋"/>
          <w:b/>
          <w:color w:val="auto"/>
          <w:sz w:val="24"/>
          <w:highlight w:val="none"/>
          <w:u w:val="single"/>
        </w:rPr>
        <w:t>按有关规定执行</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 xml:space="preserve">9.4 现场工艺试验 </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现场工艺试验</w:t>
      </w:r>
      <w:r>
        <w:rPr>
          <w:rFonts w:hint="eastAsia" w:ascii="仿宋" w:hAnsi="仿宋" w:eastAsia="仿宋" w:cs="仿宋"/>
          <w:color w:val="auto"/>
          <w:sz w:val="24"/>
          <w:highlight w:val="none"/>
        </w:rPr>
        <w:t>的有关约定：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b/>
          <w:color w:val="auto"/>
          <w:sz w:val="24"/>
          <w:highlight w:val="none"/>
        </w:rPr>
      </w:pPr>
      <w:bookmarkStart w:id="137" w:name="_Toc351203642"/>
      <w:r>
        <w:rPr>
          <w:rFonts w:hint="eastAsia" w:ascii="仿宋" w:hAnsi="仿宋" w:eastAsia="仿宋" w:cs="仿宋"/>
          <w:b/>
          <w:color w:val="auto"/>
          <w:sz w:val="24"/>
          <w:highlight w:val="none"/>
        </w:rPr>
        <w:t>1</w:t>
      </w:r>
      <w:bookmarkStart w:id="138" w:name="_Toc297123540"/>
      <w:bookmarkStart w:id="139" w:name="_Toc304295566"/>
      <w:bookmarkStart w:id="140" w:name="_Toc296503193"/>
      <w:bookmarkStart w:id="141" w:name="_Toc297120493"/>
      <w:bookmarkStart w:id="142" w:name="_Toc296346694"/>
      <w:bookmarkStart w:id="143" w:name="_Toc296347192"/>
      <w:bookmarkStart w:id="144" w:name="_Toc292559398"/>
      <w:bookmarkStart w:id="145" w:name="_Toc297216199"/>
      <w:bookmarkStart w:id="146" w:name="_Toc300934989"/>
      <w:bookmarkStart w:id="147" w:name="_Toc292559903"/>
      <w:bookmarkStart w:id="148" w:name="_Toc297048379"/>
      <w:bookmarkStart w:id="149" w:name="_Toc303539146"/>
      <w:bookmarkStart w:id="150" w:name="_Toc296891021"/>
      <w:bookmarkStart w:id="151" w:name="_Toc296944532"/>
      <w:bookmarkStart w:id="152" w:name="_Toc296891233"/>
      <w:bookmarkStart w:id="153" w:name="_Toc312677499"/>
      <w:bookmarkStart w:id="154" w:name="_Toc312678025"/>
      <w:bookmarkStart w:id="155" w:name="_Toc267251440"/>
      <w:bookmarkStart w:id="156" w:name="_Toc267251437"/>
      <w:bookmarkStart w:id="157" w:name="_Toc267251441"/>
      <w:bookmarkStart w:id="158" w:name="_Toc267251435"/>
      <w:bookmarkStart w:id="159" w:name="_Toc267251433"/>
      <w:bookmarkStart w:id="160" w:name="_Toc267251439"/>
      <w:r>
        <w:rPr>
          <w:rFonts w:hint="eastAsia" w:ascii="仿宋" w:hAnsi="仿宋" w:eastAsia="仿宋" w:cs="仿宋"/>
          <w:b/>
          <w:color w:val="auto"/>
          <w:sz w:val="24"/>
          <w:highlight w:val="none"/>
        </w:rPr>
        <w:t>0. 变更</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bookmarkEnd w:id="153"/>
    <w:bookmarkEnd w:id="154"/>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61" w:name="_Toc296503194"/>
      <w:bookmarkStart w:id="162" w:name="_Toc297216200"/>
      <w:bookmarkStart w:id="163" w:name="_Toc300934990"/>
      <w:bookmarkStart w:id="164" w:name="_Toc297120494"/>
      <w:bookmarkStart w:id="165" w:name="_Toc312677500"/>
      <w:bookmarkStart w:id="166" w:name="_Toc292559399"/>
      <w:bookmarkStart w:id="167" w:name="_Toc296891234"/>
      <w:bookmarkStart w:id="168" w:name="_Toc297048380"/>
      <w:bookmarkStart w:id="169" w:name="_Toc296347193"/>
      <w:bookmarkStart w:id="170" w:name="_Toc297123541"/>
      <w:bookmarkStart w:id="171" w:name="_Toc304295567"/>
      <w:bookmarkStart w:id="172" w:name="_Toc296346695"/>
      <w:bookmarkStart w:id="173" w:name="_Toc296944533"/>
      <w:bookmarkStart w:id="174" w:name="_Toc312678026"/>
      <w:bookmarkStart w:id="175" w:name="_Toc296891022"/>
      <w:bookmarkStart w:id="176" w:name="_Toc303539147"/>
      <w:bookmarkStart w:id="177" w:name="_Toc292559904"/>
      <w:r>
        <w:rPr>
          <w:rFonts w:hint="eastAsia" w:ascii="仿宋" w:hAnsi="仿宋" w:eastAsia="仿宋" w:cs="仿宋"/>
          <w:color w:val="auto"/>
          <w:sz w:val="24"/>
          <w:highlight w:val="none"/>
        </w:rPr>
        <w:t>0.1变更的范围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关于变更的范围约定：</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承包人不得随意更改设计，因承包人自身原因导致的工程变更，承包人无权要求追加合同价款。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10.2变更程序</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发包人要求变更的按下列方式处理：</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10.2.3承包人报送的变更签证费用计算书必须按照每份变更、签证通知单编制，发包人不接受承包人以汇总方式编制的多项变更、签证事项的计算书。</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rPr>
        <w:t>10.2.8合同履约中，发包、承包双方填制的变更、签证通知单都应使用发包人统一发放的标准表格，否则发包人可以不予审核费用，承包人可以不予接受。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 变更估价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 变更估价原则</w:t>
      </w:r>
    </w:p>
    <w:p>
      <w:pPr>
        <w:spacing w:line="540" w:lineRule="exact"/>
        <w:ind w:firstLine="480" w:firstLineChars="200"/>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关于变更估价的约定：</w:t>
      </w:r>
      <w:r>
        <w:rPr>
          <w:rFonts w:hint="eastAsia" w:ascii="仿宋" w:hAnsi="仿宋" w:eastAsia="仿宋" w:cs="仿宋"/>
          <w:b/>
          <w:color w:val="auto"/>
          <w:sz w:val="24"/>
          <w:highlight w:val="none"/>
          <w:u w:val="single"/>
        </w:rPr>
        <w:t xml:space="preserve"> </w:t>
      </w:r>
      <w:r>
        <w:rPr>
          <w:rFonts w:hint="eastAsia" w:ascii="仿宋" w:hAnsi="仿宋" w:eastAsia="仿宋" w:cs="仿宋"/>
          <w:b/>
          <w:bCs/>
          <w:color w:val="auto"/>
          <w:sz w:val="24"/>
          <w:highlight w:val="none"/>
          <w:u w:val="single"/>
        </w:rPr>
        <w:t>本工程的施工部分为固定单价合同，施工建安工程费待工程竣工合格后由承包人按招标文件约定结算编制依据编制施工建安工程结算价，结算价经招标人确认后报审计单位审核。</w:t>
      </w:r>
    </w:p>
    <w:p>
      <w:pPr>
        <w:spacing w:line="54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如因发包人原因导致施工范围及内容扩大而发生的工程量变更，按合同有关规定按实结算。</w:t>
      </w:r>
    </w:p>
    <w:p>
      <w:pPr>
        <w:spacing w:line="54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所有设计变更、签证须按发包人的流程程序办理变更手续，任何未按发包人程序办理的变更、签证，均不予结算。承包人确认在签订本合同前已了解发包人有关变更和调整的相关程序，并承诺认可和遵守上述相关规定。</w:t>
      </w:r>
    </w:p>
    <w:p>
      <w:pPr>
        <w:spacing w:line="54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工程项目实施期间和结算时，由招标人、监理单位现场签证确认的工程项目以及招标人批准的设计变更产生的工程项目，按以下顺序确定价格：</w:t>
      </w:r>
    </w:p>
    <w:p>
      <w:pPr>
        <w:spacing w:line="54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（1）已标价工程量清单或预算书有相同项目的，按照相同项目单价认定；       </w:t>
      </w:r>
    </w:p>
    <w:p>
      <w:pPr>
        <w:spacing w:line="54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（2）已标价工程量清单或预算书中无相同项目，但有类似项目的，参照类似项目的单价认定； </w:t>
      </w:r>
    </w:p>
    <w:p>
      <w:pPr>
        <w:spacing w:line="54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承包人编制变更价款的依据如下：按12.1.1关于合同价格形式的约定相关条款执行 </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03539150"/>
      <w:bookmarkStart w:id="179" w:name="_Toc292559402"/>
      <w:bookmarkStart w:id="180" w:name="_Toc297048383"/>
      <w:bookmarkStart w:id="181" w:name="_Toc296346698"/>
      <w:bookmarkStart w:id="182" w:name="_Toc296347196"/>
      <w:bookmarkStart w:id="183" w:name="_Toc297123544"/>
      <w:bookmarkStart w:id="184" w:name="_Toc300934993"/>
      <w:bookmarkStart w:id="185" w:name="_Toc296944536"/>
      <w:bookmarkStart w:id="186" w:name="_Toc296891025"/>
      <w:bookmarkStart w:id="187" w:name="_Toc296891237"/>
      <w:bookmarkStart w:id="188" w:name="_Toc297120497"/>
      <w:bookmarkStart w:id="189" w:name="_Toc296503197"/>
      <w:bookmarkStart w:id="190" w:name="_Toc292559907"/>
      <w:bookmarkStart w:id="191" w:name="_Toc297216203"/>
      <w:bookmarkStart w:id="192" w:name="_Toc304295570"/>
      <w:bookmarkStart w:id="193" w:name="_Toc312678029"/>
      <w:bookmarkStart w:id="194" w:name="_Toc312677503"/>
      <w:r>
        <w:rPr>
          <w:rFonts w:hint="eastAsia" w:ascii="仿宋" w:hAnsi="仿宋" w:eastAsia="仿宋" w:cs="仿宋"/>
          <w:color w:val="auto"/>
          <w:sz w:val="24"/>
          <w:highlight w:val="none"/>
        </w:rPr>
        <w:t>0.4承</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5" w:name="_Toc297120503"/>
      <w:bookmarkStart w:id="196" w:name="_Toc300934994"/>
      <w:bookmarkStart w:id="197" w:name="_Toc296891031"/>
      <w:bookmarkStart w:id="198" w:name="_Toc292559408"/>
      <w:bookmarkStart w:id="199" w:name="_Toc297123545"/>
      <w:bookmarkStart w:id="200" w:name="_Toc296944542"/>
      <w:bookmarkStart w:id="201" w:name="_Toc292559913"/>
      <w:bookmarkStart w:id="202" w:name="_Toc296346704"/>
      <w:bookmarkStart w:id="203" w:name="_Toc296891243"/>
      <w:bookmarkStart w:id="204" w:name="_Toc296347202"/>
      <w:bookmarkStart w:id="205" w:name="_Toc303539151"/>
      <w:bookmarkStart w:id="206" w:name="_Toc296503203"/>
      <w:bookmarkStart w:id="207" w:name="_Toc297048389"/>
      <w:bookmarkStart w:id="208" w:name="_Toc297216204"/>
      <w:r>
        <w:rPr>
          <w:rFonts w:hint="eastAsia" w:ascii="仿宋" w:hAnsi="仿宋" w:eastAsia="仿宋" w:cs="仿宋"/>
          <w:color w:val="auto"/>
          <w:sz w:val="24"/>
          <w:highlight w:val="none"/>
        </w:rPr>
        <w:t>包人的合理化建议</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 xml:space="preserve">  7日内    </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w:t>
      </w:r>
      <w:bookmarkStart w:id="209" w:name="_Toc297216205"/>
      <w:bookmarkStart w:id="210" w:name="_Toc300934995"/>
      <w:bookmarkStart w:id="211" w:name="_Toc312678030"/>
      <w:bookmarkStart w:id="212" w:name="_Toc303539152"/>
      <w:bookmarkStart w:id="213" w:name="_Toc296503204"/>
      <w:bookmarkStart w:id="214" w:name="_Toc304295571"/>
      <w:bookmarkStart w:id="215" w:name="_Toc297120504"/>
      <w:bookmarkStart w:id="216" w:name="_Toc296891032"/>
      <w:bookmarkStart w:id="217" w:name="_Toc292559409"/>
      <w:bookmarkStart w:id="218" w:name="_Toc296347203"/>
      <w:bookmarkStart w:id="219" w:name="_Toc318581175"/>
      <w:bookmarkStart w:id="220" w:name="_Toc297048390"/>
      <w:bookmarkStart w:id="221" w:name="_Toc292559914"/>
      <w:bookmarkStart w:id="222" w:name="_Toc296944543"/>
      <w:bookmarkStart w:id="223" w:name="_Toc297123546"/>
      <w:bookmarkStart w:id="224" w:name="_Toc312677504"/>
      <w:bookmarkStart w:id="225" w:name="_Toc296891244"/>
      <w:bookmarkStart w:id="226" w:name="_Toc296346705"/>
      <w:r>
        <w:rPr>
          <w:rFonts w:hint="eastAsia" w:ascii="仿宋" w:hAnsi="仿宋" w:eastAsia="仿宋" w:cs="仿宋"/>
          <w:color w:val="auto"/>
          <w:sz w:val="24"/>
          <w:highlight w:val="none"/>
        </w:rPr>
        <w:t>包人提出的合理化建议降低了合同价格或者提高了工程经济效益的奖励的方法和金额为：</w:t>
      </w:r>
      <w:r>
        <w:rPr>
          <w:rFonts w:hint="eastAsia" w:ascii="仿宋" w:hAnsi="仿宋" w:eastAsia="仿宋" w:cs="仿宋"/>
          <w:color w:val="auto"/>
          <w:sz w:val="24"/>
          <w:highlight w:val="none"/>
          <w:u w:val="single"/>
        </w:rPr>
        <w:t xml:space="preserve"> 另行约定  </w:t>
      </w:r>
      <w:r>
        <w:rPr>
          <w:rFonts w:hint="eastAsia" w:ascii="仿宋" w:hAnsi="仿宋" w:eastAsia="仿宋" w:cs="仿宋"/>
          <w:color w:val="auto"/>
          <w:sz w:val="24"/>
          <w:highlight w:val="none"/>
        </w:rPr>
        <w:t>。</w:t>
      </w:r>
    </w:p>
    <w:bookmarkEnd w:id="155"/>
    <w:bookmarkEnd w:id="156"/>
    <w:bookmarkEnd w:id="157"/>
    <w:bookmarkEnd w:id="158"/>
    <w:bookmarkEnd w:id="159"/>
    <w:bookmarkEnd w:id="16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计量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1 计量原则</w:t>
      </w:r>
    </w:p>
    <w:p>
      <w:pPr>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工程量计算规则：</w:t>
      </w:r>
      <w:r>
        <w:rPr>
          <w:rFonts w:hint="eastAsia" w:ascii="仿宋" w:hAnsi="仿宋" w:eastAsia="仿宋" w:cs="仿宋"/>
          <w:b/>
          <w:bCs/>
          <w:color w:val="auto"/>
          <w:kern w:val="0"/>
          <w:sz w:val="24"/>
          <w:highlight w:val="none"/>
          <w:u w:val="single"/>
        </w:rPr>
        <w:t>《建设工程工程量清单计价规范》（GB50500-2013）、《江苏省房屋修缮工程计价表》（2009年版）、</w:t>
      </w:r>
      <w:r>
        <w:rPr>
          <w:rFonts w:hint="eastAsia" w:ascii="仿宋" w:hAnsi="仿宋" w:eastAsia="仿宋" w:cs="仿宋"/>
          <w:b/>
          <w:bCs/>
          <w:color w:val="auto"/>
          <w:kern w:val="0"/>
          <w:sz w:val="24"/>
          <w:highlight w:val="none"/>
          <w:u w:val="single"/>
          <w:lang w:eastAsia="zh-TW"/>
        </w:rPr>
        <w:t>《江苏省</w:t>
      </w:r>
      <w:r>
        <w:rPr>
          <w:rFonts w:hint="eastAsia" w:ascii="仿宋" w:hAnsi="仿宋" w:eastAsia="仿宋" w:cs="仿宋"/>
          <w:b/>
          <w:bCs/>
          <w:color w:val="auto"/>
          <w:kern w:val="0"/>
          <w:sz w:val="24"/>
          <w:highlight w:val="none"/>
          <w:u w:val="single"/>
        </w:rPr>
        <w:t>建筑与装饰工程计价定额》2014年版、《江苏省安装工程计价定额》2014年版等</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12合同价格与支付</w:t>
      </w:r>
    </w:p>
    <w:p>
      <w:pPr>
        <w:spacing w:line="540" w:lineRule="exact"/>
        <w:ind w:firstLine="482" w:firstLineChars="200"/>
        <w:rPr>
          <w:rFonts w:hint="eastAsia" w:ascii="仿宋" w:hAnsi="仿宋" w:eastAsia="仿宋" w:cs="仿宋"/>
          <w:b/>
          <w:bCs/>
          <w:color w:val="auto"/>
          <w:sz w:val="24"/>
          <w:highlight w:val="none"/>
        </w:rPr>
      </w:pPr>
      <w:bookmarkStart w:id="227" w:name="_Toc297048397"/>
      <w:bookmarkStart w:id="228" w:name="_Toc292559416"/>
      <w:bookmarkStart w:id="229" w:name="_Toc296944550"/>
      <w:bookmarkStart w:id="230" w:name="_Toc296346712"/>
      <w:bookmarkStart w:id="231" w:name="_Toc297120511"/>
      <w:bookmarkStart w:id="232" w:name="_Toc296503211"/>
      <w:bookmarkStart w:id="233" w:name="_Toc296891251"/>
      <w:bookmarkStart w:id="234" w:name="_Toc297216215"/>
      <w:bookmarkStart w:id="235" w:name="_Toc297123556"/>
      <w:bookmarkStart w:id="236" w:name="_Toc292559921"/>
      <w:bookmarkStart w:id="237" w:name="_Toc296347210"/>
      <w:bookmarkStart w:id="238" w:name="_Toc300935006"/>
      <w:bookmarkStart w:id="239" w:name="_Toc296891039"/>
      <w:bookmarkStart w:id="240" w:name="_Toc303539163"/>
      <w:r>
        <w:rPr>
          <w:rFonts w:hint="eastAsia" w:ascii="仿宋" w:hAnsi="仿宋" w:eastAsia="仿宋" w:cs="仿宋"/>
          <w:b/>
          <w:bCs/>
          <w:color w:val="auto"/>
          <w:sz w:val="24"/>
          <w:highlight w:val="none"/>
        </w:rPr>
        <w:t>12.1合同价格形式</w:t>
      </w:r>
    </w:p>
    <w:p>
      <w:pPr>
        <w:spacing w:line="540" w:lineRule="exact"/>
        <w:ind w:firstLine="480" w:firstLineChars="200"/>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 xml:space="preserve">12.1.1关于合同价格形式的约定： </w:t>
      </w:r>
      <w:r>
        <w:rPr>
          <w:rFonts w:hint="eastAsia" w:ascii="仿宋" w:hAnsi="仿宋" w:eastAsia="仿宋" w:cs="仿宋"/>
          <w:b/>
          <w:bCs/>
          <w:color w:val="auto"/>
          <w:sz w:val="24"/>
          <w:highlight w:val="none"/>
          <w:u w:val="single"/>
        </w:rPr>
        <w:t>本工程施工建安费为固定单价合同，除本合同通用、专用条款约定的调整因素外。</w:t>
      </w:r>
    </w:p>
    <w:p>
      <w:pPr>
        <w:pStyle w:val="22"/>
        <w:spacing w:before="0"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施工图预算价、施工图预算审核价、工程施工合同价、竣工结算编制、审核要求：</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rPr>
        <w:t>）项目设计费用已包含在合同总价中，竣工结算时不作调整。在合同实施期间，项目设计费用不随设计周期的变化而调整</w:t>
      </w:r>
      <w:r>
        <w:rPr>
          <w:rFonts w:hint="eastAsia" w:ascii="仿宋" w:hAnsi="仿宋" w:eastAsia="仿宋" w:cs="仿宋"/>
          <w:color w:val="auto"/>
          <w:sz w:val="24"/>
          <w:highlight w:val="none"/>
        </w:rPr>
        <w:t>；不随国家政策调整或法规、标准及市场因素变化进行调整；不随各项工程建安费的增减而调整。因发包人另行增加其他工程设计任务的，费用由建设单位、代建单位和承包人（牵头单位）协商确定；因发包人建设计划的调整而减少某一项或几项设计任务时，则发包人将核减对应项目的设计费用。如发包人要求分期或分批提交设计图纸，发包人则按设计人提交完成比例支付相应设计费。</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（2）由承包人根据工程量汇总表内的明细进行深化设计施工图，</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结算时，承包单位待工程竣工合格后按施工建安工程费签约合同价、</w:t>
      </w:r>
      <w:r>
        <w:rPr>
          <w:rFonts w:hint="eastAsia" w:ascii="仿宋" w:hAnsi="仿宋" w:eastAsia="仿宋" w:cs="仿宋"/>
          <w:color w:val="auto"/>
          <w:sz w:val="24"/>
          <w:highlight w:val="none"/>
        </w:rPr>
        <w:t>工程量清单、</w:t>
      </w:r>
      <w:r>
        <w:rPr>
          <w:rFonts w:hint="eastAsia" w:ascii="仿宋" w:hAnsi="仿宋" w:eastAsia="仿宋" w:cs="仿宋"/>
          <w:bCs/>
          <w:color w:val="auto"/>
          <w:sz w:val="24"/>
          <w:highlight w:val="none"/>
        </w:rPr>
        <w:t>相关签证及招标文件约定按实编制施工建安工程结算价，结算价经招标人确认后报审计单位审核确认，出具结算审</w:t>
      </w:r>
      <w:r>
        <w:rPr>
          <w:rFonts w:hint="eastAsia" w:ascii="仿宋" w:hAnsi="仿宋" w:eastAsia="仿宋" w:cs="仿宋"/>
          <w:color w:val="auto"/>
          <w:sz w:val="24"/>
          <w:highlight w:val="none"/>
        </w:rPr>
        <w:t>计报告。</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若出现工程量汇总表里面的内容增减，结算时，按照工程量清单中的内容予以增减；若出现工程量清单内容外的额外增加其他项工程量时，编制增项施工图预算审核价。</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其中材料价格风险系数：</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工程执行《关于建筑业实施营改增后进一步明确建设工程材料风险控制机价差调整计算方法的通知》通建价[2016]22号，采用造价信息调整价格差额：当工程施工期间非主要建筑材料价格上涨或下跌的，其差价均由承包人承担或收益；当工程施工期间主要建筑材料价格上涨或下跌幅度在5%以内（含5%）的，其差价由承包人承担或受益，超过5%的部分由发包人承担或受益。</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建筑材料费用占单位工程费用的比值a：a=【单位工程某类别建筑材料工程总数量（包括变更调整数量）×中标单价／单位工程结算总造价（不含人工、材料风险价差部分）】×100%。当a值＞5%时，该建筑材料为主要建筑材料，当a值≤5%，该建筑材料为非主要建筑材料。</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应承担的主要建筑材料价格涨跌风险幅度b应为5%：主要建筑材料差价的确定：应以工程所在地造价管理部门发布的材料指导价格为基准【缺指导价的材料以发包人、承包人、监理等单位确认的市场信息价为准】，差价为施工期同类材料加权平均指导价格【施工期材料加权平均指导价=Σ（每月实际使用量×当月材料指导价）/同类材料总用量】与本招标文件基准日材料指导价（开标当月）编制依据的材料指导价格的差额。材料用量应为已标价工程量清单及其综合单价分析表中的含量乘以实际完成的相应合格工程量。</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工期延误的，延误期间发生的材料价格上涨差额由发包人承担；因承包人原因造成工期延误的，延误期间发生的材料价格上涨差额由承包人承担。国家法律、法规、规章和政策发生变化影响工程造价的，应按省级或行业建设部门或其授权的工程造价管理机构发布的文件调整合同价款。</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工程类别核定按工程所在地工程造价管理部门核定标准执行；</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安全文明施工费结算时按造价管理部门核定的标准调整，未经核定，不得计取。</w:t>
      </w: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工程费用项目按《江苏省建设工程费用定额》（2014）文件中相关费率计取，其中不可竞争费用：执行文件规定（不可竞争费包括：现场安全文明施工措施费（基本费）、扬尘污染防治增加费、社会保障费、住房公积金、税金等）。</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12.1.2关于合同价格调整的约定，可调整的内容：</w:t>
      </w: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（1）发包人提出的建设范围、建设规模、建设标准、建设内容、功能需求、工期或质 量要求发生变化的；</w:t>
      </w: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（2）主要工程材料价格和基准期价格相比，波动幅度超过合同约定幅度的部分；</w:t>
      </w: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（3）因国家法律法规政策发生变化引起的合同价格的变化；</w:t>
      </w: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（4）不可预见的地质条件造成的工程费用和工期的变化；</w:t>
      </w: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（5）其他不可抗力造成工程费用增加的。</w:t>
      </w: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（6）其他发包人允许调整的内容。</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12.1.3按实际完成的工程量支付工程价款的计量方法、估价方法：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12.2付款周期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关于付款周期的约定：</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竣工验收合格付至合同价的60%，审计完成后，付至审计价的97%，余3%为保修金，工程质量保修金待保修期满无质量问题后一次性无息返还。</w:t>
      </w:r>
    </w:p>
    <w:p>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签订时签约合同价按中标价签约。施工建安工程费待工程竣工合格后由承包人按招标文件约定结算编制依据编制施工建安工程结算价，结算价经招标人确认后报审计单位审核，如最终审定的施工建安工程费超过本项目施工建安工程费用中标价的，则按中标价进行结算。如最终审定的施工建安工程费未超过施工建安工程费用中标价的，则按审定的施工建安工程费进行结算。</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rPr>
        <w:t>每次支付工程款前，承包人必须开具符合税务部门规定的正式发票。承包人未提供符合要求的发票的，发包人有权拒绝付款。付款基数为合同价扣除暂列金额的金额。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w:t>
      </w:r>
    </w:p>
    <w:p>
      <w:pPr>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hint="eastAsia" w:ascii="仿宋" w:hAnsi="仿宋" w:eastAsia="仿宋" w:cs="仿宋"/>
          <w:b/>
          <w:bCs/>
          <w:color w:val="auto"/>
          <w:sz w:val="24"/>
          <w:highlight w:val="none"/>
          <w:u w:val="single"/>
        </w:rPr>
        <w:t>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12.3进度付款申请单的编制</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关于进度付款申请单编制的约定：</w:t>
      </w:r>
      <w:r>
        <w:rPr>
          <w:rFonts w:hint="eastAsia" w:ascii="仿宋" w:hAnsi="仿宋" w:eastAsia="仿宋" w:cs="仿宋"/>
          <w:b/>
          <w:bCs/>
          <w:color w:val="auto"/>
          <w:kern w:val="0"/>
          <w:sz w:val="24"/>
          <w:highlight w:val="none"/>
          <w:u w:val="single"/>
        </w:rPr>
        <w:t>按通用条款执行。</w:t>
      </w:r>
      <w:r>
        <w:rPr>
          <w:rFonts w:hint="eastAsia" w:ascii="仿宋" w:hAnsi="仿宋" w:eastAsia="仿宋" w:cs="仿宋"/>
          <w:b/>
          <w:color w:val="auto"/>
          <w:kern w:val="0"/>
          <w:sz w:val="24"/>
          <w:highlight w:val="none"/>
          <w:u w:val="single"/>
          <w:lang w:eastAsia="zh-TW"/>
        </w:rPr>
        <w:t>每次支付工程款前，承包人必须开具符合税务部门规定的正式发票。承包人未提供符合要求的发票的，发包人有权拒绝付款。</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Pr>
        <w:spacing w:line="360" w:lineRule="auto"/>
        <w:ind w:firstLine="482" w:firstLineChars="200"/>
        <w:rPr>
          <w:rFonts w:hint="eastAsia" w:ascii="仿宋" w:hAnsi="仿宋" w:eastAsia="仿宋" w:cs="仿宋"/>
          <w:b/>
          <w:color w:val="auto"/>
          <w:sz w:val="24"/>
          <w:highlight w:val="none"/>
        </w:rPr>
      </w:pPr>
      <w:bookmarkStart w:id="241" w:name="_Toc351203645"/>
      <w:bookmarkStart w:id="242" w:name="_Toc300935015"/>
      <w:bookmarkStart w:id="243" w:name="_Toc296944558"/>
      <w:bookmarkStart w:id="244" w:name="_Toc297048405"/>
      <w:bookmarkStart w:id="245" w:name="_Toc296503219"/>
      <w:bookmarkStart w:id="246" w:name="_Toc304295593"/>
      <w:bookmarkStart w:id="247" w:name="_Toc292559929"/>
      <w:bookmarkStart w:id="248" w:name="_Toc312678053"/>
      <w:bookmarkStart w:id="249" w:name="_Toc292559424"/>
      <w:bookmarkStart w:id="250" w:name="_Toc297123564"/>
      <w:bookmarkStart w:id="251" w:name="_Toc303539172"/>
      <w:bookmarkStart w:id="252" w:name="_Toc296346720"/>
      <w:bookmarkStart w:id="253" w:name="_Toc296891047"/>
      <w:bookmarkStart w:id="254" w:name="_Toc297216223"/>
      <w:bookmarkStart w:id="255" w:name="_Toc297120519"/>
      <w:bookmarkStart w:id="256" w:name="_Toc296891259"/>
      <w:bookmarkStart w:id="257" w:name="_Toc296347218"/>
      <w:r>
        <w:rPr>
          <w:rFonts w:hint="eastAsia" w:ascii="仿宋" w:hAnsi="仿宋" w:eastAsia="仿宋" w:cs="仿宋"/>
          <w:b/>
          <w:color w:val="auto"/>
          <w:sz w:val="24"/>
          <w:highlight w:val="none"/>
        </w:rPr>
        <w:t>13.验收和工程试车</w:t>
      </w:r>
      <w:bookmarkEnd w:id="24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13.1分部分项工程验收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发包人不能按时进行验收时，应提前</w:t>
      </w:r>
      <w:r>
        <w:rPr>
          <w:rFonts w:hint="eastAsia" w:ascii="仿宋" w:hAnsi="仿宋" w:eastAsia="仿宋" w:cs="仿宋"/>
          <w:b/>
          <w:color w:val="auto"/>
          <w:sz w:val="24"/>
          <w:highlight w:val="none"/>
          <w:u w:val="single"/>
        </w:rPr>
        <w:t xml:space="preserve">  24  </w:t>
      </w:r>
      <w:r>
        <w:rPr>
          <w:rFonts w:hint="eastAsia" w:ascii="仿宋" w:hAnsi="仿宋" w:eastAsia="仿宋" w:cs="仿宋"/>
          <w:color w:val="auto"/>
          <w:sz w:val="24"/>
          <w:highlight w:val="none"/>
        </w:rPr>
        <w:t>小时提交书面延期要求。</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b/>
          <w:color w:val="auto"/>
          <w:sz w:val="24"/>
          <w:highlight w:val="none"/>
          <w:u w:val="single"/>
        </w:rPr>
        <w:t xml:space="preserve">   48  </w:t>
      </w:r>
      <w:r>
        <w:rPr>
          <w:rFonts w:hint="eastAsia" w:ascii="仿宋" w:hAnsi="仿宋" w:eastAsia="仿宋" w:cs="仿宋"/>
          <w:color w:val="auto"/>
          <w:sz w:val="24"/>
          <w:highlight w:val="none"/>
        </w:rPr>
        <w:t>小时。</w:t>
      </w:r>
    </w:p>
    <w:p>
      <w:pPr>
        <w:spacing w:line="360" w:lineRule="auto"/>
        <w:ind w:firstLine="480" w:firstLineChars="200"/>
        <w:rPr>
          <w:rFonts w:hint="eastAsia" w:ascii="仿宋" w:hAnsi="仿宋" w:eastAsia="仿宋" w:cs="仿宋"/>
          <w:color w:val="auto"/>
          <w:sz w:val="24"/>
          <w:highlight w:val="none"/>
        </w:rPr>
      </w:pPr>
      <w:bookmarkStart w:id="258" w:name="_Toc296503223"/>
      <w:bookmarkStart w:id="259" w:name="_Toc297216224"/>
      <w:bookmarkStart w:id="260" w:name="_Toc297048409"/>
      <w:bookmarkStart w:id="261" w:name="_Toc300935016"/>
      <w:bookmarkStart w:id="262" w:name="_Toc296347222"/>
      <w:bookmarkStart w:id="263" w:name="_Toc296944562"/>
      <w:bookmarkStart w:id="264" w:name="_Toc297120523"/>
      <w:bookmarkStart w:id="265" w:name="_Toc297123565"/>
      <w:bookmarkStart w:id="266" w:name="_Toc296346724"/>
      <w:bookmarkStart w:id="267" w:name="_Toc296891051"/>
      <w:bookmarkStart w:id="268" w:name="_Toc292559428"/>
      <w:bookmarkStart w:id="269" w:name="_Toc292559933"/>
      <w:bookmarkStart w:id="270" w:name="_Toc304295596"/>
      <w:bookmarkStart w:id="271" w:name="_Toc303539173"/>
      <w:bookmarkStart w:id="272" w:name="_Toc312678056"/>
      <w:bookmarkStart w:id="273" w:name="_Toc296891263"/>
      <w:bookmarkStart w:id="274" w:name="_Toc267251476"/>
      <w:bookmarkStart w:id="275" w:name="_Toc267251473"/>
      <w:bookmarkStart w:id="276" w:name="_Toc267251472"/>
      <w:bookmarkStart w:id="277" w:name="_Toc267251474"/>
      <w:bookmarkStart w:id="278" w:name="_Toc267251470"/>
      <w:bookmarkStart w:id="279" w:name="_Toc267251475"/>
      <w:bookmarkStart w:id="280" w:name="_Toc267251471"/>
      <w:r>
        <w:rPr>
          <w:rFonts w:hint="eastAsia" w:ascii="仿宋" w:hAnsi="仿宋" w:eastAsia="仿宋" w:cs="仿宋"/>
          <w:color w:val="auto"/>
          <w:sz w:val="24"/>
          <w:highlight w:val="none"/>
        </w:rPr>
        <w:t>13.2 竣工验收</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Pr>
        <w:spacing w:line="360" w:lineRule="auto"/>
        <w:ind w:firstLine="480" w:firstLineChars="200"/>
        <w:rPr>
          <w:rFonts w:hint="eastAsia" w:ascii="仿宋" w:hAnsi="仿宋" w:eastAsia="仿宋" w:cs="仿宋"/>
          <w:color w:val="auto"/>
          <w:sz w:val="24"/>
          <w:highlight w:val="none"/>
        </w:rPr>
      </w:pPr>
      <w:bookmarkStart w:id="281" w:name="_Toc280868704"/>
      <w:bookmarkStart w:id="282" w:name="_Toc280868705"/>
      <w:bookmarkStart w:id="283" w:name="_Toc280868706"/>
      <w:bookmarkStart w:id="284" w:name="_Toc280868707"/>
      <w:bookmarkStart w:id="285" w:name="_Toc280868708"/>
      <w:bookmarkStart w:id="286" w:name="_Toc280868709"/>
      <w:r>
        <w:rPr>
          <w:rFonts w:hint="eastAsia" w:ascii="仿宋" w:hAnsi="仿宋" w:eastAsia="仿宋" w:cs="仿宋"/>
          <w:color w:val="auto"/>
          <w:sz w:val="24"/>
          <w:highlight w:val="none"/>
        </w:rPr>
        <w:t>13.2.1竣工验收程序</w:t>
      </w:r>
    </w:p>
    <w:bookmarkEnd w:id="281"/>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b/>
          <w:color w:val="auto"/>
          <w:sz w:val="24"/>
          <w:highlight w:val="none"/>
          <w:u w:val="single"/>
        </w:rPr>
        <w:t>按通用条款执行</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rPr>
        <w:t>。</w:t>
      </w:r>
    </w:p>
    <w:bookmarkEnd w:id="282"/>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13.2.2移交、接收全部与部分工程</w:t>
      </w:r>
    </w:p>
    <w:bookmarkEnd w:id="283"/>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b/>
          <w:color w:val="auto"/>
          <w:sz w:val="24"/>
          <w:highlight w:val="none"/>
          <w:u w:val="single"/>
        </w:rPr>
        <w:t>颁发工程接收证书后7天内</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rPr>
        <w:t>。</w:t>
      </w:r>
    </w:p>
    <w:bookmarkEnd w:id="284"/>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承包人未按时移交工程的，违约金的计算方法为：。</w:t>
      </w:r>
    </w:p>
    <w:bookmarkEnd w:id="285"/>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13.3 竣工退场</w:t>
      </w:r>
    </w:p>
    <w:p>
      <w:pPr>
        <w:spacing w:line="360" w:lineRule="auto"/>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b/>
          <w:color w:val="auto"/>
          <w:sz w:val="24"/>
          <w:highlight w:val="none"/>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82" w:firstLineChars="200"/>
        <w:rPr>
          <w:rFonts w:hint="eastAsia" w:ascii="仿宋" w:hAnsi="仿宋" w:eastAsia="仿宋" w:cs="仿宋"/>
          <w:b/>
          <w:color w:val="auto"/>
          <w:sz w:val="24"/>
          <w:highlight w:val="none"/>
        </w:rPr>
      </w:pPr>
      <w:bookmarkStart w:id="287" w:name="_Toc351203646"/>
      <w:r>
        <w:rPr>
          <w:rFonts w:hint="eastAsia" w:ascii="仿宋" w:hAnsi="仿宋" w:eastAsia="仿宋" w:cs="仿宋"/>
          <w:b/>
          <w:color w:val="auto"/>
          <w:sz w:val="24"/>
          <w:highlight w:val="none"/>
        </w:rPr>
        <w:t>14. 竣工结算</w:t>
      </w:r>
      <w:bookmarkEnd w:id="287"/>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pPr>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发包人审批竣工付款申请单的期限：</w:t>
      </w:r>
      <w:r>
        <w:rPr>
          <w:rFonts w:hint="eastAsia" w:ascii="仿宋" w:hAnsi="仿宋" w:eastAsia="仿宋" w:cs="仿宋"/>
          <w:b/>
          <w:color w:val="auto"/>
          <w:sz w:val="24"/>
          <w:highlight w:val="none"/>
          <w:u w:val="single"/>
        </w:rPr>
        <w:t xml:space="preserve">审计结束后30天内 </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发包人完成竣工付款的期限：</w:t>
      </w:r>
      <w:r>
        <w:rPr>
          <w:rFonts w:hint="eastAsia" w:ascii="仿宋" w:hAnsi="仿宋" w:eastAsia="仿宋" w:cs="仿宋"/>
          <w:b/>
          <w:color w:val="auto"/>
          <w:sz w:val="24"/>
          <w:highlight w:val="none"/>
          <w:u w:val="single"/>
        </w:rPr>
        <w:t>发包人在签发竣工付款证书后30天内</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b/>
          <w:color w:val="auto"/>
          <w:sz w:val="24"/>
          <w:highlight w:val="none"/>
          <w:u w:val="single"/>
        </w:rPr>
        <w:t>由双方协商</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最终结清</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14.3.1 最终结清申请单</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b/>
          <w:color w:val="auto"/>
          <w:sz w:val="24"/>
          <w:highlight w:val="none"/>
          <w:u w:val="single"/>
        </w:rPr>
        <w:t>按发包人最终要求</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b/>
          <w:color w:val="auto"/>
          <w:sz w:val="24"/>
          <w:highlight w:val="none"/>
          <w:u w:val="single"/>
        </w:rPr>
        <w:t xml:space="preserve">按通用条款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14.3.2 最终结清证书和支付</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发包人完成最终结清申请单的审批并颁发最终结清证书的期限：</w:t>
      </w:r>
      <w:r>
        <w:rPr>
          <w:rFonts w:hint="eastAsia" w:ascii="仿宋" w:hAnsi="仿宋" w:eastAsia="仿宋" w:cs="仿宋"/>
          <w:b/>
          <w:color w:val="auto"/>
          <w:sz w:val="24"/>
          <w:highlight w:val="none"/>
          <w:u w:val="single"/>
        </w:rPr>
        <w:t xml:space="preserve"> 收到承包人提交的最终结清申请单后30天内。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发包人完成支付的期限：</w:t>
      </w:r>
      <w:r>
        <w:rPr>
          <w:rFonts w:hint="eastAsia" w:ascii="仿宋" w:hAnsi="仿宋" w:eastAsia="仿宋" w:cs="仿宋"/>
          <w:b/>
          <w:color w:val="auto"/>
          <w:sz w:val="24"/>
          <w:highlight w:val="none"/>
          <w:u w:val="single"/>
        </w:rPr>
        <w:t>颁发最终结清证书后30天内</w:t>
      </w:r>
      <w:r>
        <w:rPr>
          <w:rFonts w:hint="eastAsia" w:ascii="仿宋" w:hAnsi="仿宋" w:eastAsia="仿宋" w:cs="仿宋"/>
          <w:color w:val="auto"/>
          <w:sz w:val="24"/>
          <w:highlight w:val="none"/>
        </w:rPr>
        <w:t>。</w:t>
      </w:r>
    </w:p>
    <w:bookmarkEnd w:id="274"/>
    <w:bookmarkEnd w:id="275"/>
    <w:bookmarkEnd w:id="276"/>
    <w:bookmarkEnd w:id="277"/>
    <w:bookmarkEnd w:id="278"/>
    <w:bookmarkEnd w:id="279"/>
    <w:bookmarkEnd w:id="280"/>
    <w:bookmarkEnd w:id="286"/>
    <w:p>
      <w:pPr>
        <w:spacing w:line="360" w:lineRule="auto"/>
        <w:ind w:firstLine="482" w:firstLineChars="200"/>
        <w:rPr>
          <w:rFonts w:hint="eastAsia" w:ascii="仿宋" w:hAnsi="仿宋" w:eastAsia="仿宋" w:cs="仿宋"/>
          <w:b/>
          <w:color w:val="auto"/>
          <w:sz w:val="24"/>
          <w:highlight w:val="none"/>
        </w:rPr>
      </w:pPr>
      <w:bookmarkStart w:id="288" w:name="_Toc351203647"/>
      <w:bookmarkStart w:id="289" w:name="_Toc267251483"/>
      <w:bookmarkStart w:id="290" w:name="_Toc267251484"/>
      <w:bookmarkStart w:id="291" w:name="_Toc267251489"/>
      <w:bookmarkStart w:id="292" w:name="_Toc267251490"/>
      <w:bookmarkStart w:id="293" w:name="_Toc267251482"/>
      <w:bookmarkStart w:id="294" w:name="_Toc267251486"/>
      <w:bookmarkStart w:id="295" w:name="_Toc267251488"/>
      <w:bookmarkStart w:id="296" w:name="_Toc267251485"/>
      <w:bookmarkStart w:id="297" w:name="_Toc267251502"/>
      <w:bookmarkStart w:id="298" w:name="_Toc267251492"/>
      <w:bookmarkStart w:id="299" w:name="_Toc267251495"/>
      <w:bookmarkStart w:id="300" w:name="_Toc267251491"/>
      <w:bookmarkStart w:id="301" w:name="_Toc267251497"/>
      <w:bookmarkStart w:id="302" w:name="_Toc267251503"/>
      <w:bookmarkStart w:id="303" w:name="_Toc267251494"/>
      <w:bookmarkStart w:id="304" w:name="_Toc267251501"/>
      <w:bookmarkStart w:id="305" w:name="_Toc267251499"/>
      <w:bookmarkStart w:id="306" w:name="_Toc267251496"/>
      <w:bookmarkStart w:id="307" w:name="_Toc267251493"/>
      <w:bookmarkStart w:id="308" w:name="_Toc267251498"/>
      <w:bookmarkStart w:id="309" w:name="_Toc267251504"/>
      <w:bookmarkStart w:id="310" w:name="_Toc267251506"/>
      <w:bookmarkStart w:id="311" w:name="_Toc267251507"/>
      <w:bookmarkStart w:id="312" w:name="_Toc267251508"/>
      <w:bookmarkStart w:id="313" w:name="_Toc267251513"/>
      <w:bookmarkStart w:id="314" w:name="_Toc267251511"/>
      <w:bookmarkStart w:id="315" w:name="_Toc267251514"/>
      <w:bookmarkStart w:id="316" w:name="_Toc267251515"/>
      <w:bookmarkStart w:id="317" w:name="_Toc267251509"/>
      <w:bookmarkStart w:id="318" w:name="_Toc267251510"/>
      <w:r>
        <w:rPr>
          <w:rFonts w:hint="eastAsia" w:ascii="仿宋" w:hAnsi="仿宋" w:eastAsia="仿宋" w:cs="仿宋"/>
          <w:b/>
          <w:color w:val="auto"/>
          <w:sz w:val="24"/>
          <w:highlight w:val="none"/>
        </w:rPr>
        <w:t>15. 缺陷责任期与保修</w:t>
      </w:r>
      <w:bookmarkEnd w:id="28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15.1缺陷责任期</w:t>
      </w:r>
      <w:bookmarkEnd w:id="289"/>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缺陷责任期的具体期限：</w:t>
      </w:r>
      <w:r>
        <w:rPr>
          <w:rFonts w:hint="eastAsia" w:ascii="仿宋" w:hAnsi="仿宋" w:eastAsia="仿宋" w:cs="仿宋"/>
          <w:b/>
          <w:color w:val="auto"/>
          <w:sz w:val="24"/>
          <w:highlight w:val="none"/>
          <w:u w:val="single"/>
        </w:rPr>
        <w:t xml:space="preserve">2年  </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15.2质量保修金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关于是否扣留质量保修金的约定：</w:t>
      </w:r>
      <w:r>
        <w:rPr>
          <w:rFonts w:hint="eastAsia" w:ascii="仿宋" w:hAnsi="仿宋" w:eastAsia="仿宋" w:cs="仿宋"/>
          <w:b/>
          <w:color w:val="auto"/>
          <w:sz w:val="24"/>
          <w:highlight w:val="none"/>
          <w:u w:val="single"/>
        </w:rPr>
        <w:t>扣留</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15.2.1 承包人提供质量保修金的方式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质量保修金采用以下第</w:t>
      </w:r>
      <w:r>
        <w:rPr>
          <w:rFonts w:hint="eastAsia" w:ascii="仿宋" w:hAnsi="仿宋" w:eastAsia="仿宋" w:cs="仿宋"/>
          <w:color w:val="auto"/>
          <w:kern w:val="0"/>
          <w:sz w:val="24"/>
          <w:highlight w:val="none"/>
          <w:u w:val="single"/>
        </w:rPr>
        <w:fldChar w:fldCharType="begin"/>
      </w:r>
      <w:r>
        <w:rPr>
          <w:rFonts w:hint="eastAsia" w:ascii="仿宋" w:hAnsi="仿宋" w:eastAsia="仿宋" w:cs="仿宋"/>
          <w:color w:val="auto"/>
          <w:kern w:val="0"/>
          <w:sz w:val="24"/>
          <w:highlight w:val="none"/>
          <w:u w:val="single"/>
        </w:rPr>
        <w:instrText xml:space="preserve"> = 2 \* GB2 </w:instrText>
      </w:r>
      <w:r>
        <w:rPr>
          <w:rFonts w:hint="eastAsia" w:ascii="仿宋" w:hAnsi="仿宋" w:eastAsia="仿宋" w:cs="仿宋"/>
          <w:color w:val="auto"/>
          <w:kern w:val="0"/>
          <w:sz w:val="24"/>
          <w:highlight w:val="none"/>
          <w:u w:val="single"/>
        </w:rPr>
        <w:fldChar w:fldCharType="separate"/>
      </w:r>
      <w:r>
        <w:rPr>
          <w:rFonts w:hint="eastAsia" w:ascii="仿宋" w:hAnsi="仿宋" w:eastAsia="仿宋" w:cs="仿宋"/>
          <w:color w:val="auto"/>
          <w:kern w:val="0"/>
          <w:sz w:val="24"/>
          <w:highlight w:val="none"/>
          <w:u w:val="single"/>
        </w:rPr>
        <w:t>⑵</w:t>
      </w:r>
      <w:r>
        <w:rPr>
          <w:rFonts w:hint="eastAsia" w:ascii="仿宋" w:hAnsi="仿宋" w:eastAsia="仿宋" w:cs="仿宋"/>
          <w:color w:val="auto"/>
          <w:kern w:val="0"/>
          <w:sz w:val="24"/>
          <w:highlight w:val="none"/>
          <w:u w:val="single"/>
        </w:rPr>
        <w:fldChar w:fldCharType="end"/>
      </w:r>
      <w:r>
        <w:rPr>
          <w:rFonts w:hint="eastAsia" w:ascii="仿宋" w:hAnsi="仿宋" w:eastAsia="仿宋" w:cs="仿宋"/>
          <w:color w:val="auto"/>
          <w:sz w:val="24"/>
          <w:highlight w:val="none"/>
        </w:rPr>
        <w:t>种方式：</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1 \* GB2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⑴</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质量保修金保函，保证金额为：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2 \* GB2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⑵</w:t>
      </w:r>
      <w:r>
        <w:rPr>
          <w:rFonts w:hint="eastAsia" w:ascii="仿宋" w:hAnsi="仿宋" w:eastAsia="仿宋" w:cs="仿宋"/>
          <w:color w:val="auto"/>
          <w:kern w:val="0"/>
          <w:sz w:val="24"/>
          <w:highlight w:val="none"/>
        </w:rPr>
        <w:fldChar w:fldCharType="end"/>
      </w:r>
      <w:r>
        <w:rPr>
          <w:rFonts w:hint="eastAsia" w:ascii="仿宋" w:hAnsi="仿宋" w:eastAsia="仿宋" w:cs="仿宋"/>
          <w:b/>
          <w:color w:val="auto"/>
          <w:kern w:val="0"/>
          <w:sz w:val="24"/>
          <w:highlight w:val="none"/>
          <w:u w:val="single"/>
        </w:rPr>
        <w:t>审计审定</w:t>
      </w:r>
      <w:r>
        <w:rPr>
          <w:rFonts w:hint="eastAsia" w:ascii="仿宋" w:hAnsi="仿宋" w:eastAsia="仿宋" w:cs="仿宋"/>
          <w:b/>
          <w:color w:val="auto"/>
          <w:sz w:val="24"/>
          <w:highlight w:val="none"/>
          <w:u w:val="single"/>
        </w:rPr>
        <w:t>结算价（或合同价）*3%</w:t>
      </w:r>
      <w:r>
        <w:rPr>
          <w:rFonts w:hint="eastAsia" w:ascii="仿宋" w:hAnsi="仿宋" w:eastAsia="仿宋" w:cs="仿宋"/>
          <w:color w:val="auto"/>
          <w:sz w:val="24"/>
          <w:highlight w:val="none"/>
        </w:rPr>
        <w:t>的工程款</w:t>
      </w:r>
      <w:r>
        <w:rPr>
          <w:rFonts w:hint="eastAsia" w:ascii="仿宋" w:hAnsi="仿宋" w:eastAsia="仿宋" w:cs="仿宋"/>
          <w:color w:val="auto"/>
          <w:kern w:val="0"/>
          <w:sz w:val="24"/>
          <w:highlight w:val="none"/>
        </w:rPr>
        <w:t>；</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3 \* GB2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⑶</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其他方式: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15.2.2质量保修金的扣留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质量保修金的扣留采取以下第</w:t>
      </w:r>
      <w:r>
        <w:rPr>
          <w:rFonts w:hint="eastAsia" w:ascii="仿宋" w:hAnsi="仿宋" w:eastAsia="仿宋" w:cs="仿宋"/>
          <w:b/>
          <w:color w:val="auto"/>
          <w:kern w:val="0"/>
          <w:sz w:val="24"/>
          <w:highlight w:val="none"/>
          <w:u w:val="single"/>
        </w:rPr>
        <w:fldChar w:fldCharType="begin"/>
      </w:r>
      <w:r>
        <w:rPr>
          <w:rFonts w:hint="eastAsia" w:ascii="仿宋" w:hAnsi="仿宋" w:eastAsia="仿宋" w:cs="仿宋"/>
          <w:b/>
          <w:color w:val="auto"/>
          <w:kern w:val="0"/>
          <w:sz w:val="24"/>
          <w:highlight w:val="none"/>
          <w:u w:val="single"/>
        </w:rPr>
        <w:instrText xml:space="preserve"> = 2 \* GB2 </w:instrText>
      </w:r>
      <w:r>
        <w:rPr>
          <w:rFonts w:hint="eastAsia" w:ascii="仿宋" w:hAnsi="仿宋" w:eastAsia="仿宋" w:cs="仿宋"/>
          <w:b/>
          <w:color w:val="auto"/>
          <w:kern w:val="0"/>
          <w:sz w:val="24"/>
          <w:highlight w:val="none"/>
          <w:u w:val="single"/>
        </w:rPr>
        <w:fldChar w:fldCharType="separate"/>
      </w:r>
      <w:r>
        <w:rPr>
          <w:rFonts w:hint="eastAsia" w:ascii="仿宋" w:hAnsi="仿宋" w:eastAsia="仿宋" w:cs="仿宋"/>
          <w:b/>
          <w:color w:val="auto"/>
          <w:kern w:val="0"/>
          <w:sz w:val="24"/>
          <w:highlight w:val="none"/>
          <w:u w:val="single"/>
        </w:rPr>
        <w:t>⑵</w:t>
      </w:r>
      <w:r>
        <w:rPr>
          <w:rFonts w:hint="eastAsia" w:ascii="仿宋" w:hAnsi="仿宋" w:eastAsia="仿宋" w:cs="仿宋"/>
          <w:b/>
          <w:color w:val="auto"/>
          <w:kern w:val="0"/>
          <w:sz w:val="24"/>
          <w:highlight w:val="none"/>
          <w:u w:val="single"/>
        </w:rPr>
        <w:fldChar w:fldCharType="end"/>
      </w:r>
      <w:r>
        <w:rPr>
          <w:rFonts w:hint="eastAsia" w:ascii="仿宋" w:hAnsi="仿宋" w:eastAsia="仿宋" w:cs="仿宋"/>
          <w:color w:val="auto"/>
          <w:sz w:val="24"/>
          <w:highlight w:val="none"/>
        </w:rPr>
        <w:t>种方式：</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1 \* GB2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⑴</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2 \* GB2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⑵</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工程竣工结算时一次性扣留质量保</w:t>
      </w:r>
      <w:r>
        <w:rPr>
          <w:rFonts w:hint="eastAsia" w:ascii="仿宋" w:hAnsi="仿宋" w:eastAsia="仿宋" w:cs="仿宋"/>
          <w:color w:val="auto"/>
          <w:sz w:val="24"/>
          <w:highlight w:val="none"/>
        </w:rPr>
        <w:t>修</w:t>
      </w:r>
      <w:r>
        <w:rPr>
          <w:rFonts w:hint="eastAsia" w:ascii="仿宋" w:hAnsi="仿宋" w:eastAsia="仿宋" w:cs="仿宋"/>
          <w:color w:val="auto"/>
          <w:kern w:val="0"/>
          <w:sz w:val="24"/>
          <w:highlight w:val="none"/>
        </w:rPr>
        <w:t>金；</w:t>
      </w:r>
    </w:p>
    <w:p>
      <w:pPr>
        <w:autoSpaceDE w:val="0"/>
        <w:autoSpaceDN w:val="0"/>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 3 \* GB2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⑶</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bookmarkEnd w:id="290"/>
    <w:bookmarkEnd w:id="291"/>
    <w:bookmarkEnd w:id="292"/>
    <w:bookmarkEnd w:id="293"/>
    <w:bookmarkEnd w:id="294"/>
    <w:bookmarkEnd w:id="295"/>
    <w:bookmarkEnd w:id="296"/>
    <w:p>
      <w:pPr>
        <w:spacing w:line="360" w:lineRule="auto"/>
        <w:ind w:firstLine="480" w:firstLineChars="200"/>
        <w:rPr>
          <w:rFonts w:hint="eastAsia" w:ascii="仿宋" w:hAnsi="仿宋" w:eastAsia="仿宋" w:cs="仿宋"/>
          <w:color w:val="auto"/>
          <w:sz w:val="24"/>
          <w:highlight w:val="none"/>
        </w:rPr>
      </w:pPr>
      <w:bookmarkStart w:id="319" w:name="_Toc280868718"/>
      <w:bookmarkStart w:id="320" w:name="_Toc280868717"/>
      <w:r>
        <w:rPr>
          <w:rFonts w:hint="eastAsia" w:ascii="仿宋" w:hAnsi="仿宋" w:eastAsia="仿宋" w:cs="仿宋"/>
          <w:color w:val="auto"/>
          <w:sz w:val="24"/>
          <w:highlight w:val="none"/>
        </w:rPr>
        <w:t>16.1 承包人违约</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16.1.1 承包人违约的情形</w:t>
      </w:r>
    </w:p>
    <w:p>
      <w:pPr>
        <w:autoSpaceDE w:val="0"/>
        <w:autoSpaceDN w:val="0"/>
        <w:adjustRightInd w:val="0"/>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（1）若承包人未按期开工，则发包人按延期500元/天向承包人收取违约金。</w:t>
      </w:r>
    </w:p>
    <w:p>
      <w:pPr>
        <w:autoSpaceDE w:val="0"/>
        <w:autoSpaceDN w:val="0"/>
        <w:adjustRightInd w:val="0"/>
        <w:spacing w:line="360" w:lineRule="auto"/>
        <w:ind w:firstLine="482" w:firstLineChars="200"/>
        <w:rPr>
          <w:rFonts w:hint="eastAsia" w:ascii="仿宋" w:hAnsi="仿宋" w:eastAsia="仿宋" w:cs="仿宋"/>
          <w:color w:val="auto"/>
          <w:kern w:val="0"/>
          <w:sz w:val="24"/>
          <w:highlight w:val="none"/>
          <w:u w:val="single"/>
        </w:rPr>
      </w:pPr>
      <w:r>
        <w:rPr>
          <w:rFonts w:hint="eastAsia" w:ascii="仿宋" w:hAnsi="仿宋" w:eastAsia="仿宋" w:cs="仿宋"/>
          <w:b/>
          <w:bCs/>
          <w:color w:val="auto"/>
          <w:kern w:val="0"/>
          <w:sz w:val="24"/>
          <w:highlight w:val="none"/>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（5）承包人的施工质量不符合要求时，承包人若无正当理由拒不整改的，发包人根据严重程度有权对承包人收取500元的违约金。</w:t>
      </w:r>
    </w:p>
    <w:p>
      <w:pPr>
        <w:autoSpaceDE w:val="0"/>
        <w:autoSpaceDN w:val="0"/>
        <w:adjustRightInd w:val="0"/>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bCs/>
          <w:color w:val="auto"/>
          <w:kern w:val="0"/>
          <w:sz w:val="24"/>
          <w:highlight w:val="none"/>
          <w:u w:val="single"/>
        </w:rPr>
        <w:t>（6）承包人必须确保在施工期间派驻指定管理人员进行现场指导管理</w:t>
      </w:r>
      <w:r>
        <w:rPr>
          <w:rFonts w:hint="eastAsia" w:ascii="仿宋" w:hAnsi="仿宋" w:eastAsia="仿宋" w:cs="仿宋"/>
          <w:b/>
          <w:color w:val="auto"/>
          <w:kern w:val="0"/>
          <w:sz w:val="24"/>
          <w:highlight w:val="none"/>
          <w:u w:val="single"/>
        </w:rPr>
        <w:t>。</w:t>
      </w:r>
    </w:p>
    <w:p>
      <w:pPr>
        <w:autoSpaceDE w:val="0"/>
        <w:autoSpaceDN w:val="0"/>
        <w:adjustRightInd w:val="0"/>
        <w:spacing w:line="360" w:lineRule="auto"/>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bCs/>
          <w:color w:val="auto"/>
          <w:kern w:val="0"/>
          <w:sz w:val="24"/>
          <w:highlight w:val="none"/>
          <w:u w:val="single"/>
        </w:rPr>
        <w:t>（7）承包人在工程施工期间必须抓好安全生产工作，如在施工期间发生安全事故，则罚没全部安全履约保证金，并且由此所造成的损失由承包人承担。</w:t>
      </w:r>
    </w:p>
    <w:bookmarkEnd w:id="297"/>
    <w:bookmarkEnd w:id="298"/>
    <w:bookmarkEnd w:id="299"/>
    <w:bookmarkEnd w:id="300"/>
    <w:bookmarkEnd w:id="301"/>
    <w:bookmarkEnd w:id="302"/>
    <w:bookmarkEnd w:id="303"/>
    <w:bookmarkEnd w:id="304"/>
    <w:bookmarkEnd w:id="305"/>
    <w:bookmarkEnd w:id="306"/>
    <w:bookmarkEnd w:id="307"/>
    <w:bookmarkEnd w:id="308"/>
    <w:bookmarkEnd w:id="319"/>
    <w:bookmarkEnd w:id="320"/>
    <w:p>
      <w:pPr>
        <w:spacing w:line="360" w:lineRule="auto"/>
        <w:ind w:firstLine="482" w:firstLineChars="200"/>
        <w:rPr>
          <w:rFonts w:hint="eastAsia" w:ascii="仿宋" w:hAnsi="仿宋" w:eastAsia="仿宋" w:cs="仿宋"/>
          <w:b/>
          <w:color w:val="auto"/>
          <w:sz w:val="24"/>
          <w:highlight w:val="none"/>
        </w:rPr>
      </w:pPr>
      <w:bookmarkStart w:id="321" w:name="_Toc351203651"/>
      <w:r>
        <w:rPr>
          <w:rFonts w:hint="eastAsia" w:ascii="仿宋" w:hAnsi="仿宋" w:eastAsia="仿宋" w:cs="仿宋"/>
          <w:b/>
          <w:color w:val="auto"/>
          <w:sz w:val="24"/>
          <w:highlight w:val="none"/>
        </w:rPr>
        <w:t>17. 争议解决</w:t>
      </w:r>
      <w:bookmarkEnd w:id="321"/>
    </w:p>
    <w:bookmarkEnd w:id="309"/>
    <w:bookmarkEnd w:id="310"/>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争</w:t>
      </w:r>
      <w:bookmarkEnd w:id="311"/>
      <w:r>
        <w:rPr>
          <w:rFonts w:hint="eastAsia" w:ascii="仿宋" w:hAnsi="仿宋" w:eastAsia="仿宋" w:cs="仿宋"/>
          <w:color w:val="auto"/>
          <w:sz w:val="24"/>
          <w:highlight w:val="none"/>
        </w:rPr>
        <w:t>议评审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b/>
          <w:color w:val="auto"/>
          <w:sz w:val="24"/>
          <w:highlight w:val="none"/>
          <w:u w:val="single"/>
        </w:rPr>
        <w:t>同意</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17.2仲裁或诉讼</w:t>
      </w:r>
      <w:bookmarkEnd w:id="312"/>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因合同及合同有关事项发生的争议，按下列第</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种方式解决：</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（1）向</w:t>
      </w:r>
      <w:r>
        <w:rPr>
          <w:rFonts w:hint="eastAsia" w:ascii="仿宋" w:hAnsi="仿宋" w:eastAsia="仿宋" w:cs="仿宋"/>
          <w:b/>
          <w:color w:val="auto"/>
          <w:sz w:val="24"/>
          <w:highlight w:val="none"/>
          <w:u w:val="single"/>
        </w:rPr>
        <w:t xml:space="preserve"> 南通 </w:t>
      </w:r>
      <w:r>
        <w:rPr>
          <w:rFonts w:hint="eastAsia" w:ascii="仿宋" w:hAnsi="仿宋" w:eastAsia="仿宋" w:cs="仿宋"/>
          <w:b/>
          <w:color w:val="auto"/>
          <w:sz w:val="24"/>
          <w:highlight w:val="none"/>
        </w:rPr>
        <w:t>仲裁委员会申请仲裁；</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（2）向</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color w:val="auto"/>
          <w:sz w:val="24"/>
          <w:highlight w:val="none"/>
        </w:rPr>
        <w:t>人民法院起诉。</w:t>
      </w:r>
      <w:bookmarkEnd w:id="313"/>
      <w:bookmarkEnd w:id="314"/>
      <w:bookmarkEnd w:id="315"/>
      <w:bookmarkEnd w:id="316"/>
      <w:bookmarkEnd w:id="317"/>
      <w:bookmarkEnd w:id="31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17.3补充条款</w:t>
      </w:r>
    </w:p>
    <w:p>
      <w:pPr>
        <w:adjustRightInd w:val="0"/>
        <w:snapToGrid w:val="0"/>
        <w:spacing w:line="360" w:lineRule="auto"/>
        <w:ind w:firstLine="482" w:firstLineChars="200"/>
        <w:rPr>
          <w:rFonts w:hint="eastAsia" w:ascii="仿宋" w:hAnsi="仿宋" w:eastAsia="仿宋" w:cs="仿宋"/>
          <w:b/>
          <w:color w:val="auto"/>
          <w:sz w:val="24"/>
          <w:highlight w:val="none"/>
        </w:rPr>
      </w:pPr>
      <w:bookmarkStart w:id="322" w:name="_Toc351203652"/>
      <w:r>
        <w:rPr>
          <w:rFonts w:hint="eastAsia" w:ascii="仿宋" w:hAnsi="仿宋" w:eastAsia="仿宋" w:cs="仿宋"/>
          <w:b/>
          <w:bCs/>
          <w:color w:val="auto"/>
          <w:sz w:val="24"/>
          <w:highlight w:val="none"/>
          <w:u w:val="single"/>
        </w:rPr>
        <w:t>17.3.1</w:t>
      </w:r>
      <w:r>
        <w:rPr>
          <w:rFonts w:hint="eastAsia" w:ascii="仿宋" w:hAnsi="仿宋" w:eastAsia="仿宋" w:cs="仿宋"/>
          <w:b/>
          <w:color w:val="auto"/>
          <w:sz w:val="24"/>
          <w:highlight w:val="none"/>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仿宋" w:hAnsi="仿宋" w:eastAsia="仿宋" w:cs="仿宋"/>
          <w:b/>
          <w:color w:val="auto"/>
          <w:sz w:val="24"/>
          <w:highlight w:val="none"/>
        </w:rPr>
        <w:t>。</w:t>
      </w:r>
    </w:p>
    <w:p>
      <w:pPr>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u w:val="single"/>
        </w:rPr>
        <w:t>17.3.2</w:t>
      </w:r>
      <w:r>
        <w:rPr>
          <w:rFonts w:hint="eastAsia" w:ascii="仿宋" w:hAnsi="仿宋" w:eastAsia="仿宋" w:cs="仿宋"/>
          <w:b/>
          <w:color w:val="auto"/>
          <w:sz w:val="24"/>
          <w:highlight w:val="none"/>
          <w:u w:val="single"/>
        </w:rPr>
        <w:t>本工程严禁使用不合格或不符合设计要求的材料，一经发现，限期退场，不按要求退场的，造成的损失由承包人负责。</w:t>
      </w:r>
      <w:r>
        <w:rPr>
          <w:rFonts w:hint="eastAsia" w:ascii="仿宋" w:hAnsi="仿宋" w:eastAsia="仿宋" w:cs="仿宋"/>
          <w:b/>
          <w:color w:val="auto"/>
          <w:kern w:val="0"/>
          <w:sz w:val="24"/>
          <w:highlight w:val="none"/>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u w:val="single"/>
        </w:rPr>
        <w:t>17.3</w:t>
      </w:r>
      <w:r>
        <w:rPr>
          <w:rFonts w:hint="eastAsia" w:ascii="仿宋" w:hAnsi="仿宋" w:eastAsia="仿宋" w:cs="仿宋"/>
          <w:b/>
          <w:color w:val="auto"/>
          <w:sz w:val="24"/>
          <w:highlight w:val="none"/>
          <w:u w:val="single"/>
        </w:rPr>
        <w:t xml:space="preserve">.3如购进的材料设备与提供的样品不一致时，由承包人无条件退货，造成的损失由承包人负责。 </w:t>
      </w:r>
    </w:p>
    <w:p>
      <w:pPr>
        <w:adjustRightInd w:val="0"/>
        <w:snapToGrid w:val="0"/>
        <w:spacing w:line="360" w:lineRule="auto"/>
        <w:ind w:firstLine="482" w:firstLineChars="200"/>
        <w:rPr>
          <w:rFonts w:hint="eastAsia" w:ascii="仿宋" w:hAnsi="仿宋" w:eastAsia="仿宋" w:cs="仿宋"/>
          <w:b/>
          <w:bCs/>
          <w:color w:val="auto"/>
          <w:spacing w:val="-6"/>
          <w:sz w:val="24"/>
          <w:highlight w:val="none"/>
          <w:u w:val="single"/>
        </w:rPr>
      </w:pPr>
      <w:r>
        <w:rPr>
          <w:rFonts w:hint="eastAsia" w:ascii="仿宋" w:hAnsi="仿宋" w:eastAsia="仿宋" w:cs="仿宋"/>
          <w:b/>
          <w:bCs/>
          <w:color w:val="auto"/>
          <w:sz w:val="24"/>
          <w:highlight w:val="none"/>
          <w:u w:val="single"/>
        </w:rPr>
        <w:t>17.3</w:t>
      </w:r>
      <w:r>
        <w:rPr>
          <w:rFonts w:hint="eastAsia" w:ascii="仿宋" w:hAnsi="仿宋" w:eastAsia="仿宋" w:cs="仿宋"/>
          <w:b/>
          <w:bCs/>
          <w:color w:val="auto"/>
          <w:spacing w:val="-6"/>
          <w:sz w:val="24"/>
          <w:highlight w:val="none"/>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u w:val="single"/>
        </w:rPr>
        <w:t>17.3.6</w:t>
      </w:r>
      <w:r>
        <w:rPr>
          <w:rFonts w:hint="eastAsia" w:ascii="仿宋" w:hAnsi="仿宋" w:eastAsia="仿宋" w:cs="仿宋"/>
          <w:b/>
          <w:color w:val="auto"/>
          <w:sz w:val="24"/>
          <w:highlight w:val="none"/>
          <w:u w:val="single"/>
        </w:rPr>
        <w:t>承包人在施工过程中必须文明、安全、规范施工，保持环境整洁，减少扰民影响，若有违章行为按规定处罚，一切责任自负。</w:t>
      </w:r>
    </w:p>
    <w:p>
      <w:pPr>
        <w:adjustRightInd w:val="0"/>
        <w:snapToGri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u w:val="single"/>
        </w:rPr>
        <w:t>17.3.7施工过程中所需的垂直运输费由各投标人自行考虑，其费用列入投标报价，工程结算时不作调整。</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17.3.8发生下列情况，承包人不向发包人收取任何费用：</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①承包人为了加快工程进度和保证进度和保证工程正常进行，采取的各种措施；</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fldChar w:fldCharType="begin"/>
      </w:r>
      <w:r>
        <w:rPr>
          <w:rFonts w:hint="eastAsia" w:ascii="仿宋" w:hAnsi="仿宋" w:eastAsia="仿宋" w:cs="仿宋"/>
          <w:b/>
          <w:bCs/>
          <w:color w:val="auto"/>
          <w:sz w:val="24"/>
          <w:highlight w:val="none"/>
          <w:u w:val="single"/>
        </w:rPr>
        <w:instrText xml:space="preserve"> = 2 \* GB3 </w:instrText>
      </w:r>
      <w:r>
        <w:rPr>
          <w:rFonts w:hint="eastAsia" w:ascii="仿宋" w:hAnsi="仿宋" w:eastAsia="仿宋" w:cs="仿宋"/>
          <w:b/>
          <w:bCs/>
          <w:color w:val="auto"/>
          <w:sz w:val="24"/>
          <w:highlight w:val="none"/>
          <w:u w:val="single"/>
        </w:rPr>
        <w:fldChar w:fldCharType="separate"/>
      </w:r>
      <w:r>
        <w:rPr>
          <w:rFonts w:hint="eastAsia" w:ascii="仿宋" w:hAnsi="仿宋" w:eastAsia="仿宋" w:cs="仿宋"/>
          <w:b/>
          <w:bCs/>
          <w:color w:val="auto"/>
          <w:sz w:val="24"/>
          <w:highlight w:val="none"/>
          <w:u w:val="single"/>
        </w:rPr>
        <w:t>②</w:t>
      </w:r>
      <w:r>
        <w:rPr>
          <w:rFonts w:hint="eastAsia" w:ascii="仿宋" w:hAnsi="仿宋" w:eastAsia="仿宋" w:cs="仿宋"/>
          <w:b/>
          <w:bCs/>
          <w:color w:val="auto"/>
          <w:sz w:val="24"/>
          <w:highlight w:val="none"/>
          <w:u w:val="single"/>
        </w:rPr>
        <w:fldChar w:fldCharType="end"/>
      </w:r>
      <w:r>
        <w:rPr>
          <w:rFonts w:hint="eastAsia" w:ascii="仿宋" w:hAnsi="仿宋" w:eastAsia="仿宋" w:cs="仿宋"/>
          <w:b/>
          <w:bCs/>
          <w:color w:val="auto"/>
          <w:sz w:val="24"/>
          <w:highlight w:val="none"/>
          <w:u w:val="single"/>
        </w:rPr>
        <w:t>施工期间清理所有建筑垃圾。</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17.3.10资料：分包单位提供完整技术竣工资料交承包人，纳入竣工资料管理。</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17.3.11工程结算约定：</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（1）安全文明施工措施费，结算时按有关部门核定为准。</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（2）施工用水用电按实计算，最后从工程款中扣除。</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（3）工程结算中发现承包人擅自改变了暂定价部分材料及项目数量及单价，则少计或漏计部分按招标文件规定扣除，多计部分按承包人投标报价扣除。</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（4）工程竣工结算价以具有相应资质的审计事务所审计确认为准。承包人编制的工程结算价核减额小于或等于5%的审计费由建设单位支付，大于5%的所有审计费由承包人支付。</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（5）下列费用在竣工结算时不作任何调整：</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b因施工场地狭小而发生的一切费用。</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c本工程的水源、电源已接至本工程范围内，再接至施工场地相关事宜由承包人自行安排。</w:t>
      </w:r>
      <w:r>
        <w:rPr>
          <w:rFonts w:hint="eastAsia" w:ascii="仿宋" w:hAnsi="仿宋" w:eastAsia="仿宋" w:cs="仿宋"/>
          <w:b/>
          <w:color w:val="auto"/>
          <w:sz w:val="24"/>
          <w:highlight w:val="none"/>
          <w:u w:val="single"/>
        </w:rPr>
        <w:t>承包人已认真踏勘过施工现场，考虑因各种困难因素所发生的一切费用，并已包含在合同价中，承包人不得以此为由提出额外增加费用的要求。临时供水、电接通费由承包人承担。水、电费按审定价在财务结算时扣除。（如承包人与学校或现场管理单位自行结算，需提供书面证明材料，财务结算时不予扣除）。</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f承包人为了加快工程进度和保证工程正常进行，采取的与经审核通过的施工组织设计所述不同的其他各种措施费用。</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g不可竞争费用。</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17.3.12本项目施工范围在学校里，施工过程中，承包人应做好安全措施及搭设安全设施，杜绝可能发生的伤害事件，此部分费用包含在合同价内，结算时不再另外计取。</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17.3.13本项目含高空作业，承包人必须为所有作业人员购买意外伤害险，中标后提供保单，否则招标人取消其中标资格，此部分费用由承包人自行承担。</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17.3.14涉及到特殊工种作业的，实际操作人员必须持证上岗（否则没收40%履约保证金），并限期整改，整改不到位的发包人有权终止合同。</w:t>
      </w:r>
    </w:p>
    <w:p>
      <w:pPr>
        <w:adjustRightInd w:val="0"/>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17.3.15对已完成工程成品正式移交发包人前，由承包人负责保护，其费用由承包人承担。</w:t>
      </w:r>
      <w:bookmarkEnd w:id="322"/>
    </w:p>
    <w:p>
      <w:pPr>
        <w:spacing w:line="460" w:lineRule="exact"/>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w:t>
      </w:r>
      <w:bookmarkStart w:id="323" w:name="_Toc296346727"/>
      <w:bookmarkStart w:id="324" w:name="_Toc296891054"/>
      <w:bookmarkStart w:id="325" w:name="_Toc267261693"/>
      <w:bookmarkStart w:id="326" w:name="_Toc296347225"/>
      <w:bookmarkStart w:id="327" w:name="_Toc296503226"/>
      <w:bookmarkStart w:id="328" w:name="_Toc296944565"/>
      <w:bookmarkStart w:id="329" w:name="_Toc296891266"/>
      <w:r>
        <w:rPr>
          <w:rFonts w:hint="eastAsia" w:ascii="仿宋" w:hAnsi="仿宋" w:eastAsia="仿宋" w:cs="仿宋"/>
          <w:color w:val="auto"/>
          <w:sz w:val="24"/>
          <w:highlight w:val="none"/>
        </w:rPr>
        <w:t>件：</w:t>
      </w:r>
      <w:bookmarkEnd w:id="323"/>
      <w:bookmarkEnd w:id="324"/>
      <w:bookmarkEnd w:id="325"/>
      <w:bookmarkEnd w:id="326"/>
      <w:bookmarkEnd w:id="327"/>
      <w:bookmarkEnd w:id="328"/>
      <w:bookmarkEnd w:id="329"/>
      <w:r>
        <w:rPr>
          <w:rFonts w:hint="eastAsia" w:ascii="仿宋" w:hAnsi="仿宋" w:eastAsia="仿宋" w:cs="仿宋"/>
          <w:color w:val="auto"/>
          <w:sz w:val="24"/>
          <w:highlight w:val="none"/>
        </w:rPr>
        <w:t xml:space="preserve">    </w:t>
      </w:r>
    </w:p>
    <w:p>
      <w:pPr>
        <w:spacing w:beforeLines="50" w:afterLines="50" w:line="44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工程质量保修书</w:t>
      </w:r>
    </w:p>
    <w:p>
      <w:pPr>
        <w:spacing w:beforeLines="10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beforeLines="50"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40" w:lineRule="exact"/>
        <w:rPr>
          <w:rFonts w:hint="eastAsia" w:ascii="仿宋" w:hAnsi="仿宋" w:eastAsia="仿宋" w:cs="仿宋"/>
          <w:color w:val="auto"/>
          <w:sz w:val="24"/>
          <w:highlight w:val="none"/>
        </w:rPr>
      </w:pP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（工程全称）签订工程质量保修书。</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一、工程质量保修范围和内容</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承包人在质量保修期内，按照有关法律规定和合同约定，承担工程质量保修责任。</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 w:val="24"/>
          <w:highlight w:val="none"/>
          <w:u w:val="single"/>
        </w:rPr>
        <w:t>本施工合同范围内的全部工程</w:t>
      </w:r>
      <w:r>
        <w:rPr>
          <w:rFonts w:hint="eastAsia" w:ascii="仿宋" w:hAnsi="仿宋" w:eastAsia="仿宋" w:cs="仿宋"/>
          <w:color w:val="auto"/>
          <w:sz w:val="24"/>
          <w:highlight w:val="none"/>
        </w:rPr>
        <w:t>。</w:t>
      </w:r>
    </w:p>
    <w:p>
      <w:pPr>
        <w:spacing w:line="4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二、质量保修期</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5年</w:t>
      </w:r>
      <w:r>
        <w:rPr>
          <w:rFonts w:hint="eastAsia" w:ascii="仿宋" w:hAnsi="仿宋" w:eastAsia="仿宋" w:cs="仿宋"/>
          <w:color w:val="auto"/>
          <w:sz w:val="24"/>
          <w:highlight w:val="none"/>
        </w:rPr>
        <w:t>；</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2年</w:t>
      </w:r>
      <w:r>
        <w:rPr>
          <w:rFonts w:hint="eastAsia" w:ascii="仿宋" w:hAnsi="仿宋" w:eastAsia="仿宋" w:cs="仿宋"/>
          <w:color w:val="auto"/>
          <w:sz w:val="24"/>
          <w:highlight w:val="none"/>
        </w:rPr>
        <w:t>；</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2年</w:t>
      </w:r>
      <w:r>
        <w:rPr>
          <w:rFonts w:hint="eastAsia" w:ascii="仿宋" w:hAnsi="仿宋" w:eastAsia="仿宋" w:cs="仿宋"/>
          <w:color w:val="auto"/>
          <w:sz w:val="24"/>
          <w:highlight w:val="none"/>
        </w:rPr>
        <w:t>；</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2个</w:t>
      </w:r>
      <w:r>
        <w:rPr>
          <w:rFonts w:hint="eastAsia" w:ascii="仿宋" w:hAnsi="仿宋" w:eastAsia="仿宋" w:cs="仿宋"/>
          <w:color w:val="auto"/>
          <w:sz w:val="24"/>
          <w:highlight w:val="none"/>
        </w:rPr>
        <w:t>采暖期、供冷期；</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2年</w:t>
      </w:r>
      <w:r>
        <w:rPr>
          <w:rFonts w:hint="eastAsia" w:ascii="仿宋" w:hAnsi="仿宋" w:eastAsia="仿宋" w:cs="仿宋"/>
          <w:color w:val="auto"/>
          <w:sz w:val="24"/>
          <w:highlight w:val="none"/>
        </w:rPr>
        <w:t>；</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7．其他项目保修期限约定如下：本项目保修期为</w:t>
      </w:r>
      <w:r>
        <w:rPr>
          <w:rFonts w:hint="eastAsia" w:ascii="仿宋" w:hAnsi="仿宋" w:eastAsia="仿宋" w:cs="仿宋"/>
          <w:color w:val="auto"/>
          <w:sz w:val="24"/>
          <w:highlight w:val="none"/>
          <w:u w:val="single"/>
        </w:rPr>
        <w:t>24个月</w:t>
      </w:r>
      <w:r>
        <w:rPr>
          <w:rFonts w:hint="eastAsia" w:ascii="仿宋" w:hAnsi="仿宋" w:eastAsia="仿宋" w:cs="仿宋"/>
          <w:color w:val="auto"/>
          <w:sz w:val="24"/>
          <w:highlight w:val="none"/>
        </w:rPr>
        <w:t>。</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质量保修期自工程竣工验收合格之日起计算。</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三、缺陷责任期计算。</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本工程缺陷责任期为</w:t>
      </w:r>
      <w:r>
        <w:rPr>
          <w:rFonts w:hint="eastAsia" w:ascii="仿宋" w:hAnsi="仿宋" w:eastAsia="仿宋" w:cs="仿宋"/>
          <w:color w:val="auto"/>
          <w:sz w:val="24"/>
          <w:highlight w:val="none"/>
          <w:u w:val="single"/>
        </w:rPr>
        <w:t>24个月</w:t>
      </w:r>
      <w:r>
        <w:rPr>
          <w:rFonts w:hint="eastAsia" w:ascii="仿宋" w:hAnsi="仿宋" w:eastAsia="仿宋" w:cs="仿宋"/>
          <w:color w:val="auto"/>
          <w:sz w:val="24"/>
          <w:highlight w:val="none"/>
        </w:rPr>
        <w:t>，自工程竣工验收合格之日起计算。单位工程先于全部工程进行验收，单位工程缺陷责任期自单位工程验收合格之日起算。</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pPr>
        <w:spacing w:line="46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pPr>
        <w:spacing w:line="46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pPr>
        <w:spacing w:line="46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left="420" w:leftChars="2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五、保修费用</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保修费用由造成质量缺陷的责任方承担。</w:t>
      </w:r>
    </w:p>
    <w:p>
      <w:pPr>
        <w:spacing w:line="46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60" w:lineRule="exact"/>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pPr>
        <w:spacing w:line="480" w:lineRule="exact"/>
        <w:ind w:firstLine="420"/>
        <w:rPr>
          <w:rFonts w:hint="eastAsia" w:ascii="仿宋" w:hAnsi="仿宋" w:eastAsia="仿宋" w:cs="仿宋"/>
          <w:color w:val="auto"/>
          <w:sz w:val="24"/>
          <w:highlight w:val="none"/>
        </w:rPr>
      </w:pPr>
    </w:p>
    <w:p>
      <w:pPr>
        <w:spacing w:line="8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spacing w:line="8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pPr>
        <w:spacing w:line="8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spacing w:line="840" w:lineRule="exact"/>
        <w:rPr>
          <w:rFonts w:hint="eastAsia" w:ascii="仿宋" w:hAnsi="仿宋" w:eastAsia="仿宋" w:cs="仿宋"/>
          <w:color w:val="auto"/>
          <w:sz w:val="24"/>
          <w:highlight w:val="none"/>
          <w:u w:val="single"/>
        </w:rPr>
      </w:pPr>
    </w:p>
    <w:p>
      <w:pPr>
        <w:spacing w:line="840" w:lineRule="exact"/>
        <w:rPr>
          <w:rFonts w:hint="eastAsia" w:ascii="仿宋" w:hAnsi="仿宋" w:eastAsia="仿宋" w:cs="仿宋"/>
          <w:color w:val="auto"/>
          <w:sz w:val="24"/>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pStyle w:val="24"/>
        <w:rPr>
          <w:rFonts w:hint="eastAsia" w:ascii="仿宋" w:hAnsi="仿宋" w:eastAsia="仿宋" w:cs="仿宋"/>
          <w:color w:val="auto"/>
          <w:highlight w:val="none"/>
          <w:u w:val="single"/>
        </w:rPr>
      </w:pPr>
    </w:p>
    <w:p>
      <w:pPr>
        <w:spacing w:beforeLines="50" w:afterLines="50" w:line="440" w:lineRule="exact"/>
        <w:rPr>
          <w:rFonts w:hint="eastAsia" w:ascii="仿宋" w:hAnsi="仿宋" w:eastAsia="仿宋" w:cs="仿宋"/>
          <w:bCs/>
          <w:color w:val="auto"/>
          <w:sz w:val="24"/>
          <w:highlight w:val="none"/>
        </w:rPr>
      </w:pPr>
    </w:p>
    <w:p>
      <w:pPr>
        <w:pStyle w:val="26"/>
        <w:ind w:firstLine="420"/>
        <w:rPr>
          <w:rFonts w:hint="eastAsia" w:ascii="仿宋" w:hAnsi="仿宋" w:eastAsia="仿宋" w:cs="仿宋"/>
          <w:color w:val="auto"/>
          <w:highlight w:val="none"/>
        </w:rPr>
      </w:pPr>
    </w:p>
    <w:p>
      <w:pPr>
        <w:spacing w:beforeLines="50" w:afterLines="50" w:line="440" w:lineRule="exact"/>
        <w:rPr>
          <w:rFonts w:hint="eastAsia" w:ascii="仿宋" w:hAnsi="仿宋" w:eastAsia="仿宋" w:cs="仿宋"/>
          <w:bCs/>
          <w:color w:val="auto"/>
          <w:sz w:val="24"/>
          <w:highlight w:val="none"/>
        </w:rPr>
      </w:pPr>
    </w:p>
    <w:p>
      <w:pPr>
        <w:spacing w:beforeLines="50" w:afterLines="50"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附件：</w:t>
      </w:r>
    </w:p>
    <w:p>
      <w:pPr>
        <w:spacing w:beforeLines="50" w:afterLines="50" w:line="440" w:lineRule="exact"/>
        <w:jc w:val="center"/>
        <w:rPr>
          <w:rFonts w:hint="eastAsia" w:ascii="仿宋" w:hAnsi="仿宋" w:eastAsia="仿宋" w:cs="仿宋"/>
          <w:color w:val="auto"/>
          <w:highlight w:val="none"/>
        </w:rPr>
      </w:pPr>
      <w:r>
        <w:rPr>
          <w:rFonts w:hint="eastAsia" w:ascii="仿宋" w:hAnsi="仿宋" w:eastAsia="仿宋" w:cs="仿宋"/>
          <w:b/>
          <w:color w:val="auto"/>
          <w:sz w:val="30"/>
          <w:szCs w:val="30"/>
          <w:highlight w:val="none"/>
        </w:rPr>
        <w:t>廉洁协议</w:t>
      </w:r>
    </w:p>
    <w:p>
      <w:pPr>
        <w:pStyle w:val="12"/>
        <w:spacing w:line="374" w:lineRule="auto"/>
        <w:ind w:right="4444"/>
        <w:rPr>
          <w:rFonts w:hint="eastAsia" w:ascii="仿宋" w:hAnsi="仿宋" w:eastAsia="仿宋" w:cs="仿宋"/>
          <w:color w:val="auto"/>
          <w:highlight w:val="none"/>
          <w:u w:val="singl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江苏省南通卫生高等职业技术学校</w:t>
      </w:r>
    </w:p>
    <w:p>
      <w:pPr>
        <w:pStyle w:val="12"/>
        <w:spacing w:before="1"/>
        <w:rPr>
          <w:rFonts w:hint="eastAsia" w:ascii="仿宋" w:hAnsi="仿宋" w:eastAsia="仿宋" w:cs="仿宋"/>
          <w:color w:val="auto"/>
          <w:highlight w:val="none"/>
        </w:rPr>
      </w:pPr>
      <w:r>
        <w:rPr>
          <w:rFonts w:hint="eastAsia" w:ascii="仿宋" w:hAnsi="仿宋" w:eastAsia="仿宋" w:cs="仿宋"/>
          <w:color w:val="auto"/>
          <w:highlight w:val="none"/>
        </w:rPr>
        <w:t>乙方：_____________</w:t>
      </w:r>
    </w:p>
    <w:p>
      <w:pPr>
        <w:pStyle w:val="12"/>
        <w:spacing w:before="9"/>
        <w:rPr>
          <w:rFonts w:hint="eastAsia" w:ascii="仿宋" w:hAnsi="仿宋" w:eastAsia="仿宋" w:cs="仿宋"/>
          <w:color w:val="auto"/>
          <w:sz w:val="25"/>
          <w:highlight w:val="none"/>
        </w:rPr>
      </w:pP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为了在工程建设中保持廉洁自律的风气，防止各种不正当行为的发生，根据国家和省、市有关建设工程承发包和廉政建设的各项规定，结合工程建设的特点， 特订立本协议如下：</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一、甲、乙双方应当自觉遵守国家、省、市关于建设工程承发包工作规则以及有关廉政建设的各项规定。</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二、甲方及其工作人员不得以任何形式向乙方索要和收受回扣等好处费。 </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三、甲方工作人员应保持与乙方的正常业务交往，不得接受乙方的礼金、有</w:t>
      </w:r>
    </w:p>
    <w:p>
      <w:pPr>
        <w:spacing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价证券和贵重物品，不得在乙方报销任何应当由个人支付的费用。</w:t>
      </w:r>
    </w:p>
    <w:p>
      <w:pPr>
        <w:numPr>
          <w:ilvl w:val="0"/>
          <w:numId w:val="2"/>
        </w:num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甲方工作人员不得参加可能对公正执行公务有影响的宴请和娱乐活动。</w:t>
      </w:r>
    </w:p>
    <w:p>
      <w:pPr>
        <w:numPr>
          <w:ilvl w:val="0"/>
          <w:numId w:val="2"/>
        </w:num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甲方工作人员不得要求或者接受乙方为其住房装修、婚丧嫁娶、家属和</w:t>
      </w:r>
    </w:p>
    <w:p>
      <w:pPr>
        <w:spacing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子女的工作安排以及出国等提供方便。</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六、甲方工作人员不得向乙方介绍家属或者亲友从事与甲方工程有关的材料设备供应、工程分包等经济活动。</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七、乙方应当通过正常途径开展相关业务工作，不得为获取某些不正当利益向甲方工作人员赠送礼金、有价证券和贵重物品等。</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八、乙方不得为谋取利益擅自与甲方工作人员就工程承包、工程费用、材料设备供应、工程量变动、工程验收、工程质量问题处理等进行私下商谈或者达成默契。</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九、乙方不得以洽谈业务、签订经济合同为借口，邀请甲方工作人员外出旅游和进入营业性娱乐场所娱乐。</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十、乙方不得为甲方单位和个人购置或者提供通讯工具、交通工具、家电、高档办公用品等物品。</w:t>
      </w:r>
    </w:p>
    <w:p>
      <w:pPr>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十二、甲方发现乙方有违反本协议或者采用不正当的手段行贿甲方工作人员， 甲方根据具体情节和造成的后果追究乙方工程合同造价 1～5%的违约金。由此给甲方单位造成的损失均由乙方承担，乙方用不正当手段获取的非法所得由甲方单位予以追缴。</w:t>
      </w:r>
    </w:p>
    <w:p>
      <w:pPr>
        <w:spacing w:line="460" w:lineRule="exact"/>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十三、本廉洁协议作为的附件，与合同具有同等法律效力。经协议双方签订后立即生效。</w:t>
      </w:r>
    </w:p>
    <w:p>
      <w:pPr>
        <w:pStyle w:val="12"/>
        <w:rPr>
          <w:rFonts w:hint="eastAsia" w:ascii="仿宋" w:hAnsi="仿宋" w:eastAsia="仿宋" w:cs="仿宋"/>
          <w:color w:val="auto"/>
          <w:highlight w:val="none"/>
        </w:rPr>
      </w:pPr>
    </w:p>
    <w:p>
      <w:pPr>
        <w:pStyle w:val="12"/>
        <w:spacing w:before="4"/>
        <w:rPr>
          <w:rFonts w:hint="eastAsia" w:ascii="仿宋" w:hAnsi="仿宋" w:eastAsia="仿宋" w:cs="仿宋"/>
          <w:color w:val="auto"/>
          <w:sz w:val="19"/>
          <w:highlight w:val="none"/>
        </w:rPr>
      </w:pPr>
    </w:p>
    <w:p>
      <w:pPr>
        <w:pStyle w:val="12"/>
        <w:tabs>
          <w:tab w:val="left" w:pos="5037"/>
        </w:tabs>
        <w:ind w:left="117"/>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spacing w:val="-120"/>
          <w:highlight w:val="none"/>
        </w:rPr>
        <w:t>：</w:t>
      </w:r>
      <w:r>
        <w:rPr>
          <w:rFonts w:hint="eastAsia" w:ascii="仿宋" w:hAnsi="仿宋" w:eastAsia="仿宋" w:cs="仿宋"/>
          <w:color w:val="auto"/>
          <w:highlight w:val="none"/>
        </w:rPr>
        <w:t>（盖章）</w:t>
      </w:r>
      <w:r>
        <w:rPr>
          <w:rFonts w:hint="eastAsia" w:ascii="仿宋" w:hAnsi="仿宋" w:eastAsia="仿宋" w:cs="仿宋"/>
          <w:color w:val="auto"/>
          <w:highlight w:val="none"/>
        </w:rPr>
        <w:tab/>
      </w:r>
      <w:r>
        <w:rPr>
          <w:rFonts w:hint="eastAsia" w:ascii="仿宋" w:hAnsi="仿宋" w:eastAsia="仿宋" w:cs="仿宋"/>
          <w:color w:val="auto"/>
          <w:highlight w:val="none"/>
        </w:rPr>
        <w:t>乙方</w:t>
      </w:r>
      <w:r>
        <w:rPr>
          <w:rFonts w:hint="eastAsia" w:ascii="仿宋" w:hAnsi="仿宋" w:eastAsia="仿宋" w:cs="仿宋"/>
          <w:color w:val="auto"/>
          <w:spacing w:val="-120"/>
          <w:highlight w:val="none"/>
        </w:rPr>
        <w:t>：</w:t>
      </w:r>
      <w:r>
        <w:rPr>
          <w:rFonts w:hint="eastAsia" w:ascii="仿宋" w:hAnsi="仿宋" w:eastAsia="仿宋" w:cs="仿宋"/>
          <w:color w:val="auto"/>
          <w:highlight w:val="none"/>
        </w:rPr>
        <w:t>（盖章）</w:t>
      </w:r>
    </w:p>
    <w:p>
      <w:pPr>
        <w:pStyle w:val="12"/>
        <w:rPr>
          <w:rFonts w:hint="eastAsia" w:ascii="仿宋" w:hAnsi="仿宋" w:eastAsia="仿宋" w:cs="仿宋"/>
          <w:color w:val="auto"/>
          <w:highlight w:val="none"/>
        </w:rPr>
      </w:pPr>
    </w:p>
    <w:p>
      <w:pPr>
        <w:pStyle w:val="12"/>
        <w:spacing w:before="8"/>
        <w:rPr>
          <w:rFonts w:hint="eastAsia" w:ascii="仿宋" w:hAnsi="仿宋" w:eastAsia="仿宋" w:cs="仿宋"/>
          <w:color w:val="auto"/>
          <w:sz w:val="20"/>
          <w:highlight w:val="none"/>
        </w:rPr>
      </w:pPr>
    </w:p>
    <w:p>
      <w:pPr>
        <w:pStyle w:val="12"/>
        <w:tabs>
          <w:tab w:val="left" w:pos="5037"/>
        </w:tabs>
        <w:ind w:left="117"/>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highlight w:val="none"/>
        </w:rPr>
        <w:tab/>
      </w:r>
      <w:r>
        <w:rPr>
          <w:rFonts w:hint="eastAsia" w:ascii="仿宋" w:hAnsi="仿宋" w:eastAsia="仿宋" w:cs="仿宋"/>
          <w:color w:val="auto"/>
          <w:highlight w:val="none"/>
        </w:rPr>
        <w:t>法定代表人：</w:t>
      </w:r>
    </w:p>
    <w:p>
      <w:pPr>
        <w:pStyle w:val="12"/>
        <w:rPr>
          <w:rFonts w:hint="eastAsia" w:ascii="仿宋" w:hAnsi="仿宋" w:eastAsia="仿宋" w:cs="仿宋"/>
          <w:color w:val="auto"/>
          <w:highlight w:val="none"/>
        </w:rPr>
      </w:pPr>
    </w:p>
    <w:p>
      <w:pPr>
        <w:pStyle w:val="12"/>
        <w:spacing w:before="8"/>
        <w:rPr>
          <w:rFonts w:hint="eastAsia" w:ascii="仿宋" w:hAnsi="仿宋" w:eastAsia="仿宋" w:cs="仿宋"/>
          <w:color w:val="auto"/>
          <w:sz w:val="20"/>
          <w:highlight w:val="none"/>
        </w:rPr>
      </w:pPr>
    </w:p>
    <w:p>
      <w:pPr>
        <w:pStyle w:val="12"/>
        <w:spacing w:before="1"/>
        <w:ind w:left="117"/>
        <w:rPr>
          <w:rFonts w:hint="eastAsia" w:ascii="仿宋" w:hAnsi="仿宋" w:eastAsia="仿宋" w:cs="仿宋"/>
          <w:color w:val="auto"/>
          <w:highlight w:val="none"/>
        </w:rPr>
      </w:pPr>
      <w:r>
        <w:rPr>
          <w:rFonts w:hint="eastAsia" w:ascii="仿宋" w:hAnsi="仿宋" w:eastAsia="仿宋" w:cs="仿宋"/>
          <w:color w:val="auto"/>
          <w:highlight w:val="none"/>
        </w:rPr>
        <w:t>委托人代表：</w:t>
      </w:r>
    </w:p>
    <w:p>
      <w:pPr>
        <w:pStyle w:val="12"/>
        <w:rPr>
          <w:rFonts w:hint="eastAsia" w:ascii="仿宋" w:hAnsi="仿宋" w:eastAsia="仿宋" w:cs="仿宋"/>
          <w:color w:val="auto"/>
          <w:highlight w:val="none"/>
        </w:rPr>
      </w:pPr>
    </w:p>
    <w:p>
      <w:pPr>
        <w:pStyle w:val="12"/>
        <w:spacing w:before="9"/>
        <w:rPr>
          <w:rFonts w:hint="eastAsia" w:ascii="仿宋" w:hAnsi="仿宋" w:eastAsia="仿宋" w:cs="仿宋"/>
          <w:color w:val="auto"/>
          <w:sz w:val="20"/>
          <w:highlight w:val="none"/>
        </w:rPr>
      </w:pPr>
    </w:p>
    <w:p>
      <w:pPr>
        <w:pStyle w:val="12"/>
        <w:ind w:left="117"/>
        <w:rPr>
          <w:rFonts w:hint="eastAsia" w:ascii="仿宋" w:hAnsi="仿宋" w:eastAsia="仿宋" w:cs="仿宋"/>
          <w:color w:val="auto"/>
          <w:highlight w:val="none"/>
        </w:rPr>
      </w:pPr>
      <w:r>
        <w:rPr>
          <w:rFonts w:hint="eastAsia" w:ascii="仿宋" w:hAnsi="仿宋" w:eastAsia="仿宋" w:cs="仿宋"/>
          <w:color w:val="auto"/>
          <w:highlight w:val="none"/>
        </w:rPr>
        <w:t xml:space="preserve">签约日期：    </w:t>
      </w:r>
      <w:r>
        <w:rPr>
          <w:rFonts w:hint="eastAsia" w:ascii="仿宋" w:hAnsi="仿宋" w:eastAsia="仿宋" w:cs="仿宋"/>
          <w:color w:val="auto"/>
          <w:highlight w:val="none"/>
          <w:u w:val="single"/>
        </w:rPr>
        <w:t>年     月</w:t>
      </w:r>
    </w:p>
    <w:p>
      <w:pPr>
        <w:spacing w:line="480" w:lineRule="exact"/>
        <w:ind w:firstLine="600"/>
        <w:jc w:val="left"/>
        <w:rPr>
          <w:rFonts w:hint="eastAsia" w:ascii="仿宋" w:hAnsi="仿宋" w:eastAsia="仿宋" w:cs="仿宋"/>
          <w:color w:val="auto"/>
          <w:sz w:val="24"/>
          <w:highlight w:val="none"/>
        </w:rPr>
        <w:sectPr>
          <w:footerReference r:id="rId3" w:type="default"/>
          <w:pgSz w:w="11910" w:h="16840"/>
          <w:pgMar w:top="1140" w:right="1460" w:bottom="280" w:left="1680" w:header="720" w:footer="720" w:gutter="0"/>
          <w:cols w:space="720" w:num="1"/>
        </w:sectPr>
      </w:pPr>
    </w:p>
    <w:p>
      <w:pPr>
        <w:adjustRightInd w:val="0"/>
        <w:snapToGrid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36"/>
          <w:szCs w:val="36"/>
          <w:highlight w:val="none"/>
        </w:rPr>
        <w:t>第三部分  项目需求</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一、采购标的需实现的功能或者目标，以及为落实政府采购政策需满足的要求；</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江苏省南通卫生高等职业技术学校在日常教学与实验的过程中需用到易制爆、易制毒、易燃、普通危化品等相关试剂。根据实际需要将五楼最西侧一个房间改造成危化品存储室，按国家相关要求进行装修和设备添置，本次采购内容包含：基础装修、电气系统、灭火系统、排风系统、存储单元、安防预警、环境监测、宣传系统等工程。通过实施江苏省南通卫生高等职业技术学校危化品储藏室项目，满足采购单位教研工作需要。</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二、采购标的需执行的国家相关标准、行业标准、地方标准或者其他标准、规范；</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国家现行标准、规范。</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三、采购标的需满足的质量、安全、技术规格、物理特性等要求；</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危化品储藏室目前具备方便的运输条件和完善的供电、给排水等市政设施。目前规划内外两个区域，内区域主要做储藏室，外区域主要做为缓冲区，兼顾宣传室。</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地面工程:试剂存储区域均做环氧地坪，对地面面层应防潮,平整、耐磨、不起尘、防滑,易清洗和不发生火花，外观色泽均匀、无漏刷、无裂纹、不起皱、无底漆泛出、平滑光亮；与基层结合协调牢固，无脱层、起壳，固化完全，不发生火花，仓库地面和踢脚要做防腐处理。</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墙面做粉刷：要求涂饰应均匀、粘结牢固，不得有漏涂、透底、起皮和掉粉，表面应平整光滑，线角顺直，三底二遍，下一遍涂料在上一层涂料充分干燥后再施工，与其它材料衔接处要清晰吻合，符合国家相关的环保要求。</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3.顶面：铝扣板吊顶，加盖防爆照明灯。</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门窗：采用甲级（含）以上防盗安全门，双锁，门材料具有防火、防雷、防静电、防腐、防盗和不产生火花等要求，根据安全要求门向人员疏散的方向开启。防盗窗、窗口、通风口的防盗栅栏应采用直径大于等于12mm的膨胀螺栓固定，安装应牢固可靠。在爆炸危险时，设置泄爆设施，本工程原部门窗户部分面积可做泄爆窗。新风窗加装防虫滤网。</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5.照明系统:室柜内各设有防爆照明灯，各个区域的照度≥1001x。房屋顶面设有防爆照明灯，墙面设置防爆应急灯及防爆紧急出口标志灯1组。</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6.配置超细粉自动灭火器，一但超过预设温度，自动喷撒，另配干粉灭火器，灭火毯备用。</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7.设有防爆空调，防爆空调防护等级进风口不低于 IP20、出风口不低于 IP10。防爆空调外机有碳钢支撑架固定,提高安全系数。</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8.声光报警系统:当房间内的温湿度,有害气体浓度超限,将自动启动排风系统。并立即触发声光报警,声光报警动作10米内可察觉。用户可通过远程监控系统准确获知具体报警内容,并可远程控制声光报警的启停。</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9.易制毒易制爆室内存储柜全部采用外接通排风系统，采用活性炭箱吸附过滤,确保排放气体达到生态环保部门的污染物作放标准。</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10.所有储藏区电线管路、接头均做防爆和防静电处理。</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11.安防预警：设有人员非法闯入报警系统，系统自动报警，视频信息保留三个月以上，确保安全。</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12.环境监测：实时监测室内环境情况，对温湿度、腐蚀性气体（氨气、氯气、硫化氢、二氧化硫等 ）传感器和防爆TVOC探测器，一但超标，自动起动排风系统，确保安全，配置空调控制器和漏水探测器与数据采集控制报警主机联动，做到自主控制。</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13.配备多个智能试剂柜，智能安全柜，并由试剂柜控制终端统一管理，对危化品的取用、归还、入库、盘点等做到完全电子化，不受人为因素影响，自动形成电子台帐，控制终端主柜配置摄像头和电子天平，做到快速准确记录，自动调取生命周期短的物品优先使用，对到期物品自动提醒，做到科学有效。配备单独的易制毒化学品存储柜，易制爆化学品存储柜，可燃化学品存储柜，重点物品，重点管理。</w:t>
      </w:r>
    </w:p>
    <w:p>
      <w:pPr>
        <w:pStyle w:val="12"/>
        <w:spacing w:line="4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14.宣传系统：危化品储藏室作为学校对外窗口，经常有相关部门和领导来检查，外区域配备相应的宣传画板和电子显示设备，通过触控一体机，扩声系统等实时了解储藏室的物品种类、类型、数量、取用记录，房间环境情况，做到科学化，精细化管理。</w:t>
      </w:r>
    </w:p>
    <w:p>
      <w:pPr>
        <w:adjustRightInd w:val="0"/>
        <w:snapToGrid w:val="0"/>
        <w:spacing w:line="4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四、采购标的的数量、采购项目交付或者实施的时间和地点；</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1.采购需求清单：详见附件（工程量清单）</w:t>
      </w:r>
    </w:p>
    <w:p>
      <w:pPr>
        <w:pStyle w:val="12"/>
        <w:spacing w:line="384" w:lineRule="auto"/>
        <w:ind w:firstLine="562" w:firstLineChars="200"/>
        <w:rPr>
          <w:rFonts w:ascii="仿宋" w:hAnsi="仿宋" w:eastAsia="仿宋" w:cs="仿宋"/>
          <w:b/>
          <w:bCs/>
          <w:color w:val="auto"/>
          <w:szCs w:val="28"/>
          <w:highlight w:val="none"/>
        </w:rPr>
      </w:pPr>
    </w:p>
    <w:tbl>
      <w:tblPr>
        <w:tblStyle w:val="27"/>
        <w:tblW w:w="9177" w:type="dxa"/>
        <w:tblInd w:w="91" w:type="dxa"/>
        <w:tblLayout w:type="fixed"/>
        <w:tblCellMar>
          <w:top w:w="0" w:type="dxa"/>
          <w:left w:w="108" w:type="dxa"/>
          <w:bottom w:w="0" w:type="dxa"/>
          <w:right w:w="108" w:type="dxa"/>
        </w:tblCellMar>
      </w:tblPr>
      <w:tblGrid>
        <w:gridCol w:w="659"/>
        <w:gridCol w:w="2069"/>
        <w:gridCol w:w="5129"/>
        <w:gridCol w:w="690"/>
        <w:gridCol w:w="630"/>
      </w:tblGrid>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技术参数及功能</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rPr>
              <w:t>数量</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rPr>
              <w:t>单位</w:t>
            </w:r>
          </w:p>
        </w:tc>
      </w:tr>
      <w:tr>
        <w:tblPrEx>
          <w:tblCellMar>
            <w:top w:w="0" w:type="dxa"/>
            <w:left w:w="108" w:type="dxa"/>
            <w:bottom w:w="0" w:type="dxa"/>
            <w:right w:w="108" w:type="dxa"/>
          </w:tblCellMar>
        </w:tblPrEx>
        <w:trPr>
          <w:trHeight w:val="340" w:hRule="exac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一、基础装修</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旧物拆除</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拆隔墙，现有物品，水管、水池台，顶面吊顶，地面瓷砖等</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地面</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防水，防漏，环氧树脂静电喷涂、含地面找平</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平</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粉刷</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墙体，三面两底，符合国家相关环保标准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平</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吊顶</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铝扣板吊顶，国标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平</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隔墙</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配套材料</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平</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防盗门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甲级，双锁具，1500*2100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扇</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防盗外窗</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国标，配防虫网</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窗帘</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阻燃，阻火，遮光，窗帘盒及遮光窗帘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新风百叶窗</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二、电气系统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照明灯</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防爆面板灯，600*600，LED 48瓦,符合EXDIIBT4GB标准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单控开关</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防爆型，单控,符合EXDIIBT4GB标准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插座</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防爆型，符合EXDIIBT4GB标准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二级配电箱</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符合EXDIIBT4GB标准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应急指示灯</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国产，防爆型，符合EXDIIBT4GB标准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报警声光指示灯</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国产，防爆型，符合EXDIIBT4GB标准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套管</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热镀锌钢管，防爆型，符合EXDIIBT4GB标准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电源线</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防爆型，符合EXDIIBT4GB标准，含电箱、空调、插座、风机等</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防静电处理</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扁铜延外墙接到地面，下挖2米预埋</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辅材</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接线盒，软管，胶布等</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655"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空调</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特种空调 3匹冷暖(三相电）防爆柜机，  防爆EXII BT4 GB，支持RS485控制，</w:t>
            </w:r>
            <w:r>
              <w:rPr>
                <w:rFonts w:hint="eastAsia" w:ascii="仿宋" w:hAnsi="仿宋" w:eastAsia="仿宋" w:cs="仿宋"/>
                <w:color w:val="auto"/>
                <w:szCs w:val="21"/>
                <w:highlight w:val="none"/>
                <w:lang w:val="en-US" w:eastAsia="zh-CN"/>
              </w:rPr>
              <w:t>含配套线路安装。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655"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abs>
                <w:tab w:val="left" w:pos="364"/>
              </w:tabs>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触摸式静电消除器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工业防爆声光语音报警本安型释放柱 壁挂式防爆（语音报警）</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340" w:hRule="exac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三、灭火系统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自动灭火器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悬挂型，8公斤，超细粉，温控，自动喷洒</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干粉灭火器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手持式，4公斤</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石棉灭水毯</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1500*1500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条</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灭火器箱</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紧急喷淋系统</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国产，脚踏出水，带洗眼和紧急喷淋功能</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635"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消防面具灭火器搭配用 防毒面具防烟面罩火灾逃生面具 过滤式自救呼吸器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组</w:t>
            </w:r>
          </w:p>
        </w:tc>
      </w:tr>
      <w:tr>
        <w:tblPrEx>
          <w:tblCellMar>
            <w:top w:w="0" w:type="dxa"/>
            <w:left w:w="108" w:type="dxa"/>
            <w:bottom w:w="0" w:type="dxa"/>
            <w:right w:w="108" w:type="dxa"/>
          </w:tblCellMar>
        </w:tblPrEx>
        <w:trPr>
          <w:trHeight w:val="43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急救药箱</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14英寸中号医药箱（配肩带），含常规急救药品</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组</w:t>
            </w:r>
          </w:p>
        </w:tc>
      </w:tr>
      <w:tr>
        <w:tblPrEx>
          <w:tblCellMar>
            <w:top w:w="0" w:type="dxa"/>
            <w:left w:w="108" w:type="dxa"/>
            <w:bottom w:w="0" w:type="dxa"/>
            <w:right w:w="108" w:type="dxa"/>
          </w:tblCellMar>
        </w:tblPrEx>
        <w:trPr>
          <w:trHeight w:val="340" w:hRule="exac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四、排风系统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防爆离心风机</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功率：3KW</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含配套线路。</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环评检测装置</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根据国标要求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风机雨帽</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软接</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槽钢基础</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减震装置</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10#槽钢</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活性炭过滤箱</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国标</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消音器</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房间排风百叶</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镀锌防腐管道</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70°常开防火阀</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电动风阀</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控制系统</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含控制线，控制箱等</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安装辅材</w:t>
            </w:r>
          </w:p>
        </w:tc>
        <w:tc>
          <w:tcPr>
            <w:tcW w:w="5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国标，（支架、吊杆、螺栓、角铁等）</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墙面开孔及修补</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配套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设备吊装</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配套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219" w:hRule="atLeas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五、存储单元</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389"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智能安全柜</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★外部尺寸：≥1980mm*850mm*615mm</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门型：单开门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锁具：电子锁， 机械锁（选配）， 双锁配置</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开锁方式：单柜模式（双卡刷卡）</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 副柜模式（主机刷卡或密码授权＋副机刷卡开门）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电压：250V 功率：2.5KW 电流：10A</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过滤器数量：高效活性炭过滤器＋ HEPA过滤器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循环模式：默认内循环， 预留外排接口</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风机数量：1</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层板：≥5块pp层板</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★显示屏：≥13.3寸液晶触摸屏</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产品功能：为了补充危化品试剂管理环节的需要 ， 完善物联控制管理体系开发的标准型钢质智能安全柜。</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安全管理和存储一般性试剂</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内胆全部采用pp防腐材料，具有耐强酸、强碱与抗腐蚀的特性</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内置温湿度传感器、 VOC空气质量传感器实时监测柜内状况</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智能化触屏式安全控制器 ，生动直观地设定和显示设备状态参数</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双人双锁控制，试剂取用更方便快捷</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内循环过滤系统，内置高效活性炭过滤器过滤挥发性化学物质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严格按照防火、防爆等级要求生产加工</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自动调整照明灯光、 风机转速 ， 无需人员操作</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历史事件可查（存取、报警）包括人、时、品、量等（手机及PC端可查询）</w:t>
            </w:r>
          </w:p>
          <w:p>
            <w:pP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含配套线路及安装。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试剂柜控制终端</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外部尺寸：≥1980mm*500mm*615mm</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 副柜模式（主机刷卡或密码授权＋副柜刷卡开门）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显示屏：≥13.3寸液晶触摸屏</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自带试剂推车，高精度电子天平秤、热敏打印机、扫码摄像头/网络摄像头</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★软件功能：</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在程序界面可以查看副柜的运行状态和参数，并按照试剂的参数（名称，时间，厂家等）查询并显示试剂存放位置、剩余质量、入库时间、最后操作时间等信息。</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控制所有副柜开门、关门。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主柜安装摄像头，每次操作后，开启摄像头录像，进入待机状态后停止录像，至少保存一个月的录像可查询回看。</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连接二维码打印机，每次新购试剂入库时，打印对应的二维码贴条，同时贴条上注明该试剂存放的位置信息</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连接扫码器，每次领取、归还试剂时，通过扫码获取信息</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连接电子秤，在领用和归还试剂时，获取质量信息。</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试剂核销流程（所有试剂取用后要求在一定时间内放回；对用完的试剂，取出后不再放回必须进行核销），提供两种模式：</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模式a：1）凭试剂在主控机扫码；2）系统查验无误并登记必要信息后进行核销；</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模式b：1）查询所有柜外试剂清单，选择希望核销的试剂；2）系统查验无误并登记必要信息后进行核销；</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试剂查询（按各类组合条件对存放的试剂进行查询）:1）试剂名称2）采购日期范围3）到期日期范围4）存取日期范围4）存放试剂柜编号6）保管人</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试剂存入流程：1）扫码确定试剂并调用智能秤自动称重；2）登记存放的试剂柜编号、存放区域等信息；3）主控机通知相应智能柜打开电子门锁；4）实际存入试剂后关门，流程结束。</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试剂取出流程：1）通过主控机查询柜内试剂明细，选择试剂确定取出；2）系统自动开相应柜门并在相应副柜LED屏提示；3）从相应试剂柜取出试剂后关门，流程结束</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具有库存盘点功能</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12.具有PC管理平台和手机小程序软件</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员可绑定微信小程序显示管理范围内的所有设备，2．可查询柜内的温度、湿度、空气质量等监控指标3．可查询开/关柜门及领用人记录，可查询所有试剂详情4．可查询相应试剂在柜内的分布情况。5．可在PC端查看本校所有试剂柜的详细信息，包括位置信息、出入库记录，领用、归还记录，报警记录等所有相关的历史信息</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含配套线路及安装。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4633"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PP酸碱存储柜</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外部尺寸：≥1950*850*615mm</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开门方式：手动，层板：4板可调，门型：双门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锁具：双锁</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颜色：瓷白色</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产品功能：专用于收纳存放易制毒化学药品和试剂 配置于危险化学品室。 柜体：采用8mm瓷白色贴膜pp （聚丙烯）板制作 ， 具有卓越的耐腐蚀性；</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层板：采用瓷白色pp （聚丙烯）板制作 ， 整体设计为活动式， 可随意抽取放在合适的隔层， 四周立边可获得一定程度的防溢效果；把手：采用耐酸碱pp （聚丙烯）材质 ， 耐腐蚀性能好；饺链： pp （聚丙烯）材料制成；专用门眼： 采用pp （聚丙烯）材料制成</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配备聚丙烯防泄漏托盘 ， 可单独取出， 便于清洁。</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调节式挂钩 ， 可根据害户要求自行调整高度</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可以用于各种腐蚀性化学品的存储 如硫酸 硝酸、 乙酸 硫磺酸等 保护操作者及周围人群安全。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使用寿命十年以上</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含配套线路及安装。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易制爆化学品存储柜</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外部尺寸：≥1980mm*850mm*615mm 门型：单开门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锁具：机械锁，</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过滤器数量：高效活性炭过滤器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循环模式：默认内循环， 预留外排接口风机数量：1</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层板：5块 pp 层板</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产品功能：专用于收纳存放易制爆化学药品和试剂 配置于危险化学品室。全部采用双层防火构造 ， 两层钢板之间相隔有38mm的隔热防火层。</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厚度大于1.0mm的优质钢板经过点焊接 ， 使用寿命更长， 防爆性更好。</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独特设计的三点联动式门锁 ， 轻松自如启闭； 柜门配有双钥匙。</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5厘米高的防漏液槽便意外流出的液体不外溢。</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防溢漏式层板可在每6厘米层挡上下之间自由调节。</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柜子内外部喷涂高环氧树脂烤漆 ， 防腐蚀能力强。</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严格按照OSHA规范，柜身设有静电接地传导端口，方便连接静电接地导线。</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含配套线路及安装。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可燃化学品存储柜</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外部尺寸：≥1980mm*850mm*615mm门型：单开门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锁具：机械锁，</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过滤器数量：高效活性炭过滤器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循环模式：默认内循环， 预留外排接口风机数量： 1</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层板：5块pp层板</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产品功能：用于存储一般可燃性化学品，配置于危险品化学品室</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全部采用双层防火构造 ， 两层钢板之间相隔有38mm的隔热防火层。</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厚度大于1.0mm的优质钢板经过点焊接 ， 使用寿命更长 ， 防爆性更好。</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独特设计的三点联动式门锁 ， 轻松自如启闭；柜门配高双钥匙。</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5厘米高的防漏液槽便意外流出的液体不外溢。</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防溢漏式层板可在每6厘米层挡上下之间自由调节。</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柜子内外部喷涂高环氧树脂烤漆 ， 防腐蚀能力强。</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严格按照OSHA规范，柜身设有静电接地传导端口，方便连接静电接地导线。</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含配套线路及安装。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应急器材柜</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尺寸：1000*500*2000mm,采用改性PP材料增加强度，注塑模一次性成型，表面沙面和光面相结合处理。</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柜门：915*458mm，柜门厚25mm，内嵌5mm厚钢化玻璃，伸缩式PP旋转门轴，四角圆弧倒角，内侧弧形圆边。</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把手：采用不锈钢“］”型拉手，材料表面经过防腐氧化处理和纯环氧树脂塑粉高温固化处理，具有较强的耐蚀性。</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层板：945*440mm，采用改性PP改性材料增加强度，注塑模一次性成型，表面沙面和光面相结合处理，承重力强，可上下调换。</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含配套线路及安装。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r>
      <w:tr>
        <w:tblPrEx>
          <w:tblCellMar>
            <w:top w:w="0" w:type="dxa"/>
            <w:left w:w="108" w:type="dxa"/>
            <w:bottom w:w="0" w:type="dxa"/>
            <w:right w:w="108" w:type="dxa"/>
          </w:tblCellMar>
        </w:tblPrEx>
        <w:trPr>
          <w:trHeight w:val="500" w:hRule="atLeas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六、安防报警联网报警系统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轻智能警戒摄像机防爆</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主码流支持2560x1440@25fps，子码流支持1280x720@25fps，第三码流支持1280x720。</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最低照度彩色0.005lx，黑白0.0005lx。</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内置GPU芯片，麦克风，扬声器。</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支持白光补光、红外补光，在开启白光灯进行补光时，可输出彩色视频图像。</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同一静止场景相同图像质量下，设备在H.264、H.265编码方式时，开启智能编码功能和不开启智能编码相比，码率节约80%。</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★支持智能报警防干扰功能，智能分析行为类型为区域入侵、越界侦测、进入区域、离开区域时，报警检测目标设置为人体和/或车辆时，光线明暗变化，篮球滚动，狗行走，树摇晃，不触发报警。</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★支持声音报警功能，报警声音类型不低于12种，并支持导入自定义语音，报警音量及重复次数可设置。</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★可对出现在监控画面中的两眼瞳距不小于26像素的人脸进行检测，并叠加目标提示框。</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★可同时对经过设定检测区域内的不低于10个行人进行人脸检测、跟踪、评分和抓拍，可筛选和抓拍最佳人脸图片存储及上报中心，抓拍图片数量、大小可设，支持上传全景照。</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★支持像素显示功能，可通过IE浏览器显示预览画面中鼠标所选区域水平及垂直方向的像素数。</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★支持快捷配置功能，可在预览画面页开启/关闭“快捷配置”页面，支持配置常用显示图像参数、OSD配置、音视频参数、智能资源分配等，并支持恢复默认操作。</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支持1路报警输入，1路报警输出，1路音频输入，1路音频输出，1个SD卡槽，1个DC12V电压输出接口，支持DC12V或POE供电。</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通用型NVR硬盘录像机</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1.5U机箱，尺寸445mm（宽）× 400mm（深）×71mm（高）</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2个HDMI，1个VGA,支持异源输出</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4盘位，可满配8T硬盘</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2个RJ45 10M/100M/1000M自适应以太网口</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2个USB2.0接口、1个USB3.0接口</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2个RS-485半双工串行接口</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1个RS-232串行接口</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报警IO：16进4路</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软件性能：</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输入带宽：80Mbps</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输出带宽：160Mbps</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8路H.264、H.265混合接入</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最大支持12×1080P解码</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支持H.265、H.264解码</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存储硬盘</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3.5 HDD,6TB,7200RPM, 256MB, SATA 6Gb/s</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转速：7200RPM</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支持32路AI流、RAID应用(搭配NVR)</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支持硬盘健康管理功能</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MTBF(平均故障间隔时间)：不小于200万小时</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年写入负载：不小于550TB</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支持5年有限质保服务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交换机</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24口POE非管网监控交换机，</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905"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机柜</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高1050宽600深600黑色标准网络机柜，含PDU，配线架，理线架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网线</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国标六类</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箱</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墙面开孔及修补</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国产配套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r>
      <w:tr>
        <w:tblPrEx>
          <w:tblCellMar>
            <w:top w:w="0" w:type="dxa"/>
            <w:left w:w="108" w:type="dxa"/>
            <w:bottom w:w="0" w:type="dxa"/>
            <w:right w:w="108" w:type="dxa"/>
          </w:tblCellMar>
        </w:tblPrEx>
        <w:trPr>
          <w:trHeight w:val="340" w:hRule="exac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UPS电源</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不间断电源3000VA/1800W备用电源</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七、环境监测系统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防爆温湿度传感器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监测实验室内温湿度数据情况。温度测量范围：-50-120℃，精度：±0.3℃；湿度测量范围：0-100%RH;精度：2%。</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★防爆级别：EXd IIC T6 GB；防护等级：IP66；提供有安全完整性SIL3级认证。</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分布式多合一防爆腐蚀性有毒有害气体探测器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测多种腐蚀性气体，传感器可根据气体比重分布式部署，汇集于一个探测器，可同时监测实验室内氨气、氯气、硫化氢、二氧化硫等腐蚀和有毒有害气体泄露、挥发、超标。氨气量程：0-100ppm；分辨率0.1ppm；氯气量程：0-20ppm；分辨率0.1ppm；硫化氢量程：量程：0-100ppm；分辨率0.1ppm；二氧化硫量程：0-100ppm；分辨率0.1ppm；工作电压： 24V DC；工作温度：-40～+70℃；环境湿度：&lt;99%RH（不结露）；</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★防爆级别：EXd IIC T6 GB；防护等级：IP66；有安全完整性SIL3级认证。</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★提供一种四合一在线式有毒有害气体传感器专利证书</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★生产厂家通过知识产权管理体系认证、环境管理体系认证、职业健康安全管理体系认证、质量管理体系认证</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防爆TVOC探测器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★探测笨、甲苯等挥发性有机化合物浓度探测，阿尔法pid光离子探头。</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检测气体：VOC；量程：0-50ppm / 0-300 可选；精度：±5%；工作电压： 24V DC；工作温度：-40～+70℃；环境湿度：&lt;99%RH（不结露）；检测方式：扩散式；传感器寿命： 3～5 年（正常大气环境下）</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★防爆级别：EXd IIC T6 GB；防护等级：IP66；有安全完整性SIL3级认证。</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空调控制器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通过报警控制主机，根据，传感器测量值及主机设定值可联动空调手动/自动启动控制。</w:t>
            </w:r>
            <w:r>
              <w:rPr>
                <w:rFonts w:hint="eastAsia" w:ascii="仿宋" w:hAnsi="仿宋" w:eastAsia="仿宋" w:cs="仿宋"/>
                <w:color w:val="auto"/>
                <w:szCs w:val="21"/>
                <w:highlight w:val="none"/>
                <w:lang w:val="en-US" w:eastAsia="zh-CN"/>
              </w:rPr>
              <w:t>含配套线路及安装。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345"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漏水探测器</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检测空调漏水，4个不锈钢电极，防护等级：IP68，响应灵敏度可调。</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数据采集控制报警主机</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寸触摸屏，冷轧钢表面喷塑机柜，采集所有传感器数据数据，根据设定值控制排风风机启停。内置智能物联网网关，AI/DO模块，AC220V供电，含定制自控软件。ARM内核，含边缘计算控制算法。就地声光报警。根据不同气体参数超标可启动风机排风，空调控制等，手动/自动控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环境监测平台</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数据监控，存储，可随时随地远程查看实时数据，实时状态，历史数据，历史曲线，下载数据报表等。具备现场报警功能，短信报警功能，电话语音报警功能。含远程大屏端显示界面，远程PC端展示。</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★提供具有正版软件加密狗。软件著作权</w:t>
            </w:r>
          </w:p>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公有云部署，用我们的云平台；含3年平台运维费用，含4g流量费用，数据存储费用，远程电脑及移动端软件服务费用，云服务器及平台运维等费用。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手机端小程序</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手机端小程序，远程查看环境参数</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控制主机</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i5，8G内存，256G固态，6个COM口，2个千兆网口，1个HDMI，1个VGA，尺寸20cm*20cm*6cm，</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7857"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八、宣传系统</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交互一体机</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1.★屏体：A规屏，显示尺寸≥65英寸（提供具有CNAS标识的检测报告并加盖投标人公章）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2.物理分辨率：3840×2160可无损播放4K片源</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3.屏体亮度≥450cd/ M2，对比度≥4500：1，最大可视角度≥178度；</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4.交互平板屏体色彩覆盖率不低于120%，最高灰阶 256 灰阶</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5.红外触控技术，在双系统下均支持不少于20点触控及同时书写，；触摸高度≤2mm；最小识别直径≤2mm，书写延迟速度≤15ms；</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6.交互平板具备抗强光干扰，在≥150K LUX照度的光照下保证书写功能正常</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7.为便于用户操作交互平板，至少具备8个前置物理按键，为方便用户多样操作使用，每个前置按键均具备按键复用功能；</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8.为充分满足用户实际使用需求，前置面板需具有以下输入接口：≥2路双通道USB3.0接口、≥1路USB Type-C接口，为避免用户误操作交互平板前置接口均须具有中文标识；</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9.★交互平板前置1路标准非转接HDMI接口，可用于音视频信号上传，且接入教学设备后可实现自动开机功能。（提供具有CNAS标识的检测报告并加盖投标人公章）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10.交互平板与外接电脑设备连接时，支持以一根USB线直接读取插在交互平板上的U盘，并识别连接至交互平板的翻页笔、无线键鼠等USB设备；</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11.通电关机状态下交互平板与外接电脑、机顶盒等设备通过HDMI/VGA连接时，识别到外接设备的输入信号后自动开机；</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12.★交互平板整机须具备前置物理电脑还原按键，针孔式设计防止误操作，并具有中文丝印标识便于识别；（提供具有CNAS标识的检测报告并加盖投标人公章）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13.交互平板具有物理开机防蓝光功能，不接受通过菜单或按键设置方式进行防蓝光模式与非防蓝光模式的切换，并可通过扫描交互平板前置二维码即可获取产品防蓝光检测证书；</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14.为满足课堂视听需求，交互平板采用全声道组合音响，前置双扬声器功率不低于30W，单独对高音、低音、平衡音进行调整</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15.交互平板可在通电关机状态下通过交互平板进行扩音，供教师设备连接使用；</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16.交互平板具有便捷通屏笔槽结构，可便于用户存放粉笔、电子教鞭等教学工具；</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17.交互平板内置无线网络模块与蓝牙模块，采用前置信号接发设计且具有文字图标标识，信号接发源不局限在整机后方某一方向某一位置，无任何外接、转接天线及网卡可实现正常网络连接，保证信号不被遮挡。</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18.★交互平板板具有一体化高清摄像头，像素不低于800万，水平视角 120°；拾音单元有效保真拾音距离可达12米，全结构无外部连线与屏体齐平；高清摄像头模组支持远程巡课系统，使用摄像头单元可实现远程巡课，并可对接人脸识别软件进行使用（提供具有CNAS标识的检测报告并加盖投标人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19.智能交互平板具备多键合一功能:电源开关、电脑开关、辅助电脑系统还原、轻按按键实现节能息屏与唤醒，息屏模式下可达到95%的节能效果</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教学辅助系统：</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20.内置安卓教学辅助系统，采用四核CPU， ROM不小于8G, RAM不小于2G, 安卓系统版本不低于8.0； </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21.无需借助PC，整机可一键进行硬件自检，包括对系统内存、存储、屏温、触摸系统、光感系统、内置电脑等进行状态提示及故障提示；</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22.主页提供5个应用程序，并可随意替换</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23.通过五指抓取屏幕任意位置可调出多任务处理窗口，并对正在运行的应用进行浏览、快速切换或结束进程;</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24.悬浮菜单可进行自定义分组，可添加Windows和Android系统下的互动教学工具、书写白板、系统设置、AI互动软件、便签等不少于25个应用</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25.为满足教学过程中多场景应用需求，交互平板可通过多指长按屏幕部分达到息屏及屏幕唤醒功能，可根据实际教学应用开启或关闭此功能；</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26.智能交互平板双侧快捷键可根据用户的实际使用需求自定义设置为经典模式与极简模式，快捷键模式变化数量也随之变化，并支持自定义</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27.多种开机模式：智能交互平板具备定时自动开关机与远程开关机功能，定时开关机时间可自行设定;</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无线扩声系统</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教学扩声音箱：</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★1.系统采用数字红外音频传输及控制技术；提供官方网站带网页链接和截图加盖公章。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2.★红外传输副载波符合IEC 61603-7数字红外国际标准证书，DQPSK数字调制/解调技术；</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3.主机需内置数字功放，输出功率≥120W；需集成四个扬声器，可直接对老师声音进行扩声；</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4.≥2个RJ45接口,支持模拟音频输入/输出及扩展数字红外接收器，支持2个无线麦克风；</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5.≥1路USB接口，通过USB线连接PC，配合数字红外无线麦克风使用，可实现PPT翻页功能；</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6.需支持高音/低音调节，线路输入音量调节；</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★7.四个扬声器可分为两组（A+B和C+D），支持独立调节每组扬声器音量；</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8.具有频点选择、广播插入模式、啸叫抑制等功能，可通过拨码开关设置；</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9.为了更清楚的表现出主体声音，需具有线路声音自动衰减功能开关，即麦克风有声音触发时，背景声音降低；</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10.高度集成化，安装简单；</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★需提供所投产品的国家强制性产品3C认证证书复印件加盖公章.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★供应商或所投产品的生产厂家提供高新技术企业证书、ISO9001与ISO14001质量管理体系认证证书、中国教育技术协会认证，以证书复印件加盖厂家公章为准.</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★必须提供原厂五年售后服务承诺函.</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无线麦克风：</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1.红外麦克风在不同教室之间使用，无需对频，即开即用，简单方便；</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2.不受高频驱动光源干扰，可正常工作于阳光下的环境；</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3.扩展性能强，支持外部音频输入（Ø 3.5 mm AUDIO IN），与其它音频设备（如MP3、手机等）组合，传输更随意；</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4.需具有麦克风音量调节、话筒频点设定及话筒灵敏度设置；</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5.当发言者在设定时间内无发言时，自动关闭红外信号发射，达到智能管理电量；</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6.为了满足互动教学，需支持开启PTT功能，按住一键开启话筒，松开后话筒即关闭；</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7.可实现远程控制PPT翻页及内置激光笔功能； </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8.轻巧美观，多种使用方式灵活选择：可手持、颈挂或置于上衣口袋；</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9.发射角度：垂直0°～90°，水平120°；</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10.内置可充电锂电池，持续发言时间≥7小时；</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★11.具有良好的对灯光的抗干扰性；测量数字红外无线麦克风对节能灯灯光的抗干扰。提供国家认可的权威机构出具的检测报告扫描件加盖公章。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12.需支持USB口充电（兼容手机充电器）或插入充电座充电;</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★13.无线麦克风自带电子锁锁口，可搭配电子锁底座进行话筒安全管理；提供蓝牙扫码开锁手机App（含Android和IOS）软件著作权证书复印件加盖公章。</w:t>
            </w:r>
          </w:p>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14.电源适配器：电源：AC 100 V - 240 V, 50 Hz/60 Hz ，输出：5 V DC, 2.0 A ，接口：根据出售地区的不同，可选择UL、CE或VDE型 ，线缆长度：1米 </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展板</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亚克力，危化品安全宣传展板，定制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r>
      <w:tr>
        <w:tblPrEx>
          <w:tblCellMar>
            <w:top w:w="0" w:type="dxa"/>
            <w:left w:w="108" w:type="dxa"/>
            <w:bottom w:w="0" w:type="dxa"/>
            <w:right w:w="108"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206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w:t>
            </w:r>
          </w:p>
        </w:tc>
        <w:tc>
          <w:tcPr>
            <w:tcW w:w="512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配套线路及安装。按现场实际情况从楼层电源控制室单独电缆布线。供应商需现场踏勘并合理报价。</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6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项</w:t>
            </w:r>
          </w:p>
        </w:tc>
      </w:tr>
    </w:tbl>
    <w:p>
      <w:pPr>
        <w:spacing w:line="460" w:lineRule="exact"/>
        <w:rPr>
          <w:rFonts w:hint="eastAsia" w:ascii="方正仿宋_GBK" w:hAnsi="方正仿宋_GBK" w:eastAsia="方正仿宋_GBK" w:cs="方正仿宋_GBK"/>
          <w:color w:val="auto"/>
          <w:sz w:val="28"/>
          <w:szCs w:val="28"/>
          <w:highlight w:val="none"/>
        </w:rPr>
      </w:pPr>
      <w:r>
        <w:rPr>
          <w:rFonts w:hint="eastAsia" w:ascii="宋体" w:hAnsi="宋体" w:cs="宋体"/>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 xml:space="preserve"> 2.采购项目实施时间：2022年10月-2022年11月，签订合同后30日历天内完工并通过验收，具体由采购方安排。</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3.采购项目实施地点：采购人指定。</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五、采购标的需满足的服务标准、期限、效率等要求；</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根据《建设工程质量管理条例》及有关规定。</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六、采购标的的验收标准；</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采购人按合同约定积极配合成交供应商履约，约定需要验收的阶段，采购人及时组织相关专业技术人员验收，并出具验收报告。</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七、采购标的的其他技术、服务等要求；</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（一）投标报价</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1.投标报价的范围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报价应包括采购文件所确定的招标范围内相应采购清单及相关资料及规范、规定等全部内容，以及为完成上述内容所必须的附属工程、临时工程、材料、劳务、机械、成品保护、垂直运输、脚手架搭设使用、与各工种间的协调配合工作、验收、创优、安全措施、技术措施，作为一名有经验的投标供应商所应考虑到的各种因素、风险及所需的全部费用。</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清单是投标供应商投标报价的共同基础。采购人提供的采购清单，投标供应商应结合采购文件、合同条款、商务技术响应文件和要求与图纸一起阅读理解，除设计变更外，采购人在采购清单中未列明或项目特征描述不全，但投标供应商为满足采购人和设计图纸的要求而必须完成的工作，投标供应商应计入报价中，工程结算时采购人不为此类项目另外支付。</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2.投标报价的计价依据</w:t>
      </w:r>
    </w:p>
    <w:p>
      <w:pPr>
        <w:adjustRightInd w:val="0"/>
        <w:snapToGrid w:val="0"/>
        <w:spacing w:line="4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2.1采购清单及现场勘察后报价。</w:t>
      </w:r>
      <w:r>
        <w:rPr>
          <w:rFonts w:hint="eastAsia" w:ascii="方正仿宋_GBK" w:hAnsi="方正仿宋_GBK" w:eastAsia="方正仿宋_GBK" w:cs="方正仿宋_GBK"/>
          <w:color w:val="auto"/>
          <w:sz w:val="28"/>
          <w:szCs w:val="28"/>
          <w:highlight w:val="none"/>
          <w:lang w:val="en-US" w:eastAsia="zh-CN"/>
        </w:rPr>
        <w:t>涉及电气设备、智能化等设备安装的，所有配套电气线路、控制信号电缆等材料和施工费用，均包括在总报价内。</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3.投标报价方式：</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3.1本工程项目采用 3.1.1 方式。</w:t>
      </w:r>
    </w:p>
    <w:p>
      <w:pPr>
        <w:adjustRightInd w:val="0"/>
        <w:snapToGrid w:val="0"/>
        <w:spacing w:line="460" w:lineRule="exact"/>
        <w:ind w:firstLine="560" w:firstLineChars="200"/>
        <w:rPr>
          <w:rFonts w:hint="eastAsia"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color w:val="auto"/>
          <w:sz w:val="28"/>
          <w:szCs w:val="28"/>
          <w:highlight w:val="none"/>
        </w:rPr>
        <w:t>3.1.1综合单价报价方式。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r>
        <w:rPr>
          <w:rFonts w:hint="eastAsia" w:ascii="方正仿宋_GBK" w:hAnsi="方正仿宋_GBK" w:eastAsia="方正仿宋_GBK" w:cs="方正仿宋_GBK"/>
          <w:b/>
          <w:color w:val="auto"/>
          <w:sz w:val="28"/>
          <w:szCs w:val="28"/>
          <w:highlight w:val="none"/>
          <w:u w:val="single"/>
        </w:rPr>
        <w:t>工程结算综合单价=首次报价时的综合单价*（最终报价总价/首次报价总价）。</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4.投标报价编制要求</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投标供应商不得擅自改动采购人提供的工程量清单上的内容。若对提供的工程量清单内容有疑义，请将书面疑问材料在规定的时间和方法向采购人提出，其中清单内容的书面疑问材料经采购人组织核实确认后提供最终工程量清单，投标供应商在投标报价时，不得增减清单工程量。</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4.2本工程施工期间涉及环保、消防、城市卫生、市政、居委会、派出所等相关部门收取的费用，以及夜间文明施工、保护周边地下管线和架空线的安全的费用等，投标供应商均应综合考虑在投标报价中，竣工结算时一律不作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4.3投标供应商应认真踏勘施工现场，考虑因各种困难因素，所发生的一切费用由投标供应商自行考虑，并在投标报价中予以体现，以后不得以此为由提出额外增加费用的要求。水、电接驳，按采购人指定地点，定量表记、接至施工现场管线（电缆）由投标供应商自行考虑，费用包含在投标报价中。现场自来水及电源接入点现场具体位置由投标供应商现场踏勘。</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4.4本工程垂直运输及安装脚手架由投标单位自行考虑，并计入报价，结算时一律不做调整。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4.5投标供应商自行解决与本工程各相关承包商间的协调、配合、通信关系，确保各分项工程满足设计图纸、验收规范等要求，发生的费用由投标供应商自行承担，并相互做好成品保护工作，采购人不再另行支付任何涉及工序交叉影响的费用。</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4.6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供应商自行考虑，并列入投标报价，工程竣工结算时不作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4.7投标供应商应在投标报价中综合考虑施工机械设备、材料进出场、二次搬运等涉及所有费用并计入报价，中标后不得以场地现状及条件为由提出额外要求和增加工程费用，采购人不再对此项费用另行签证。</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4.8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投标供应商承担，采购人不再另行支付该项费用，结算时一律不作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4.9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4.10若投标供应商在投标报价时擅自改变采购文件及清单内容，评审时未被发现，实际施工时均按采购文件及清单内容执行，结算时不予调整。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4.11投标供应商工地踏勘应充分了解工地位置情况，道路、储存空间、装卸限制及任何其它足以影响报价的情况，任何忽视或误解工地情况而导致的索赔及工期延长申请将不被批准。</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4.12中标单位不得拒绝完成采购人在施工地点范围内变更或要求增加和减少的工程内容。</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4.13报价书中的工程数量乘以综合单价必须等于合价。</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4.14投标确定投标报价时应考虑施工过程中运出的建筑垃圾等必须运出施工现场范围以外，否则，除须接受相关部门的处罚外，发现一次发包人将视情节严重向承包人收取履约保证金的10-20%，并有权要求其重新清运出。</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4.15承包人须在工程竣工前拆除现场所有临时设施，包括所有的机械设备、硬化场地拆除后产生的建筑垃圾及剩余材料全部清运出场，相关费用由各投标供应商在报价时自行考虑到投标报价中，竣工结算时不作任何调整。清理标准应得到发包人的认可，否则，如发生相关费用则由发包人在工程结算价款中扣除。</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4.16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4.17施工期间和竣工移交时的保洁工作及费用，投标供应商在报价时须综合考虑在投标报价中，结算时不做调整。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4.18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4.19 其他未尽事宜在书面答疑中明确。</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5.售后服务要求：</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5.1设备安装完毕后，如发现与合同要求不符或发生破损与短缺等问题，或存在技术指标达不到合同要求，制造商（或代理商）负有全责必须予以更换与补缺</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5.2对用户人员（至少2人）进行设备的保养和维护等现场培训，培训日程视实际情况另定；</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5.3设备质保期为验收合格后：装修部分2年，柜体3年，电器元件1年；质保期内免费维修和更换零部件。质保期满后，提供终身上门维护并在标书中标明上门维修的费用及维修常用零部件的价格；</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5.4制造商（或代理商）在国内有维修中心，有专职维修工程师和备品备件库；在用户提出维修要求后，在4小时内作出响应，2个工作日内到达用户现场维修，一般故障应在24小时内修复，重大故障应在72小时内修复；以及履行所承诺的其他服务条款；</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5.5中标单位需免费协助学校对现有的库存危化品进行分类、登记、存档、制度建设等工作。</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5.6中标单位协助学校做好消防、安防等相关职能部门的项目验收工作，并按要求负责整改。</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八、付款方式</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1.合同签订后付合同价的30%，项目竣工验收合格支付合同价的65%；满质保期（三年）后一次性付清余款（无息）。</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2.款项由采购人按相关财务支付规定办理支付手续。不得故意拖延支付时间。</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九、履约保证金：</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项目成交后的履约保证金为项目成交价的10%，成交供应商的履约保证金须在成交通知书发出之日起至合同签订前汇入采购单位账户（应当以支票、汇票、保函等非现金形式提交），成交供应商凭成交通知书与采购单位签订合同。超期或未有协商，则视为自动放弃成交资格。</w:t>
      </w:r>
      <w:r>
        <w:rPr>
          <w:rFonts w:hint="eastAsia" w:ascii="方正仿宋_GBK" w:hAnsi="方正仿宋_GBK" w:eastAsia="方正仿宋_GBK" w:cs="方正仿宋_GBK"/>
          <w:color w:val="auto"/>
          <w:sz w:val="28"/>
          <w:szCs w:val="28"/>
          <w:highlight w:val="none"/>
        </w:rPr>
        <w:cr/>
      </w:r>
      <w:r>
        <w:rPr>
          <w:rFonts w:hint="eastAsia" w:ascii="方正仿宋_GBK" w:hAnsi="方正仿宋_GBK" w:eastAsia="方正仿宋_GBK" w:cs="方正仿宋_GBK"/>
          <w:color w:val="auto"/>
          <w:sz w:val="28"/>
          <w:szCs w:val="28"/>
          <w:highlight w:val="none"/>
        </w:rPr>
        <w:t xml:space="preserve">    2.成交供应商全部履约合同义务，经采购单位验收合格无质量、进度等问题的，采购人在验收合格后一次性退还履约保证金（保函除外）；</w:t>
      </w:r>
      <w:r>
        <w:rPr>
          <w:rFonts w:hint="eastAsia" w:ascii="方正仿宋_GBK" w:hAnsi="方正仿宋_GBK" w:eastAsia="方正仿宋_GBK" w:cs="方正仿宋_GBK"/>
          <w:color w:val="auto"/>
          <w:sz w:val="28"/>
          <w:szCs w:val="28"/>
          <w:highlight w:val="none"/>
        </w:rPr>
        <w:cr/>
      </w:r>
      <w:r>
        <w:rPr>
          <w:rFonts w:hint="eastAsia" w:ascii="方正仿宋_GBK" w:hAnsi="方正仿宋_GBK" w:eastAsia="方正仿宋_GBK" w:cs="方正仿宋_GBK"/>
          <w:color w:val="auto"/>
          <w:sz w:val="28"/>
          <w:szCs w:val="28"/>
          <w:highlight w:val="none"/>
        </w:rPr>
        <w:t xml:space="preserve">    3.发生以下情况的，履约保证金不予退还或部分退还：</w:t>
      </w:r>
      <w:r>
        <w:rPr>
          <w:rFonts w:hint="eastAsia" w:ascii="方正仿宋_GBK" w:hAnsi="方正仿宋_GBK" w:eastAsia="方正仿宋_GBK" w:cs="方正仿宋_GBK"/>
          <w:color w:val="auto"/>
          <w:sz w:val="28"/>
          <w:szCs w:val="28"/>
          <w:highlight w:val="none"/>
        </w:rPr>
        <w:cr/>
      </w:r>
      <w:r>
        <w:rPr>
          <w:rFonts w:hint="eastAsia" w:ascii="方正仿宋_GBK" w:hAnsi="方正仿宋_GBK" w:eastAsia="方正仿宋_GBK" w:cs="方正仿宋_GBK"/>
          <w:color w:val="auto"/>
          <w:sz w:val="28"/>
          <w:szCs w:val="28"/>
          <w:highlight w:val="none"/>
        </w:rPr>
        <w:t xml:space="preserve">    a.签订合同后，成交供应商不履行合同义务的，采购单位有权全额扣除履约保证金，全额不予退还，同时采购单位亦有权终止合同，中标供应商还须承担相应的法律赔偿责任。</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十、磋商项目涉及到的现场勘察</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磋商文件所提供的项目相关数据仅做参考，根据自身需要，供应商应在磋商文件递交之日前对有关现场和周围环境进行勘察，以获取编制响应文件和签署合同所需的信息。勘察现场所发生的费用由供应商自己承担。</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2.采购人向供应商提供的有关现场的资料和数据，是采购人现有的并认为能使供应商可利用的资料。采购人对供应商由此而做出的推论、理解和结论概不负责。</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3.经采购人允许，供应商可为勘察目的进入采购人的项目现场，但供应商不得因此使采购人承担有关的责任和蒙受损失。供应商应承担勘察现场的责任和风险。</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供应商应认真踏勘现场。在现场勘察时，熟悉施工及制作安装现场、现场周围交通道路等情况，以获得一切可能影响其磋商的直接资料。供应商成交后，不得以不完全了解现场情况为理由而向采购人提出任何索赔的要求，对此采购人不承担任何责任并将不作任何答复与考虑。</w:t>
      </w:r>
    </w:p>
    <w:p>
      <w:pPr>
        <w:adjustRightInd w:val="0"/>
        <w:snapToGrid w:val="0"/>
        <w:spacing w:line="4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现场实地勘察可携带营业执照副本原件及复印件、法定代表人的委托书、被委托人身份证原件及复印件至江苏省南通卫生高等职业技术学校勘察（联系人：单老师，联系电话：13511591058），时间为截止开标时间前一日工作日上午8：30--11：30，下午2：00-5：00。</w:t>
      </w:r>
    </w:p>
    <w:p>
      <w:pPr>
        <w:adjustRightInd w:val="0"/>
        <w:snapToGrid w:val="0"/>
        <w:spacing w:line="50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Cs/>
          <w:color w:val="auto"/>
          <w:sz w:val="36"/>
          <w:szCs w:val="36"/>
          <w:highlight w:val="none"/>
        </w:rPr>
        <w:br w:type="page"/>
      </w:r>
      <w:r>
        <w:rPr>
          <w:rFonts w:hint="eastAsia" w:ascii="仿宋" w:hAnsi="仿宋" w:eastAsia="仿宋" w:cs="仿宋"/>
          <w:bCs/>
          <w:color w:val="auto"/>
          <w:sz w:val="36"/>
          <w:szCs w:val="36"/>
          <w:highlight w:val="none"/>
        </w:rPr>
        <w:t>第四部分 评审方法和评审标准</w:t>
      </w:r>
    </w:p>
    <w:p>
      <w:pPr>
        <w:adjustRightInd w:val="0"/>
        <w:snapToGrid w:val="0"/>
        <w:spacing w:line="460" w:lineRule="exact"/>
        <w:ind w:firstLine="643" w:firstLineChars="200"/>
        <w:jc w:val="left"/>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一、磋商方式</w:t>
      </w:r>
    </w:p>
    <w:p>
      <w:pPr>
        <w:tabs>
          <w:tab w:val="left" w:pos="3585"/>
        </w:tabs>
        <w:adjustRightInd w:val="0"/>
        <w:snapToGrid w:val="0"/>
        <w:spacing w:line="460" w:lineRule="exact"/>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见面磋商模式：供应商在采购文件规定的时间和地点参加磋商活动。</w:t>
      </w:r>
    </w:p>
    <w:p>
      <w:pPr>
        <w:adjustRightInd w:val="0"/>
        <w:snapToGrid w:val="0"/>
        <w:spacing w:line="460" w:lineRule="exact"/>
        <w:ind w:firstLine="643" w:firstLineChars="200"/>
        <w:jc w:val="left"/>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二、磋商程序及评审方法和标准</w:t>
      </w:r>
    </w:p>
    <w:p>
      <w:pPr>
        <w:adjustRightInd w:val="0"/>
        <w:snapToGrid w:val="0"/>
        <w:spacing w:line="460" w:lineRule="exact"/>
        <w:ind w:firstLine="691" w:firstLineChars="247"/>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460" w:lineRule="exact"/>
        <w:ind w:firstLine="700" w:firstLineChars="25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4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pPr>
        <w:tabs>
          <w:tab w:val="left" w:pos="900"/>
        </w:tabs>
        <w:adjustRightInd w:val="0"/>
        <w:snapToGrid w:val="0"/>
        <w:spacing w:line="460" w:lineRule="exact"/>
        <w:ind w:firstLine="557" w:firstLineChars="19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最后报价是供应商响应文件的有效组成部分，提交最后报价的供应商不得少于3家。</w:t>
      </w:r>
    </w:p>
    <w:p>
      <w:pPr>
        <w:adjustRightInd w:val="0"/>
        <w:snapToGrid w:val="0"/>
        <w:spacing w:line="460" w:lineRule="exact"/>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供应商商务、技术部分和价格部分的合计分值，为该供应商的评审总得分。</w:t>
      </w:r>
    </w:p>
    <w:p>
      <w:pPr>
        <w:adjustRightInd w:val="0"/>
        <w:snapToGrid w:val="0"/>
        <w:spacing w:line="460" w:lineRule="exact"/>
        <w:ind w:firstLine="555"/>
        <w:rPr>
          <w:rFonts w:hint="eastAsia" w:ascii="仿宋" w:hAnsi="仿宋" w:eastAsia="仿宋" w:cs="仿宋"/>
          <w:color w:val="auto"/>
          <w:highlight w:val="none"/>
        </w:rPr>
      </w:pPr>
      <w:r>
        <w:rPr>
          <w:rFonts w:hint="eastAsia" w:ascii="仿宋" w:hAnsi="仿宋" w:eastAsia="仿宋" w:cs="仿宋"/>
          <w:color w:val="auto"/>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460" w:lineRule="exact"/>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评委在认真审阅响应文件的基础上，根据各响应文件的响应程度独立评判，不得统一打分。</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（一）采购人（代表）对供应商资格进行审查。</w:t>
      </w:r>
    </w:p>
    <w:p>
      <w:pPr>
        <w:adjustRightInd w:val="0"/>
        <w:snapToGrid w:val="0"/>
        <w:spacing w:line="460" w:lineRule="exact"/>
        <w:ind w:firstLine="576" w:firstLineChars="206"/>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供应商资格不合格的，其响应文件判定为无效响应文件。</w:t>
      </w:r>
    </w:p>
    <w:p>
      <w:pPr>
        <w:adjustRightInd w:val="0"/>
        <w:snapToGrid w:val="0"/>
        <w:spacing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（二）磋商小组对符合资格供应商的响应文件进行符合性审查。</w:t>
      </w:r>
    </w:p>
    <w:p>
      <w:pPr>
        <w:adjustRightInd w:val="0"/>
        <w:snapToGrid w:val="0"/>
        <w:spacing w:line="460" w:lineRule="exact"/>
        <w:ind w:firstLine="576" w:firstLineChars="206"/>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未通过符合性审查的响应文件，将被判为不满足磋商文件实质性要求。 </w:t>
      </w:r>
    </w:p>
    <w:p>
      <w:pPr>
        <w:adjustRightInd w:val="0"/>
        <w:snapToGrid w:val="0"/>
        <w:spacing w:line="460" w:lineRule="exact"/>
        <w:ind w:firstLine="562" w:firstLineChars="200"/>
        <w:jc w:val="left"/>
        <w:rPr>
          <w:rFonts w:hint="eastAsia" w:ascii="仿宋" w:hAnsi="仿宋" w:eastAsia="仿宋" w:cs="仿宋"/>
          <w:color w:val="auto"/>
          <w:sz w:val="28"/>
          <w:szCs w:val="28"/>
          <w:highlight w:val="none"/>
          <w:lang w:val="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zh-CN"/>
        </w:rPr>
        <w:t>商务技术分</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70</w:t>
      </w:r>
      <w:r>
        <w:rPr>
          <w:rFonts w:hint="eastAsia" w:ascii="仿宋" w:hAnsi="仿宋" w:eastAsia="仿宋" w:cs="仿宋"/>
          <w:color w:val="auto"/>
          <w:sz w:val="28"/>
          <w:szCs w:val="28"/>
          <w:highlight w:val="none"/>
          <w:lang w:val="zh-CN"/>
        </w:rPr>
        <w:t>分</w:t>
      </w:r>
    </w:p>
    <w:p>
      <w:pPr>
        <w:tabs>
          <w:tab w:val="left" w:pos="900"/>
        </w:tabs>
        <w:adjustRightInd w:val="0"/>
        <w:snapToGrid w:val="0"/>
        <w:spacing w:line="460" w:lineRule="exact"/>
        <w:ind w:firstLine="557" w:firstLineChars="19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供应商商务技术得分为磋商小组成员评分的算术平均分,分值保留小数点后两位。</w:t>
      </w:r>
    </w:p>
    <w:tbl>
      <w:tblPr>
        <w:tblStyle w:val="27"/>
        <w:tblW w:w="91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8"/>
        <w:gridCol w:w="735"/>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评审项目</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分值</w:t>
            </w:r>
          </w:p>
        </w:tc>
        <w:tc>
          <w:tcPr>
            <w:tcW w:w="70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13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投标产品技术参数响应程度</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仿宋" w:hAnsi="仿宋" w:eastAsia="仿宋" w:cs="仿宋"/>
                <w:bCs/>
                <w:color w:val="auto"/>
                <w:sz w:val="24"/>
                <w:highlight w:val="none"/>
              </w:rPr>
            </w:pPr>
            <w:r>
              <w:rPr>
                <w:rFonts w:hint="eastAsia" w:ascii="仿宋" w:hAnsi="仿宋" w:eastAsia="仿宋" w:cs="仿宋"/>
                <w:color w:val="auto"/>
                <w:sz w:val="24"/>
                <w:highlight w:val="none"/>
              </w:rPr>
              <w:t>30</w:t>
            </w:r>
          </w:p>
        </w:tc>
        <w:tc>
          <w:tcPr>
            <w:tcW w:w="7051" w:type="dxa"/>
            <w:tcBorders>
              <w:top w:val="single" w:color="000000" w:sz="4" w:space="0"/>
              <w:left w:val="single" w:color="000000" w:sz="4" w:space="0"/>
              <w:bottom w:val="single" w:color="000000" w:sz="4" w:space="0"/>
              <w:right w:val="single" w:color="000000" w:sz="4" w:space="0"/>
            </w:tcBorders>
            <w:noWrap/>
            <w:vAlign w:val="center"/>
          </w:tcPr>
          <w:p>
            <w:pPr>
              <w:textAlignment w:val="bottom"/>
              <w:rPr>
                <w:rFonts w:ascii="仿宋" w:hAnsi="仿宋" w:eastAsia="仿宋" w:cs="仿宋"/>
                <w:bCs/>
                <w:color w:val="auto"/>
                <w:sz w:val="24"/>
                <w:highlight w:val="none"/>
              </w:rPr>
            </w:pPr>
            <w:r>
              <w:rPr>
                <w:rFonts w:hint="eastAsia" w:ascii="仿宋" w:hAnsi="仿宋" w:eastAsia="仿宋" w:cs="仿宋"/>
                <w:color w:val="auto"/>
                <w:sz w:val="24"/>
                <w:highlight w:val="none"/>
              </w:rPr>
              <w:t>对主要设备的性能技术参数进行打分，技术参数要求进行逐条应答，完全对应招标文件主要设备技术参数要求的得基础分30分，所投主要设备产品的规格和技术参数与招标文件要求任何一项不符、配置不详、技术参数不清、缺漏项的作负偏离处理，★为重要技术参数，每有1项负偏离扣3分，非标“★”参数每有1项负偏离扣1分，扣完为止。重要技术参数偏离情况根据原厂技术白皮书或检测报告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3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bCs/>
                <w:color w:val="auto"/>
                <w:sz w:val="24"/>
                <w:highlight w:val="none"/>
              </w:rPr>
            </w:pPr>
            <w:r>
              <w:rPr>
                <w:rFonts w:hint="eastAsia" w:ascii="仿宋" w:hAnsi="仿宋" w:eastAsia="仿宋" w:cs="仿宋"/>
                <w:color w:val="auto"/>
                <w:sz w:val="24"/>
                <w:highlight w:val="none"/>
              </w:rPr>
              <w:t>产品质量保证</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7051" w:type="dxa"/>
            <w:tcBorders>
              <w:top w:val="single" w:color="000000" w:sz="4" w:space="0"/>
              <w:left w:val="single" w:color="000000" w:sz="4" w:space="0"/>
              <w:bottom w:val="single" w:color="000000" w:sz="4" w:space="0"/>
              <w:right w:val="single" w:color="000000" w:sz="4" w:space="0"/>
            </w:tcBorders>
            <w:noWrap/>
            <w:vAlign w:val="bottom"/>
          </w:tcPr>
          <w:p>
            <w:pPr>
              <w:numPr>
                <w:ilvl w:val="0"/>
                <w:numId w:val="3"/>
              </w:num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为保障产品手势触控性能稳定性，所投交互一体机产品制造商需符合手势交互系统相关国家标准规范，并参与手势交互系统相关国家标准编制建设。满足得2分，提供现行的含标准级别、标准号、起草单位和标准归口单位相关证明材料加盖投标人公章。</w:t>
            </w:r>
          </w:p>
          <w:p>
            <w:pPr>
              <w:numPr>
                <w:ilvl w:val="0"/>
                <w:numId w:val="4"/>
              </w:num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所投交互一体机具有平均无故障时间MTBF≥10万小时证书的得2分，提供证书扫描件加盖投标人公章。</w:t>
            </w:r>
          </w:p>
          <w:p>
            <w:pPr>
              <w:numPr>
                <w:ilvl w:val="0"/>
                <w:numId w:val="4"/>
              </w:num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所投交互一体机板制造商在“笔式人机交互关键技术及应用”领域获得国家级科学进步奖证书的得2分，提供证书扫描件加盖投标人公章。</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4、为提高信息安全管理能力，所投交互一体机制造商通过ISO27017云服务信息安全管理体系认证相关认证的得2分。提供证书扫描件加盖</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5、所投安防设备厂家获得中国信息安全测评中心颁发的国家信息安全漏洞库（CNNVD）技术支撑单位等级证书的，提供相关证明复印件并加盖公章，一级得2分，二级得1分，无或其他得0分</w:t>
            </w:r>
          </w:p>
          <w:p>
            <w:pPr>
              <w:rPr>
                <w:rFonts w:ascii="仿宋" w:hAnsi="仿宋" w:eastAsia="仿宋" w:cs="仿宋"/>
                <w:color w:val="auto"/>
                <w:sz w:val="24"/>
                <w:highlight w:val="none"/>
              </w:rPr>
            </w:pPr>
            <w:r>
              <w:rPr>
                <w:rFonts w:hint="eastAsia" w:ascii="仿宋" w:hAnsi="仿宋" w:eastAsia="仿宋" w:cs="仿宋"/>
                <w:color w:val="auto"/>
                <w:sz w:val="24"/>
                <w:highlight w:val="none"/>
              </w:rPr>
              <w:t>6、所投安防设备厂商厂家获得由国家工信部认定的“工业企业知识产权运用能力培育工程试点单位”的，得2分，无或其他得0分。</w:t>
            </w:r>
          </w:p>
          <w:p>
            <w:pPr>
              <w:rPr>
                <w:rFonts w:ascii="仿宋" w:hAnsi="仿宋" w:eastAsia="仿宋" w:cs="仿宋"/>
                <w:color w:val="auto"/>
                <w:sz w:val="24"/>
                <w:highlight w:val="none"/>
              </w:rPr>
            </w:pPr>
            <w:r>
              <w:rPr>
                <w:rFonts w:hint="eastAsia" w:ascii="仿宋" w:hAnsi="仿宋" w:eastAsia="仿宋" w:cs="仿宋"/>
                <w:color w:val="auto"/>
                <w:sz w:val="24"/>
                <w:highlight w:val="none"/>
              </w:rPr>
              <w:t>7、所投的安防设备厂商能提供省发展和改革委员会印发的国家地方联合工程研究中心或国家地方联合工程实验室的证明复印件并加盖单位公章，得2分，无或其他得0分</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8、扩声系统采用数字红外传输副载波符合IEC 61603-7数字红外国际标准,并提供证书复印件得2分,没有不得分</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备注：以上证书、资质、检测报告等证明材料须加盖原厂公章。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jc w:val="center"/>
        </w:trPr>
        <w:tc>
          <w:tcPr>
            <w:tcW w:w="13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投标人资质及业绩</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051" w:type="dxa"/>
            <w:tcBorders>
              <w:top w:val="single" w:color="000000" w:sz="4" w:space="0"/>
              <w:left w:val="single" w:color="000000" w:sz="4" w:space="0"/>
              <w:bottom w:val="single" w:color="000000" w:sz="4" w:space="0"/>
              <w:right w:val="single" w:color="000000" w:sz="4" w:space="0"/>
            </w:tcBorders>
            <w:noWrap/>
            <w:vAlign w:val="center"/>
          </w:tcPr>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1、投标人具有CMMI5认证证书得1分，没有不得分。</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2、投标人具有信息化工程与技术服务能力评价证书得1分，没有不得分。</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3、投标人具有电子与智能化工程专业承包贰级证书及以上的得1分，没有不得分。</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4、投标人具有危化品监管相关软件著作权证书的得1分，没有不得分。未提供者或未按要求提供者不得分</w:t>
            </w:r>
          </w:p>
          <w:p>
            <w:pPr>
              <w:rPr>
                <w:rFonts w:eastAsia="仿宋"/>
                <w:color w:val="auto"/>
                <w:highlight w:val="none"/>
              </w:rPr>
            </w:pPr>
            <w:r>
              <w:rPr>
                <w:rFonts w:hint="eastAsia" w:ascii="仿宋" w:hAnsi="仿宋" w:eastAsia="仿宋" w:cs="仿宋"/>
                <w:color w:val="auto"/>
                <w:sz w:val="24"/>
                <w:highlight w:val="none"/>
              </w:rPr>
              <w:t>5、投标人或主要设备生产厂家（存储单元、环境监测系统），具有类似危化品项目相关业绩的，每有一个得1分，本项最高得3分。需提供合同复印件、扫描件或电子件加盖公章，否则不得分。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13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s">
                  <w:drawing>
                    <wp:inline distT="0" distB="0" distL="114300" distR="114300">
                      <wp:extent cx="635" cy="63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635"/>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nMcq&#10;zwAAAP8AAAAPAAAAAAAAAAEAIAAAACIAAABkcnMvZG93bnJldi54bWxQSwECFAAUAAAACACHTuJA&#10;qOkdy7gBAAB+AwAADgAAAAAAAAABACAAAAAeAQAAZHJzL2Uyb0RvYy54bWxQSwUGAAAAAAYABgBZ&#10;AQAASAUAAAAA&#10;">
                      <v:fill on="f" focussize="0,0"/>
                      <v:stroke on="f"/>
                      <v:imagedata o:title=""/>
                      <o:lock v:ext="edit" rotation="t" aspectratio="t"/>
                      <v:textbox>
                        <w:txbxContent>
                          <w:p/>
                        </w:txbxContent>
                      </v:textbox>
                      <w10:wrap type="none"/>
                      <w10:anchorlock/>
                    </v:rect>
                  </w:pict>
                </mc:Fallback>
              </mc:AlternateContent>
            </w:r>
            <w:r>
              <w:rPr>
                <w:rFonts w:hint="eastAsia" w:ascii="仿宋" w:hAnsi="仿宋" w:eastAsia="仿宋" w:cs="仿宋"/>
                <w:color w:val="auto"/>
                <w:sz w:val="24"/>
                <w:highlight w:val="none"/>
              </w:rPr>
              <w:t>项目实施</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051" w:type="dxa"/>
            <w:tcBorders>
              <w:top w:val="single" w:color="000000" w:sz="4" w:space="0"/>
              <w:left w:val="single" w:color="000000" w:sz="4" w:space="0"/>
              <w:bottom w:val="single" w:color="000000" w:sz="4" w:space="0"/>
              <w:right w:val="single" w:color="000000" w:sz="4" w:space="0"/>
            </w:tcBorders>
            <w:noWrap/>
            <w:vAlign w:val="bottom"/>
          </w:tcPr>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技术方案（6分）：供应商根据现场环境勘查后，结合招标文件需求，制定出详细、合理的项目设计方案包含：技术方案说明、配置清单、安装效果图等，完全满足用户需求，方案新颖先进、全面有特色得6分；方案合理、尚有改进空间得3分；方案有缺陷、思路不清晰得1分；未提供得0分。</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实施方案（6分）：供应商须提供完整、详细、可行的工程实施和保障方案，根据各供应商的投标方案打分。应包括但不限于以下内容：施工图纸（平面布置图、电气布置图、静电接电图、风机布放图、消防布置图、排风布置图、安防布置图、环境监测图等），施工质量管理措施（施工说明、管理框架、施工组织、质量管理、进度管理、安全文明施工及成品保护、文档管理、人员配置、进度计划（包括设备到货、安装、系统调试、培训等）、项目验收方案等，完全响应，资料全面得6分，基本合格得1分，未提供得0分</w:t>
            </w:r>
          </w:p>
          <w:p>
            <w:p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3．根据评分标准，针对技术、售后服务、商务、技术偏离表等制作索引表，索引表中标明佐证材料的页码、按序装订，佐证材料针对评分标准准确提供、条理清晰。0-1分。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13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051" w:type="dxa"/>
            <w:tcBorders>
              <w:top w:val="single" w:color="000000" w:sz="4" w:space="0"/>
              <w:left w:val="single" w:color="000000" w:sz="4" w:space="0"/>
              <w:bottom w:val="single" w:color="000000" w:sz="4" w:space="0"/>
              <w:right w:val="single" w:color="000000" w:sz="4" w:space="0"/>
            </w:tcBorders>
            <w:noWrap/>
            <w:vAlign w:val="center"/>
          </w:tcPr>
          <w:p>
            <w:pPr>
              <w:numPr>
                <w:ilvl w:val="0"/>
                <w:numId w:val="5"/>
              </w:num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售后服务方案：提供详细的售后服务方案，包括但不限于售后服务响应时间及服务内容、服务频率、人员培训计划及其余增值服务等。</w:t>
            </w:r>
            <w:r>
              <w:rPr>
                <w:rFonts w:hint="eastAsia" w:ascii="仿宋" w:hAnsi="仿宋" w:eastAsia="仿宋" w:cs="仿宋"/>
                <w:color w:val="auto"/>
                <w:sz w:val="24"/>
                <w:highlight w:val="none"/>
                <w:lang w:val="zh-CN"/>
              </w:rPr>
              <w:t>综合对比售后服务方案，</w:t>
            </w:r>
            <w:r>
              <w:rPr>
                <w:rFonts w:hint="eastAsia" w:ascii="仿宋" w:hAnsi="仿宋" w:eastAsia="仿宋" w:cs="仿宋"/>
                <w:color w:val="auto"/>
                <w:sz w:val="24"/>
                <w:highlight w:val="none"/>
              </w:rPr>
              <w:t>优秀得2分，一般不得分。</w:t>
            </w:r>
          </w:p>
          <w:p>
            <w:pPr>
              <w:numPr>
                <w:ilvl w:val="0"/>
                <w:numId w:val="5"/>
              </w:numP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快速服务能力：能提供本地化服务及技术人员证明材料，酌情加0-2分</w:t>
            </w:r>
          </w:p>
        </w:tc>
      </w:tr>
    </w:tbl>
    <w:p>
      <w:pPr>
        <w:autoSpaceDE w:val="0"/>
        <w:autoSpaceDN w:val="0"/>
        <w:adjustRightInd w:val="0"/>
        <w:snapToGrid w:val="0"/>
        <w:spacing w:line="5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zh-CN"/>
        </w:rPr>
        <w:t>价格分</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lang w:val="zh-CN"/>
        </w:rPr>
        <w:t>分</w:t>
      </w:r>
    </w:p>
    <w:p>
      <w:pP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磋商报价得分=（磋商基准价/最后磋商报价）×价格权值×100</w:t>
      </w:r>
    </w:p>
    <w:p>
      <w:pPr>
        <w:adjustRightInd w:val="0"/>
        <w:snapToGrid w:val="0"/>
        <w:spacing w:line="500" w:lineRule="exact"/>
        <w:ind w:firstLine="57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val="zh-CN"/>
        </w:rPr>
        <w:t>（五）</w:t>
      </w:r>
      <w:r>
        <w:rPr>
          <w:rFonts w:hint="eastAsia" w:ascii="仿宋" w:hAnsi="仿宋" w:eastAsia="仿宋" w:cs="仿宋"/>
          <w:b/>
          <w:color w:val="auto"/>
          <w:sz w:val="28"/>
          <w:szCs w:val="28"/>
          <w:highlight w:val="none"/>
        </w:rPr>
        <w:t>成交供应商的确定</w:t>
      </w:r>
    </w:p>
    <w:p>
      <w:pPr>
        <w:adjustRightInd w:val="0"/>
        <w:snapToGrid w:val="0"/>
        <w:spacing w:line="50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磋商小组汇总各评委评分后，按照得分从高到低的顺序推荐三名成交候选人，并编写评审报告。</w:t>
      </w:r>
    </w:p>
    <w:p>
      <w:pPr>
        <w:adjustRightInd w:val="0"/>
        <w:snapToGrid w:val="0"/>
        <w:spacing w:line="50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采购人委托磋商小组直接确定排名第一的成交候选人为成交供应商。</w:t>
      </w:r>
    </w:p>
    <w:p>
      <w:pPr>
        <w:adjustRightInd w:val="0"/>
        <w:snapToGrid w:val="0"/>
        <w:spacing w:line="500" w:lineRule="exact"/>
        <w:ind w:firstLine="557" w:firstLineChars="19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（六）采购人代表宣布评审结果。</w:t>
      </w:r>
    </w:p>
    <w:p>
      <w:pPr>
        <w:adjustRightInd w:val="0"/>
        <w:snapToGrid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（七）公告成交结果</w:t>
      </w:r>
    </w:p>
    <w:p>
      <w:pPr>
        <w:adjustRightInd w:val="0"/>
        <w:snapToGrid w:val="0"/>
        <w:spacing w:line="50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自确定成交供应商之日起2个工作日内，在江苏省政府采购网公告成交结果，公告期限为1个工作日。</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八</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发放成交通知书</w:t>
      </w:r>
    </w:p>
    <w:p>
      <w:pPr>
        <w:adjustRightInd w:val="0"/>
        <w:snapToGrid w:val="0"/>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公告成交结果的同时，采购代理机构</w:t>
      </w:r>
      <w:r>
        <w:rPr>
          <w:rFonts w:hint="eastAsia" w:ascii="仿宋" w:hAnsi="仿宋" w:eastAsia="仿宋" w:cs="仿宋"/>
          <w:bCs/>
          <w:color w:val="auto"/>
          <w:sz w:val="28"/>
          <w:szCs w:val="28"/>
          <w:highlight w:val="none"/>
        </w:rPr>
        <w:t>向成交供应商发放成交通知书。成交供应商应在3个工作日内到代理机构办理领取成交通知书手续，否则后果自负。联系电话：0513-55887688。</w:t>
      </w:r>
    </w:p>
    <w:p>
      <w:pPr>
        <w:adjustRightInd w:val="0"/>
        <w:snapToGrid w:val="0"/>
        <w:spacing w:line="50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adjustRightInd w:val="0"/>
        <w:snapToGrid w:val="0"/>
        <w:spacing w:line="460" w:lineRule="exact"/>
        <w:jc w:val="center"/>
        <w:outlineLvl w:val="0"/>
        <w:rPr>
          <w:rFonts w:hint="eastAsia" w:ascii="仿宋" w:hAnsi="仿宋" w:eastAsia="仿宋" w:cs="仿宋"/>
          <w:bCs/>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Cs/>
          <w:color w:val="auto"/>
          <w:sz w:val="36"/>
          <w:szCs w:val="36"/>
          <w:highlight w:val="none"/>
        </w:rPr>
        <w:t>第五部分  响应文件组成</w:t>
      </w:r>
    </w:p>
    <w:p>
      <w:pPr>
        <w:adjustRightInd w:val="0"/>
        <w:snapToGrid w:val="0"/>
        <w:spacing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由资格审查证明文件、商务响应文件、技术响应文件、价格文件、电子标书五部分组成。</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一、资格审查证明文件（不能出现商务技术文件、价格文件）</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投标供应商符合《政府采购法》第二十二条规定条件的承诺函</w:t>
      </w:r>
      <w:r>
        <w:rPr>
          <w:rFonts w:hint="eastAsia" w:ascii="仿宋" w:hAnsi="仿宋" w:eastAsia="仿宋" w:cs="仿宋"/>
          <w:color w:val="auto"/>
          <w:kern w:val="0"/>
          <w:sz w:val="28"/>
          <w:szCs w:val="28"/>
          <w:highlight w:val="none"/>
          <w:lang w:val="zh-CN"/>
        </w:rPr>
        <w:t>（格式见附件1）；</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2.法定代表人身份证明书（格式见附件2，</w:t>
      </w:r>
      <w:r>
        <w:rPr>
          <w:rFonts w:hint="eastAsia" w:ascii="仿宋" w:hAnsi="仿宋" w:eastAsia="仿宋" w:cs="仿宋"/>
          <w:color w:val="auto"/>
          <w:kern w:val="0"/>
          <w:sz w:val="28"/>
          <w:szCs w:val="28"/>
          <w:highlight w:val="none"/>
        </w:rPr>
        <w:t>必须提供</w:t>
      </w:r>
      <w:r>
        <w:rPr>
          <w:rFonts w:hint="eastAsia" w:ascii="仿宋" w:hAnsi="仿宋" w:eastAsia="仿宋" w:cs="仿宋"/>
          <w:color w:val="auto"/>
          <w:kern w:val="0"/>
          <w:sz w:val="28"/>
          <w:szCs w:val="28"/>
          <w:highlight w:val="none"/>
          <w:lang w:val="zh-CN"/>
        </w:rPr>
        <w:t>）；法定代表人授权委托书原件，磋商代表本人身份证复印件（格式见附件3）；</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3.</w:t>
      </w:r>
      <w:r>
        <w:rPr>
          <w:rFonts w:hint="eastAsia" w:ascii="仿宋" w:hAnsi="仿宋" w:eastAsia="仿宋" w:cs="仿宋"/>
          <w:color w:val="auto"/>
          <w:sz w:val="28"/>
          <w:szCs w:val="28"/>
          <w:highlight w:val="none"/>
        </w:rPr>
        <w:t>提供营业执照副本复印件加盖公章；</w:t>
      </w:r>
    </w:p>
    <w:p>
      <w:pPr>
        <w:adjustRightInd w:val="0"/>
        <w:snapToGrid w:val="0"/>
        <w:spacing w:line="460" w:lineRule="exact"/>
        <w:ind w:firstLine="560" w:firstLineChars="200"/>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kern w:val="0"/>
          <w:sz w:val="28"/>
          <w:szCs w:val="28"/>
          <w:highlight w:val="none"/>
          <w:lang w:val="zh-CN"/>
        </w:rPr>
        <w:t>中小企业声明函（格式见附件</w:t>
      </w:r>
      <w:r>
        <w:rPr>
          <w:rFonts w:hint="eastAsia" w:ascii="仿宋" w:hAnsi="仿宋" w:eastAsia="仿宋" w:cs="仿宋"/>
          <w:color w:val="auto"/>
          <w:kern w:val="0"/>
          <w:sz w:val="28"/>
          <w:szCs w:val="28"/>
          <w:highlight w:val="none"/>
        </w:rPr>
        <w:t>11</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或</w:t>
      </w:r>
      <w:r>
        <w:rPr>
          <w:rFonts w:hint="eastAsia" w:ascii="仿宋" w:hAnsi="仿宋" w:eastAsia="仿宋" w:cs="仿宋"/>
          <w:color w:val="auto"/>
          <w:kern w:val="0"/>
          <w:sz w:val="28"/>
          <w:szCs w:val="28"/>
          <w:highlight w:val="none"/>
          <w:lang w:val="zh-CN"/>
        </w:rPr>
        <w:t>残疾人福利性单位声明函（格式见附件</w:t>
      </w:r>
      <w:r>
        <w:rPr>
          <w:rFonts w:hint="eastAsia" w:ascii="仿宋" w:hAnsi="仿宋" w:eastAsia="仿宋" w:cs="仿宋"/>
          <w:color w:val="auto"/>
          <w:kern w:val="0"/>
          <w:sz w:val="28"/>
          <w:szCs w:val="28"/>
          <w:highlight w:val="none"/>
        </w:rPr>
        <w:t>12</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或</w:t>
      </w:r>
      <w:r>
        <w:rPr>
          <w:rFonts w:hint="eastAsia" w:ascii="仿宋" w:hAnsi="仿宋" w:eastAsia="仿宋" w:cs="仿宋"/>
          <w:color w:val="auto"/>
          <w:kern w:val="0"/>
          <w:sz w:val="28"/>
          <w:szCs w:val="28"/>
          <w:highlight w:val="none"/>
          <w:lang w:val="zh-CN"/>
        </w:rPr>
        <w:t>监狱和戒毒企业证</w:t>
      </w:r>
      <w:r>
        <w:rPr>
          <w:rFonts w:hint="eastAsia" w:ascii="仿宋" w:hAnsi="仿宋" w:eastAsia="仿宋" w:cs="仿宋"/>
          <w:bCs/>
          <w:color w:val="auto"/>
          <w:kern w:val="0"/>
          <w:sz w:val="28"/>
          <w:szCs w:val="28"/>
          <w:highlight w:val="none"/>
        </w:rPr>
        <w:t>明材料（格式见附</w:t>
      </w:r>
      <w:r>
        <w:rPr>
          <w:rFonts w:hint="eastAsia" w:ascii="仿宋" w:hAnsi="仿宋" w:eastAsia="仿宋" w:cs="仿宋"/>
          <w:color w:val="auto"/>
          <w:kern w:val="0"/>
          <w:sz w:val="28"/>
          <w:szCs w:val="28"/>
          <w:highlight w:val="none"/>
          <w:lang w:val="zh-CN"/>
        </w:rPr>
        <w:t>件</w:t>
      </w:r>
      <w:r>
        <w:rPr>
          <w:rFonts w:hint="eastAsia" w:ascii="仿宋" w:hAnsi="仿宋" w:eastAsia="仿宋" w:cs="仿宋"/>
          <w:color w:val="auto"/>
          <w:kern w:val="0"/>
          <w:sz w:val="28"/>
          <w:szCs w:val="28"/>
          <w:highlight w:val="none"/>
        </w:rPr>
        <w:t>13</w:t>
      </w:r>
      <w:r>
        <w:rPr>
          <w:rFonts w:hint="eastAsia" w:ascii="仿宋" w:hAnsi="仿宋" w:eastAsia="仿宋" w:cs="仿宋"/>
          <w:color w:val="auto"/>
          <w:kern w:val="0"/>
          <w:sz w:val="28"/>
          <w:szCs w:val="28"/>
          <w:highlight w:val="none"/>
          <w:lang w:val="zh-CN"/>
        </w:rPr>
        <w:t>）</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二、商务</w:t>
      </w:r>
      <w:r>
        <w:rPr>
          <w:rFonts w:hint="eastAsia" w:ascii="仿宋" w:hAnsi="仿宋" w:eastAsia="仿宋" w:cs="仿宋"/>
          <w:b/>
          <w:bCs/>
          <w:color w:val="auto"/>
          <w:kern w:val="0"/>
          <w:sz w:val="28"/>
          <w:szCs w:val="28"/>
          <w:highlight w:val="none"/>
        </w:rPr>
        <w:t>技术</w:t>
      </w:r>
      <w:r>
        <w:rPr>
          <w:rFonts w:hint="eastAsia" w:ascii="仿宋" w:hAnsi="仿宋" w:eastAsia="仿宋" w:cs="仿宋"/>
          <w:b/>
          <w:bCs/>
          <w:color w:val="auto"/>
          <w:kern w:val="0"/>
          <w:sz w:val="28"/>
          <w:szCs w:val="28"/>
          <w:highlight w:val="none"/>
          <w:lang w:val="zh-CN"/>
        </w:rPr>
        <w:t>响应文件（不能出现价格文件）</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lang w:val="zh-CN"/>
        </w:rPr>
        <w:t>1.供应商情况一览表（格式见附件</w:t>
      </w:r>
      <w:r>
        <w:rPr>
          <w:rFonts w:hint="eastAsia" w:ascii="仿宋" w:hAnsi="仿宋" w:eastAsia="仿宋" w:cs="仿宋"/>
          <w:bCs/>
          <w:color w:val="auto"/>
          <w:kern w:val="0"/>
          <w:sz w:val="28"/>
          <w:szCs w:val="28"/>
          <w:highlight w:val="none"/>
        </w:rPr>
        <w:t>6</w:t>
      </w:r>
      <w:r>
        <w:rPr>
          <w:rFonts w:hint="eastAsia" w:ascii="仿宋" w:hAnsi="仿宋" w:eastAsia="仿宋" w:cs="仿宋"/>
          <w:bCs/>
          <w:color w:val="auto"/>
          <w:kern w:val="0"/>
          <w:sz w:val="28"/>
          <w:szCs w:val="28"/>
          <w:highlight w:val="none"/>
          <w:lang w:val="zh-CN"/>
        </w:rPr>
        <w:t>）；</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sz w:val="28"/>
          <w:szCs w:val="28"/>
          <w:highlight w:val="none"/>
        </w:rPr>
        <w:t>施工管理及人员配置；</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rPr>
        <w:t>3</w:t>
      </w:r>
      <w:r>
        <w:rPr>
          <w:rFonts w:hint="eastAsia" w:ascii="仿宋" w:hAnsi="仿宋" w:eastAsia="仿宋" w:cs="仿宋"/>
          <w:bCs/>
          <w:color w:val="auto"/>
          <w:kern w:val="0"/>
          <w:sz w:val="28"/>
          <w:szCs w:val="28"/>
          <w:highlight w:val="none"/>
          <w:lang w:val="zh-CN"/>
        </w:rPr>
        <w:t>.</w:t>
      </w:r>
      <w:r>
        <w:rPr>
          <w:rFonts w:hint="eastAsia" w:ascii="仿宋" w:hAnsi="仿宋" w:eastAsia="仿宋" w:cs="仿宋"/>
          <w:bCs/>
          <w:color w:val="auto"/>
          <w:kern w:val="0"/>
          <w:sz w:val="28"/>
          <w:szCs w:val="28"/>
          <w:highlight w:val="none"/>
        </w:rPr>
        <w:t>类似业绩、拟派人员等情况</w:t>
      </w:r>
      <w:r>
        <w:rPr>
          <w:rFonts w:hint="eastAsia" w:ascii="仿宋" w:hAnsi="仿宋" w:eastAsia="仿宋" w:cs="仿宋"/>
          <w:bCs/>
          <w:color w:val="auto"/>
          <w:kern w:val="0"/>
          <w:sz w:val="28"/>
          <w:szCs w:val="28"/>
          <w:highlight w:val="none"/>
          <w:lang w:val="zh-CN"/>
        </w:rPr>
        <w:t>；</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rPr>
        <w:t>4</w:t>
      </w:r>
      <w:r>
        <w:rPr>
          <w:rFonts w:hint="eastAsia" w:ascii="仿宋" w:hAnsi="仿宋" w:eastAsia="仿宋" w:cs="仿宋"/>
          <w:bCs/>
          <w:color w:val="auto"/>
          <w:kern w:val="0"/>
          <w:sz w:val="28"/>
          <w:szCs w:val="28"/>
          <w:highlight w:val="none"/>
          <w:lang w:val="zh-CN"/>
        </w:rPr>
        <w:t>.供应商认为需要提交的其他商务技术材料。</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三、价格文件</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 xml:space="preserve"> 投标函</w:t>
      </w:r>
      <w:r>
        <w:rPr>
          <w:rFonts w:hint="eastAsia" w:ascii="仿宋" w:hAnsi="仿宋" w:eastAsia="仿宋" w:cs="仿宋"/>
          <w:color w:val="auto"/>
          <w:kern w:val="0"/>
          <w:sz w:val="28"/>
          <w:szCs w:val="28"/>
          <w:highlight w:val="none"/>
          <w:lang w:val="zh-CN"/>
        </w:rPr>
        <w:t>（格式见附件</w:t>
      </w:r>
      <w:r>
        <w:rPr>
          <w:rFonts w:hint="eastAsia" w:ascii="仿宋" w:hAnsi="仿宋" w:eastAsia="仿宋" w:cs="仿宋"/>
          <w:color w:val="auto"/>
          <w:kern w:val="0"/>
          <w:sz w:val="28"/>
          <w:szCs w:val="28"/>
          <w:highlight w:val="none"/>
        </w:rPr>
        <w:t>7</w:t>
      </w:r>
      <w:r>
        <w:rPr>
          <w:rFonts w:hint="eastAsia" w:ascii="仿宋" w:hAnsi="仿宋" w:eastAsia="仿宋" w:cs="仿宋"/>
          <w:color w:val="auto"/>
          <w:kern w:val="0"/>
          <w:sz w:val="28"/>
          <w:szCs w:val="28"/>
          <w:highlight w:val="none"/>
          <w:lang w:val="zh-CN"/>
        </w:rPr>
        <w:t>）；</w:t>
      </w:r>
      <w:r>
        <w:rPr>
          <w:rFonts w:hint="eastAsia" w:ascii="仿宋" w:hAnsi="仿宋" w:eastAsia="仿宋" w:cs="仿宋"/>
          <w:b/>
          <w:bCs/>
          <w:color w:val="auto"/>
          <w:kern w:val="0"/>
          <w:sz w:val="28"/>
          <w:szCs w:val="28"/>
          <w:highlight w:val="none"/>
        </w:rPr>
        <w:t>现场二次报价文件由代理机构准备。</w:t>
      </w:r>
      <w:r>
        <w:rPr>
          <w:rFonts w:hint="eastAsia" w:ascii="仿宋" w:hAnsi="仿宋" w:eastAsia="仿宋" w:cs="仿宋"/>
          <w:b/>
          <w:bCs/>
          <w:color w:val="auto"/>
          <w:kern w:val="0"/>
          <w:sz w:val="28"/>
          <w:szCs w:val="28"/>
          <w:highlight w:val="none"/>
          <w:lang w:val="zh-CN"/>
        </w:rPr>
        <w:t xml:space="preserve"> </w:t>
      </w:r>
    </w:p>
    <w:p>
      <w:pPr>
        <w:adjustRightInd w:val="0"/>
        <w:snapToGrid w:val="0"/>
        <w:spacing w:line="46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zh-CN"/>
        </w:rPr>
        <w:t>2.</w:t>
      </w:r>
      <w:r>
        <w:rPr>
          <w:rFonts w:hint="eastAsia" w:ascii="仿宋" w:hAnsi="仿宋" w:eastAsia="仿宋" w:cs="仿宋"/>
          <w:color w:val="auto"/>
          <w:kern w:val="0"/>
          <w:sz w:val="28"/>
          <w:szCs w:val="28"/>
          <w:highlight w:val="none"/>
        </w:rPr>
        <w:t>报价明细表；</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zh-CN"/>
        </w:rPr>
        <w:t>供应商信用承诺书</w:t>
      </w:r>
      <w:r>
        <w:rPr>
          <w:rFonts w:hint="eastAsia" w:ascii="仿宋" w:hAnsi="仿宋" w:eastAsia="仿宋" w:cs="仿宋"/>
          <w:color w:val="auto"/>
          <w:kern w:val="0"/>
          <w:sz w:val="28"/>
          <w:szCs w:val="28"/>
          <w:highlight w:val="none"/>
        </w:rPr>
        <w:t>(附件14）</w:t>
      </w:r>
      <w:r>
        <w:rPr>
          <w:rFonts w:hint="eastAsia" w:ascii="仿宋" w:hAnsi="仿宋" w:eastAsia="仿宋" w:cs="仿宋"/>
          <w:color w:val="auto"/>
          <w:kern w:val="0"/>
          <w:sz w:val="28"/>
          <w:szCs w:val="28"/>
          <w:highlight w:val="none"/>
          <w:lang w:val="zh-CN"/>
        </w:rPr>
        <w:t>。</w:t>
      </w:r>
    </w:p>
    <w:p>
      <w:pPr>
        <w:snapToGrid w:val="0"/>
        <w:spacing w:line="320" w:lineRule="atLeas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contextualSpacing/>
        <w:rPr>
          <w:rFonts w:hint="eastAsia" w:ascii="仿宋" w:hAnsi="仿宋" w:eastAsia="仿宋" w:cs="仿宋"/>
          <w:color w:val="auto"/>
          <w:kern w:val="0"/>
          <w:sz w:val="36"/>
          <w:szCs w:val="36"/>
          <w:highlight w:val="none"/>
          <w:lang w:val="zh-CN"/>
        </w:rPr>
      </w:pPr>
    </w:p>
    <w:p>
      <w:pPr>
        <w:snapToGrid w:val="0"/>
        <w:spacing w:line="400" w:lineRule="exact"/>
        <w:contextualSpacing/>
        <w:rPr>
          <w:rFonts w:hint="eastAsia" w:ascii="仿宋" w:hAnsi="仿宋" w:eastAsia="仿宋" w:cs="仿宋"/>
          <w:color w:val="auto"/>
          <w:kern w:val="0"/>
          <w:sz w:val="36"/>
          <w:szCs w:val="36"/>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p>
    <w:p>
      <w:pPr>
        <w:pStyle w:val="2"/>
        <w:rPr>
          <w:rFonts w:hint="eastAsia" w:ascii="仿宋" w:hAnsi="仿宋" w:eastAsia="仿宋" w:cs="仿宋"/>
          <w:color w:val="auto"/>
          <w:kern w:val="0"/>
          <w:sz w:val="32"/>
          <w:szCs w:val="32"/>
          <w:highlight w:val="none"/>
          <w:lang w:val="zh-CN"/>
        </w:rPr>
      </w:pPr>
    </w:p>
    <w:p>
      <w:pPr>
        <w:pStyle w:val="2"/>
        <w:rPr>
          <w:rFonts w:hint="eastAsia" w:ascii="仿宋" w:hAnsi="仿宋" w:eastAsia="仿宋" w:cs="仿宋"/>
          <w:color w:val="auto"/>
          <w:kern w:val="0"/>
          <w:sz w:val="32"/>
          <w:szCs w:val="32"/>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投标供应商符合《政府采购法》第二十二条规定条件的声明函</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pPr>
        <w:spacing w:line="46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________________ _</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（项目编号）投标活动。针对《中华人民共和国政府采购法》第二十二条规定做出如下声明：</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pPr>
        <w:spacing w:line="460" w:lineRule="exact"/>
        <w:ind w:firstLine="480" w:firstLineChars="200"/>
        <w:rPr>
          <w:rFonts w:hint="eastAsia" w:ascii="仿宋" w:hAnsi="仿宋" w:eastAsia="仿宋" w:cs="仿宋"/>
          <w:color w:val="auto"/>
          <w:sz w:val="24"/>
          <w:highlight w:val="none"/>
        </w:rPr>
      </w:pPr>
    </w:p>
    <w:p>
      <w:pPr>
        <w:spacing w:line="460" w:lineRule="exact"/>
        <w:ind w:firstLine="480" w:firstLineChars="200"/>
        <w:rPr>
          <w:rFonts w:hint="eastAsia" w:ascii="仿宋" w:hAnsi="仿宋" w:eastAsia="仿宋" w:cs="仿宋"/>
          <w:color w:val="auto"/>
          <w:sz w:val="24"/>
          <w:highlight w:val="none"/>
        </w:rPr>
      </w:pPr>
    </w:p>
    <w:p>
      <w:pPr>
        <w:spacing w:line="460" w:lineRule="exact"/>
        <w:ind w:firstLine="480" w:firstLineChars="200"/>
        <w:rPr>
          <w:rFonts w:hint="eastAsia" w:ascii="仿宋" w:hAnsi="仿宋" w:eastAsia="仿宋" w:cs="仿宋"/>
          <w:bCs/>
          <w:color w:val="auto"/>
          <w:sz w:val="24"/>
          <w:szCs w:val="21"/>
          <w:highlight w:val="none"/>
        </w:rPr>
      </w:pPr>
    </w:p>
    <w:p>
      <w:pPr>
        <w:spacing w:line="460" w:lineRule="exact"/>
        <w:ind w:firstLine="480" w:firstLineChars="200"/>
        <w:rPr>
          <w:rFonts w:hint="eastAsia" w:ascii="仿宋" w:hAnsi="仿宋" w:eastAsia="仿宋" w:cs="仿宋"/>
          <w:bCs/>
          <w:color w:val="auto"/>
          <w:sz w:val="24"/>
          <w:szCs w:val="21"/>
          <w:highlight w:val="none"/>
        </w:rPr>
      </w:pPr>
    </w:p>
    <w:p>
      <w:pPr>
        <w:spacing w:line="460" w:lineRule="exact"/>
        <w:ind w:firstLine="480" w:firstLineChars="200"/>
        <w:rPr>
          <w:rFonts w:hint="eastAsia" w:ascii="仿宋" w:hAnsi="仿宋" w:eastAsia="仿宋" w:cs="仿宋"/>
          <w:bCs/>
          <w:color w:val="auto"/>
          <w:sz w:val="24"/>
          <w:szCs w:val="21"/>
          <w:highlight w:val="none"/>
        </w:rPr>
      </w:pPr>
    </w:p>
    <w:p>
      <w:pPr>
        <w:spacing w:line="460" w:lineRule="exact"/>
        <w:ind w:firstLine="480" w:firstLineChars="200"/>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pPr>
        <w:spacing w:line="460" w:lineRule="exact"/>
        <w:ind w:firstLine="480" w:firstLineChars="200"/>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pPr>
        <w:spacing w:line="460" w:lineRule="exact"/>
        <w:ind w:firstLine="480" w:firstLineChars="200"/>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pStyle w:val="12"/>
        <w:rPr>
          <w:rFonts w:hint="eastAsia" w:ascii="仿宋" w:hAnsi="仿宋" w:eastAsia="仿宋" w:cs="仿宋"/>
          <w:color w:val="auto"/>
          <w:highlight w:val="none"/>
        </w:rPr>
      </w:pPr>
    </w:p>
    <w:p>
      <w:pPr>
        <w:snapToGrid w:val="0"/>
        <w:spacing w:line="400" w:lineRule="exact"/>
        <w:contextualSpacing/>
        <w:rPr>
          <w:rFonts w:hint="eastAsia" w:ascii="仿宋" w:hAnsi="仿宋" w:eastAsia="仿宋" w:cs="仿宋"/>
          <w:color w:val="auto"/>
          <w:kern w:val="0"/>
          <w:sz w:val="32"/>
          <w:szCs w:val="32"/>
          <w:highlight w:val="none"/>
          <w:lang w:val="zh-CN"/>
        </w:rPr>
      </w:pPr>
    </w:p>
    <w:p>
      <w:pPr>
        <w:pStyle w:val="12"/>
        <w:rPr>
          <w:rFonts w:hint="eastAsia" w:ascii="仿宋" w:hAnsi="仿宋" w:eastAsia="仿宋" w:cs="仿宋"/>
          <w:color w:val="auto"/>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附件2</w:t>
      </w: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 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480" w:lineRule="exact"/>
        <w:ind w:firstLine="480"/>
        <w:rPr>
          <w:rFonts w:hint="eastAsia" w:ascii="仿宋" w:hAnsi="仿宋" w:eastAsia="仿宋" w:cs="仿宋"/>
          <w:color w:val="auto"/>
          <w:sz w:val="24"/>
          <w:highlight w:val="none"/>
        </w:rPr>
      </w:pPr>
    </w:p>
    <w:p>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注：提供法定代表人的身份证复印件盖公章</w:t>
      </w:r>
    </w:p>
    <w:p>
      <w:pPr>
        <w:spacing w:line="480" w:lineRule="exact"/>
        <w:ind w:firstLine="480" w:firstLineChars="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pacing w:line="60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                      日期：</w:t>
      </w: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lang w:val="zh-CN"/>
        </w:rPr>
      </w:pPr>
    </w:p>
    <w:p>
      <w:pPr>
        <w:pStyle w:val="12"/>
        <w:rPr>
          <w:rFonts w:hint="eastAsia" w:ascii="仿宋" w:hAnsi="仿宋" w:eastAsia="仿宋" w:cs="仿宋"/>
          <w:color w:val="auto"/>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附件3</w:t>
      </w:r>
    </w:p>
    <w:p>
      <w:pPr>
        <w:jc w:val="center"/>
        <w:rPr>
          <w:rFonts w:hint="eastAsia" w:ascii="仿宋" w:hAnsi="仿宋" w:eastAsia="仿宋" w:cs="仿宋"/>
          <w:color w:val="auto"/>
          <w:sz w:val="32"/>
          <w:szCs w:val="32"/>
          <w:highlight w:val="none"/>
        </w:rPr>
      </w:pPr>
    </w:p>
    <w:p>
      <w:pPr>
        <w:spacing w:line="460" w:lineRule="exact"/>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w:t>
      </w:r>
    </w:p>
    <w:p>
      <w:pPr>
        <w:spacing w:line="460" w:lineRule="exact"/>
        <w:ind w:firstLine="560" w:firstLineChars="200"/>
        <w:rPr>
          <w:rFonts w:hint="eastAsia" w:ascii="仿宋" w:hAnsi="仿宋" w:eastAsia="仿宋" w:cs="仿宋"/>
          <w:color w:val="auto"/>
          <w:sz w:val="28"/>
          <w:szCs w:val="28"/>
          <w:highlight w:val="none"/>
        </w:rPr>
      </w:pP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本授权书于---年---月---日起生效。代理人无转委托权。</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代理人(被授权人):------</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授权单位名称（盖章）：-----</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授权单位法定代表人（签字或盖章）：-----</w:t>
      </w:r>
    </w:p>
    <w:p>
      <w:pPr>
        <w:spacing w:line="460" w:lineRule="exact"/>
        <w:ind w:firstLine="560" w:firstLineChars="200"/>
        <w:jc w:val="right"/>
        <w:rPr>
          <w:rFonts w:hint="eastAsia" w:ascii="仿宋" w:hAnsi="仿宋" w:eastAsia="仿宋" w:cs="仿宋"/>
          <w:color w:val="auto"/>
          <w:sz w:val="28"/>
          <w:szCs w:val="28"/>
          <w:highlight w:val="none"/>
        </w:rPr>
      </w:pPr>
    </w:p>
    <w:p>
      <w:pPr>
        <w:spacing w:line="460" w:lineRule="exact"/>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XXXX年XX月XX日</w:t>
      </w:r>
    </w:p>
    <w:p>
      <w:pPr>
        <w:snapToGrid w:val="0"/>
        <w:spacing w:line="460" w:lineRule="exact"/>
        <w:ind w:firstLine="562" w:firstLineChars="200"/>
        <w:contextualSpacing/>
        <w:rPr>
          <w:rFonts w:hint="eastAsia" w:ascii="仿宋" w:hAnsi="仿宋" w:eastAsia="仿宋" w:cs="仿宋"/>
          <w:b/>
          <w:color w:val="auto"/>
          <w:kern w:val="0"/>
          <w:sz w:val="28"/>
          <w:szCs w:val="28"/>
          <w:highlight w:val="none"/>
        </w:rPr>
      </w:pPr>
    </w:p>
    <w:p>
      <w:pPr>
        <w:snapToGrid w:val="0"/>
        <w:spacing w:line="460" w:lineRule="exact"/>
        <w:ind w:firstLine="562" w:firstLineChars="200"/>
        <w:contextualSpacing/>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注：提供投标代表本人身份证复印件盖公章</w:t>
      </w:r>
    </w:p>
    <w:p>
      <w:pPr>
        <w:snapToGrid w:val="0"/>
        <w:spacing w:line="460" w:lineRule="exact"/>
        <w:ind w:firstLine="562" w:firstLineChars="200"/>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37" w:firstLineChars="192"/>
        <w:contextualSpacing/>
        <w:rPr>
          <w:rFonts w:hint="eastAsia" w:ascii="仿宋" w:hAnsi="仿宋" w:eastAsia="仿宋" w:cs="仿宋"/>
          <w:color w:val="auto"/>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tabs>
          <w:tab w:val="left" w:pos="1260"/>
        </w:tabs>
        <w:snapToGrid w:val="0"/>
        <w:spacing w:line="300" w:lineRule="auto"/>
        <w:contextualSpacing/>
        <w:rPr>
          <w:rFonts w:hint="eastAsia" w:ascii="仿宋" w:hAnsi="仿宋" w:eastAsia="仿宋" w:cs="仿宋"/>
          <w:b/>
          <w:color w:val="auto"/>
          <w:sz w:val="32"/>
          <w:szCs w:val="32"/>
          <w:highlight w:val="none"/>
        </w:rPr>
      </w:pPr>
      <w:r>
        <w:rPr>
          <w:rFonts w:hint="eastAsia" w:ascii="仿宋" w:hAnsi="仿宋" w:eastAsia="仿宋" w:cs="仿宋"/>
          <w:color w:val="auto"/>
          <w:kern w:val="0"/>
          <w:sz w:val="32"/>
          <w:szCs w:val="32"/>
          <w:highlight w:val="none"/>
        </w:rPr>
        <w:t xml:space="preserve">附件4          </w:t>
      </w:r>
      <w:r>
        <w:rPr>
          <w:rFonts w:hint="eastAsia" w:ascii="仿宋" w:hAnsi="仿宋" w:eastAsia="仿宋" w:cs="仿宋"/>
          <w:b/>
          <w:color w:val="auto"/>
          <w:sz w:val="32"/>
          <w:szCs w:val="32"/>
          <w:highlight w:val="none"/>
        </w:rPr>
        <w:t>供应商情况一览表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7923" w:type="dxa"/>
            <w:gridSpan w:val="10"/>
            <w:tcBorders>
              <w:top w:val="double" w:color="auto" w:sz="4" w:space="0"/>
              <w:right w:val="double" w:color="auto" w:sz="4" w:space="0"/>
            </w:tcBorders>
            <w:vAlign w:val="center"/>
          </w:tcPr>
          <w:p>
            <w:pPr>
              <w:tabs>
                <w:tab w:val="left" w:pos="4320"/>
              </w:tabs>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单位优势及特长</w:t>
            </w:r>
          </w:p>
        </w:tc>
        <w:tc>
          <w:tcPr>
            <w:tcW w:w="7072" w:type="dxa"/>
            <w:gridSpan w:val="9"/>
            <w:tcBorders>
              <w:left w:val="single" w:color="auto" w:sz="4" w:space="0"/>
              <w:right w:val="double" w:color="auto" w:sz="4" w:space="0"/>
            </w:tcBorders>
            <w:vAlign w:val="center"/>
          </w:tcPr>
          <w:p>
            <w:pPr>
              <w:tabs>
                <w:tab w:val="left" w:pos="4320"/>
              </w:tabs>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p>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概况</w:t>
            </w:r>
          </w:p>
        </w:tc>
        <w:tc>
          <w:tcPr>
            <w:tcW w:w="1276" w:type="dxa"/>
            <w:gridSpan w:val="2"/>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职工总数</w:t>
            </w:r>
          </w:p>
        </w:tc>
        <w:tc>
          <w:tcPr>
            <w:tcW w:w="1417" w:type="dxa"/>
            <w:gridSpan w:val="2"/>
            <w:vAlign w:val="center"/>
          </w:tcPr>
          <w:p>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人</w:t>
            </w:r>
          </w:p>
        </w:tc>
        <w:tc>
          <w:tcPr>
            <w:tcW w:w="567" w:type="dxa"/>
            <w:vMerge w:val="restart"/>
            <w:vAlign w:val="center"/>
          </w:tcPr>
          <w:p>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上一年主要经济指标</w:t>
            </w:r>
          </w:p>
        </w:tc>
        <w:tc>
          <w:tcPr>
            <w:tcW w:w="946" w:type="dxa"/>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营业额</w:t>
            </w:r>
          </w:p>
        </w:tc>
        <w:tc>
          <w:tcPr>
            <w:tcW w:w="1414" w:type="dxa"/>
            <w:gridSpan w:val="2"/>
            <w:vAlign w:val="center"/>
          </w:tcPr>
          <w:p>
            <w:pPr>
              <w:tabs>
                <w:tab w:val="left" w:pos="4320"/>
              </w:tabs>
              <w:rPr>
                <w:rFonts w:hint="eastAsia" w:ascii="仿宋" w:hAnsi="仿宋" w:eastAsia="仿宋" w:cs="仿宋"/>
                <w:color w:val="auto"/>
                <w:sz w:val="24"/>
                <w:highlight w:val="none"/>
              </w:rPr>
            </w:pPr>
          </w:p>
        </w:tc>
        <w:tc>
          <w:tcPr>
            <w:tcW w:w="1184" w:type="dxa"/>
            <w:gridSpan w:val="2"/>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实现利润</w:t>
            </w:r>
          </w:p>
        </w:tc>
        <w:tc>
          <w:tcPr>
            <w:tcW w:w="1544" w:type="dxa"/>
            <w:tcBorders>
              <w:right w:val="double" w:color="auto" w:sz="4" w:space="0"/>
            </w:tcBorders>
            <w:vAlign w:val="center"/>
          </w:tcPr>
          <w:p>
            <w:pPr>
              <w:tabs>
                <w:tab w:val="left" w:pos="4320"/>
              </w:tabs>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highlight w:val="none"/>
              </w:rPr>
            </w:pPr>
          </w:p>
        </w:tc>
        <w:tc>
          <w:tcPr>
            <w:tcW w:w="1276" w:type="dxa"/>
            <w:gridSpan w:val="2"/>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流动资金</w:t>
            </w:r>
          </w:p>
        </w:tc>
        <w:tc>
          <w:tcPr>
            <w:tcW w:w="1417" w:type="dxa"/>
            <w:gridSpan w:val="2"/>
            <w:vAlign w:val="center"/>
          </w:tcPr>
          <w:p>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567" w:type="dxa"/>
            <w:vMerge w:val="continue"/>
            <w:vAlign w:val="center"/>
          </w:tcPr>
          <w:p>
            <w:pPr>
              <w:tabs>
                <w:tab w:val="left" w:pos="4320"/>
              </w:tabs>
              <w:rPr>
                <w:rFonts w:hint="eastAsia" w:ascii="仿宋" w:hAnsi="仿宋" w:eastAsia="仿宋" w:cs="仿宋"/>
                <w:color w:val="auto"/>
                <w:sz w:val="24"/>
                <w:highlight w:val="none"/>
              </w:rPr>
            </w:pPr>
          </w:p>
        </w:tc>
        <w:tc>
          <w:tcPr>
            <w:tcW w:w="946" w:type="dxa"/>
            <w:vMerge w:val="restart"/>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w:t>
            </w:r>
          </w:p>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tc>
        <w:tc>
          <w:tcPr>
            <w:tcW w:w="4142" w:type="dxa"/>
            <w:gridSpan w:val="5"/>
            <w:tcBorders>
              <w:right w:val="double" w:color="auto" w:sz="4" w:space="0"/>
            </w:tcBorders>
            <w:vAlign w:val="center"/>
          </w:tcPr>
          <w:p>
            <w:pPr>
              <w:tabs>
                <w:tab w:val="left" w:pos="4320"/>
              </w:tabs>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highlight w:val="none"/>
              </w:rPr>
            </w:pPr>
          </w:p>
        </w:tc>
        <w:tc>
          <w:tcPr>
            <w:tcW w:w="1276" w:type="dxa"/>
            <w:gridSpan w:val="2"/>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固定资产</w:t>
            </w:r>
          </w:p>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417" w:type="dxa"/>
            <w:gridSpan w:val="2"/>
            <w:vAlign w:val="center"/>
          </w:tcPr>
          <w:p>
            <w:pPr>
              <w:tabs>
                <w:tab w:val="left" w:pos="-48"/>
                <w:tab w:val="left" w:pos="4320"/>
              </w:tabs>
              <w:ind w:right="-133" w:hanging="48"/>
              <w:rPr>
                <w:rFonts w:hint="eastAsia" w:ascii="仿宋" w:hAnsi="仿宋" w:eastAsia="仿宋" w:cs="仿宋"/>
                <w:color w:val="auto"/>
                <w:sz w:val="24"/>
                <w:highlight w:val="none"/>
              </w:rPr>
            </w:pPr>
            <w:r>
              <w:rPr>
                <w:rFonts w:hint="eastAsia" w:ascii="仿宋" w:hAnsi="仿宋" w:eastAsia="仿宋" w:cs="仿宋"/>
                <w:color w:val="auto"/>
                <w:sz w:val="24"/>
                <w:highlight w:val="none"/>
              </w:rPr>
              <w:t>原值：</w:t>
            </w:r>
          </w:p>
          <w:p>
            <w:pPr>
              <w:tabs>
                <w:tab w:val="left" w:pos="-48"/>
                <w:tab w:val="left" w:pos="4320"/>
              </w:tabs>
              <w:ind w:hanging="48"/>
              <w:jc w:val="right"/>
              <w:rPr>
                <w:rFonts w:hint="eastAsia" w:ascii="仿宋" w:hAnsi="仿宋" w:eastAsia="仿宋" w:cs="仿宋"/>
                <w:color w:val="auto"/>
                <w:sz w:val="24"/>
                <w:highlight w:val="none"/>
              </w:rPr>
            </w:pPr>
          </w:p>
          <w:p>
            <w:pPr>
              <w:tabs>
                <w:tab w:val="left" w:pos="-48"/>
                <w:tab w:val="left" w:pos="4320"/>
              </w:tabs>
              <w:ind w:right="-133" w:hanging="48"/>
              <w:rPr>
                <w:rFonts w:hint="eastAsia" w:ascii="仿宋" w:hAnsi="仿宋" w:eastAsia="仿宋" w:cs="仿宋"/>
                <w:color w:val="auto"/>
                <w:sz w:val="24"/>
                <w:highlight w:val="none"/>
              </w:rPr>
            </w:pPr>
            <w:r>
              <w:rPr>
                <w:rFonts w:hint="eastAsia" w:ascii="仿宋" w:hAnsi="仿宋" w:eastAsia="仿宋" w:cs="仿宋"/>
                <w:color w:val="auto"/>
                <w:sz w:val="24"/>
                <w:highlight w:val="none"/>
              </w:rPr>
              <w:t>净值：</w:t>
            </w:r>
          </w:p>
          <w:p>
            <w:pPr>
              <w:tabs>
                <w:tab w:val="left" w:pos="-48"/>
                <w:tab w:val="left" w:pos="4320"/>
              </w:tabs>
              <w:ind w:hanging="48"/>
              <w:jc w:val="right"/>
              <w:rPr>
                <w:rFonts w:hint="eastAsia" w:ascii="仿宋" w:hAnsi="仿宋" w:eastAsia="仿宋" w:cs="仿宋"/>
                <w:color w:val="auto"/>
                <w:sz w:val="24"/>
                <w:highlight w:val="none"/>
              </w:rPr>
            </w:pPr>
          </w:p>
        </w:tc>
        <w:tc>
          <w:tcPr>
            <w:tcW w:w="567" w:type="dxa"/>
            <w:vMerge w:val="continue"/>
            <w:vAlign w:val="center"/>
          </w:tcPr>
          <w:p>
            <w:pPr>
              <w:tabs>
                <w:tab w:val="left" w:pos="4320"/>
              </w:tabs>
              <w:rPr>
                <w:rFonts w:hint="eastAsia" w:ascii="仿宋" w:hAnsi="仿宋" w:eastAsia="仿宋" w:cs="仿宋"/>
                <w:color w:val="auto"/>
                <w:sz w:val="24"/>
                <w:highlight w:val="none"/>
              </w:rPr>
            </w:pPr>
          </w:p>
        </w:tc>
        <w:tc>
          <w:tcPr>
            <w:tcW w:w="946" w:type="dxa"/>
            <w:vMerge w:val="continue"/>
            <w:vAlign w:val="center"/>
          </w:tcPr>
          <w:p>
            <w:pPr>
              <w:tabs>
                <w:tab w:val="left" w:pos="4320"/>
              </w:tabs>
              <w:jc w:val="center"/>
              <w:rPr>
                <w:rFonts w:hint="eastAsia" w:ascii="仿宋" w:hAnsi="仿宋" w:eastAsia="仿宋" w:cs="仿宋"/>
                <w:color w:val="auto"/>
                <w:sz w:val="24"/>
                <w:highlight w:val="none"/>
              </w:rPr>
            </w:pPr>
          </w:p>
        </w:tc>
        <w:tc>
          <w:tcPr>
            <w:tcW w:w="4142" w:type="dxa"/>
            <w:gridSpan w:val="5"/>
            <w:tcBorders>
              <w:right w:val="double" w:color="auto" w:sz="4" w:space="0"/>
            </w:tcBorders>
            <w:vAlign w:val="center"/>
          </w:tcPr>
          <w:p>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highlight w:val="none"/>
              </w:rPr>
            </w:pPr>
          </w:p>
        </w:tc>
        <w:tc>
          <w:tcPr>
            <w:tcW w:w="1276" w:type="dxa"/>
            <w:gridSpan w:val="2"/>
            <w:vAlign w:val="center"/>
          </w:tcPr>
          <w:p>
            <w:pPr>
              <w:tabs>
                <w:tab w:val="left" w:pos="43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占地面积</w:t>
            </w:r>
          </w:p>
        </w:tc>
        <w:tc>
          <w:tcPr>
            <w:tcW w:w="1417" w:type="dxa"/>
            <w:gridSpan w:val="2"/>
            <w:vAlign w:val="center"/>
          </w:tcPr>
          <w:p>
            <w:pPr>
              <w:tabs>
                <w:tab w:val="left" w:pos="4320"/>
              </w:tabs>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567" w:type="dxa"/>
            <w:vMerge w:val="continue"/>
            <w:vAlign w:val="center"/>
          </w:tcPr>
          <w:p>
            <w:pPr>
              <w:tabs>
                <w:tab w:val="left" w:pos="4320"/>
              </w:tabs>
              <w:rPr>
                <w:rFonts w:hint="eastAsia" w:ascii="仿宋" w:hAnsi="仿宋" w:eastAsia="仿宋" w:cs="仿宋"/>
                <w:color w:val="auto"/>
                <w:sz w:val="24"/>
                <w:highlight w:val="none"/>
              </w:rPr>
            </w:pPr>
          </w:p>
        </w:tc>
        <w:tc>
          <w:tcPr>
            <w:tcW w:w="946" w:type="dxa"/>
            <w:vMerge w:val="continue"/>
            <w:vAlign w:val="center"/>
          </w:tcPr>
          <w:p>
            <w:pPr>
              <w:tabs>
                <w:tab w:val="left" w:pos="4320"/>
              </w:tabs>
              <w:jc w:val="center"/>
              <w:rPr>
                <w:rFonts w:hint="eastAsia" w:ascii="仿宋" w:hAnsi="仿宋" w:eastAsia="仿宋" w:cs="仿宋"/>
                <w:color w:val="auto"/>
                <w:sz w:val="24"/>
                <w:highlight w:val="none"/>
              </w:rPr>
            </w:pPr>
          </w:p>
        </w:tc>
        <w:tc>
          <w:tcPr>
            <w:tcW w:w="4142" w:type="dxa"/>
            <w:gridSpan w:val="5"/>
            <w:tcBorders>
              <w:right w:val="double" w:color="auto" w:sz="4" w:space="0"/>
            </w:tcBorders>
            <w:vAlign w:val="center"/>
          </w:tcPr>
          <w:p>
            <w:pPr>
              <w:tabs>
                <w:tab w:val="left" w:pos="4320"/>
              </w:tabs>
              <w:spacing w:before="120" w:after="12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本次</w:t>
            </w:r>
          </w:p>
          <w:p>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p>
          <w:p>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pPr>
              <w:tabs>
                <w:tab w:val="left" w:pos="4320"/>
              </w:tabs>
              <w:ind w:left="266" w:hanging="266" w:hangingChars="111"/>
              <w:rPr>
                <w:rFonts w:hint="eastAsia" w:ascii="仿宋" w:hAnsi="仿宋" w:eastAsia="仿宋" w:cs="仿宋"/>
                <w:color w:val="auto"/>
                <w:sz w:val="24"/>
                <w:highlight w:val="none"/>
              </w:rPr>
            </w:pPr>
            <w:r>
              <w:rPr>
                <w:rFonts w:hint="eastAsia" w:ascii="仿宋" w:hAnsi="仿宋" w:eastAsia="仿宋" w:cs="仿宋"/>
                <w:color w:val="auto"/>
                <w:sz w:val="24"/>
                <w:highlight w:val="none"/>
              </w:rPr>
              <w:t>情况</w:t>
            </w:r>
          </w:p>
        </w:tc>
        <w:tc>
          <w:tcPr>
            <w:tcW w:w="1643" w:type="dxa"/>
            <w:gridSpan w:val="3"/>
            <w:vAlign w:val="center"/>
          </w:tcPr>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本次投标</w:t>
            </w:r>
          </w:p>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1617" w:type="dxa"/>
            <w:gridSpan w:val="2"/>
            <w:vAlign w:val="center"/>
          </w:tcPr>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    号</w:t>
            </w:r>
          </w:p>
        </w:tc>
        <w:tc>
          <w:tcPr>
            <w:tcW w:w="946" w:type="dxa"/>
            <w:vAlign w:val="center"/>
          </w:tcPr>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上年</w:t>
            </w:r>
          </w:p>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产销量</w:t>
            </w:r>
          </w:p>
        </w:tc>
        <w:tc>
          <w:tcPr>
            <w:tcW w:w="1263" w:type="dxa"/>
            <w:vAlign w:val="center"/>
          </w:tcPr>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产品技术</w:t>
            </w:r>
          </w:p>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先进水平</w:t>
            </w:r>
          </w:p>
        </w:tc>
        <w:tc>
          <w:tcPr>
            <w:tcW w:w="1273" w:type="dxa"/>
            <w:gridSpan w:val="2"/>
            <w:vAlign w:val="center"/>
          </w:tcPr>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曾获何级</w:t>
            </w:r>
          </w:p>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何种奖励</w:t>
            </w:r>
          </w:p>
        </w:tc>
        <w:tc>
          <w:tcPr>
            <w:tcW w:w="1606" w:type="dxa"/>
            <w:gridSpan w:val="2"/>
            <w:tcBorders>
              <w:right w:val="double" w:color="auto" w:sz="4" w:space="0"/>
            </w:tcBorders>
            <w:vAlign w:val="center"/>
          </w:tcPr>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主要用户</w:t>
            </w:r>
          </w:p>
          <w:p>
            <w:pPr>
              <w:tabs>
                <w:tab w:val="left" w:pos="4320"/>
              </w:tabs>
              <w:spacing w:before="60" w:after="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highlight w:val="none"/>
              </w:rPr>
            </w:pPr>
          </w:p>
        </w:tc>
        <w:tc>
          <w:tcPr>
            <w:tcW w:w="1643" w:type="dxa"/>
            <w:gridSpan w:val="3"/>
            <w:vAlign w:val="center"/>
          </w:tcPr>
          <w:p>
            <w:pPr>
              <w:tabs>
                <w:tab w:val="left" w:pos="4320"/>
              </w:tabs>
              <w:rPr>
                <w:rFonts w:hint="eastAsia" w:ascii="仿宋" w:hAnsi="仿宋" w:eastAsia="仿宋" w:cs="仿宋"/>
                <w:color w:val="auto"/>
                <w:sz w:val="24"/>
                <w:highlight w:val="none"/>
              </w:rPr>
            </w:pPr>
          </w:p>
        </w:tc>
        <w:tc>
          <w:tcPr>
            <w:tcW w:w="1617" w:type="dxa"/>
            <w:gridSpan w:val="2"/>
            <w:vAlign w:val="center"/>
          </w:tcPr>
          <w:p>
            <w:pPr>
              <w:tabs>
                <w:tab w:val="left" w:pos="4320"/>
              </w:tabs>
              <w:rPr>
                <w:rFonts w:hint="eastAsia" w:ascii="仿宋" w:hAnsi="仿宋" w:eastAsia="仿宋" w:cs="仿宋"/>
                <w:color w:val="auto"/>
                <w:sz w:val="24"/>
                <w:highlight w:val="none"/>
              </w:rPr>
            </w:pPr>
          </w:p>
        </w:tc>
        <w:tc>
          <w:tcPr>
            <w:tcW w:w="946" w:type="dxa"/>
            <w:vAlign w:val="center"/>
          </w:tcPr>
          <w:p>
            <w:pPr>
              <w:tabs>
                <w:tab w:val="left" w:pos="4320"/>
              </w:tabs>
              <w:rPr>
                <w:rFonts w:hint="eastAsia" w:ascii="仿宋" w:hAnsi="仿宋" w:eastAsia="仿宋" w:cs="仿宋"/>
                <w:color w:val="auto"/>
                <w:sz w:val="24"/>
                <w:highlight w:val="none"/>
              </w:rPr>
            </w:pPr>
          </w:p>
        </w:tc>
        <w:tc>
          <w:tcPr>
            <w:tcW w:w="1263" w:type="dxa"/>
            <w:vAlign w:val="center"/>
          </w:tcPr>
          <w:p>
            <w:pPr>
              <w:tabs>
                <w:tab w:val="left" w:pos="4320"/>
              </w:tabs>
              <w:rPr>
                <w:rFonts w:hint="eastAsia" w:ascii="仿宋" w:hAnsi="仿宋" w:eastAsia="仿宋" w:cs="仿宋"/>
                <w:color w:val="auto"/>
                <w:sz w:val="24"/>
                <w:highlight w:val="none"/>
              </w:rPr>
            </w:pPr>
          </w:p>
        </w:tc>
        <w:tc>
          <w:tcPr>
            <w:tcW w:w="1273" w:type="dxa"/>
            <w:gridSpan w:val="2"/>
            <w:vAlign w:val="center"/>
          </w:tcPr>
          <w:p>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highlight w:val="none"/>
              </w:rPr>
            </w:pPr>
          </w:p>
        </w:tc>
        <w:tc>
          <w:tcPr>
            <w:tcW w:w="1643" w:type="dxa"/>
            <w:gridSpan w:val="3"/>
            <w:vAlign w:val="center"/>
          </w:tcPr>
          <w:p>
            <w:pPr>
              <w:tabs>
                <w:tab w:val="left" w:pos="4320"/>
              </w:tabs>
              <w:rPr>
                <w:rFonts w:hint="eastAsia" w:ascii="仿宋" w:hAnsi="仿宋" w:eastAsia="仿宋" w:cs="仿宋"/>
                <w:color w:val="auto"/>
                <w:sz w:val="24"/>
                <w:highlight w:val="none"/>
              </w:rPr>
            </w:pPr>
          </w:p>
        </w:tc>
        <w:tc>
          <w:tcPr>
            <w:tcW w:w="1617" w:type="dxa"/>
            <w:gridSpan w:val="2"/>
            <w:vAlign w:val="center"/>
          </w:tcPr>
          <w:p>
            <w:pPr>
              <w:tabs>
                <w:tab w:val="left" w:pos="4320"/>
              </w:tabs>
              <w:rPr>
                <w:rFonts w:hint="eastAsia" w:ascii="仿宋" w:hAnsi="仿宋" w:eastAsia="仿宋" w:cs="仿宋"/>
                <w:color w:val="auto"/>
                <w:sz w:val="24"/>
                <w:highlight w:val="none"/>
              </w:rPr>
            </w:pPr>
          </w:p>
        </w:tc>
        <w:tc>
          <w:tcPr>
            <w:tcW w:w="946" w:type="dxa"/>
            <w:vAlign w:val="center"/>
          </w:tcPr>
          <w:p>
            <w:pPr>
              <w:tabs>
                <w:tab w:val="left" w:pos="4320"/>
              </w:tabs>
              <w:rPr>
                <w:rFonts w:hint="eastAsia" w:ascii="仿宋" w:hAnsi="仿宋" w:eastAsia="仿宋" w:cs="仿宋"/>
                <w:color w:val="auto"/>
                <w:sz w:val="24"/>
                <w:highlight w:val="none"/>
              </w:rPr>
            </w:pPr>
          </w:p>
        </w:tc>
        <w:tc>
          <w:tcPr>
            <w:tcW w:w="1263" w:type="dxa"/>
            <w:vAlign w:val="center"/>
          </w:tcPr>
          <w:p>
            <w:pPr>
              <w:tabs>
                <w:tab w:val="left" w:pos="4320"/>
              </w:tabs>
              <w:rPr>
                <w:rFonts w:hint="eastAsia" w:ascii="仿宋" w:hAnsi="仿宋" w:eastAsia="仿宋" w:cs="仿宋"/>
                <w:color w:val="auto"/>
                <w:sz w:val="24"/>
                <w:highlight w:val="none"/>
              </w:rPr>
            </w:pPr>
          </w:p>
        </w:tc>
        <w:tc>
          <w:tcPr>
            <w:tcW w:w="1273" w:type="dxa"/>
            <w:gridSpan w:val="2"/>
            <w:vAlign w:val="center"/>
          </w:tcPr>
          <w:p>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highlight w:val="none"/>
              </w:rPr>
            </w:pPr>
          </w:p>
        </w:tc>
        <w:tc>
          <w:tcPr>
            <w:tcW w:w="1643" w:type="dxa"/>
            <w:gridSpan w:val="3"/>
            <w:vAlign w:val="center"/>
          </w:tcPr>
          <w:p>
            <w:pPr>
              <w:tabs>
                <w:tab w:val="left" w:pos="4320"/>
              </w:tabs>
              <w:rPr>
                <w:rFonts w:hint="eastAsia" w:ascii="仿宋" w:hAnsi="仿宋" w:eastAsia="仿宋" w:cs="仿宋"/>
                <w:color w:val="auto"/>
                <w:sz w:val="24"/>
                <w:highlight w:val="none"/>
              </w:rPr>
            </w:pPr>
          </w:p>
        </w:tc>
        <w:tc>
          <w:tcPr>
            <w:tcW w:w="1617" w:type="dxa"/>
            <w:gridSpan w:val="2"/>
            <w:vAlign w:val="center"/>
          </w:tcPr>
          <w:p>
            <w:pPr>
              <w:tabs>
                <w:tab w:val="left" w:pos="4320"/>
              </w:tabs>
              <w:rPr>
                <w:rFonts w:hint="eastAsia" w:ascii="仿宋" w:hAnsi="仿宋" w:eastAsia="仿宋" w:cs="仿宋"/>
                <w:color w:val="auto"/>
                <w:sz w:val="24"/>
                <w:highlight w:val="none"/>
              </w:rPr>
            </w:pPr>
          </w:p>
        </w:tc>
        <w:tc>
          <w:tcPr>
            <w:tcW w:w="946" w:type="dxa"/>
            <w:vAlign w:val="center"/>
          </w:tcPr>
          <w:p>
            <w:pPr>
              <w:tabs>
                <w:tab w:val="left" w:pos="4320"/>
              </w:tabs>
              <w:rPr>
                <w:rFonts w:hint="eastAsia" w:ascii="仿宋" w:hAnsi="仿宋" w:eastAsia="仿宋" w:cs="仿宋"/>
                <w:color w:val="auto"/>
                <w:sz w:val="24"/>
                <w:highlight w:val="none"/>
              </w:rPr>
            </w:pPr>
          </w:p>
        </w:tc>
        <w:tc>
          <w:tcPr>
            <w:tcW w:w="1263" w:type="dxa"/>
            <w:vAlign w:val="center"/>
          </w:tcPr>
          <w:p>
            <w:pPr>
              <w:tabs>
                <w:tab w:val="left" w:pos="4320"/>
              </w:tabs>
              <w:rPr>
                <w:rFonts w:hint="eastAsia" w:ascii="仿宋" w:hAnsi="仿宋" w:eastAsia="仿宋" w:cs="仿宋"/>
                <w:color w:val="auto"/>
                <w:sz w:val="24"/>
                <w:highlight w:val="none"/>
              </w:rPr>
            </w:pPr>
          </w:p>
        </w:tc>
        <w:tc>
          <w:tcPr>
            <w:tcW w:w="1273" w:type="dxa"/>
            <w:gridSpan w:val="2"/>
            <w:vAlign w:val="center"/>
          </w:tcPr>
          <w:p>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highlight w:val="none"/>
              </w:rPr>
            </w:pPr>
          </w:p>
        </w:tc>
        <w:tc>
          <w:tcPr>
            <w:tcW w:w="1643" w:type="dxa"/>
            <w:gridSpan w:val="3"/>
            <w:vAlign w:val="center"/>
          </w:tcPr>
          <w:p>
            <w:pPr>
              <w:tabs>
                <w:tab w:val="left" w:pos="4320"/>
              </w:tabs>
              <w:rPr>
                <w:rFonts w:hint="eastAsia" w:ascii="仿宋" w:hAnsi="仿宋" w:eastAsia="仿宋" w:cs="仿宋"/>
                <w:color w:val="auto"/>
                <w:sz w:val="24"/>
                <w:highlight w:val="none"/>
              </w:rPr>
            </w:pPr>
          </w:p>
        </w:tc>
        <w:tc>
          <w:tcPr>
            <w:tcW w:w="1617" w:type="dxa"/>
            <w:gridSpan w:val="2"/>
            <w:vAlign w:val="center"/>
          </w:tcPr>
          <w:p>
            <w:pPr>
              <w:tabs>
                <w:tab w:val="left" w:pos="4320"/>
              </w:tabs>
              <w:rPr>
                <w:rFonts w:hint="eastAsia" w:ascii="仿宋" w:hAnsi="仿宋" w:eastAsia="仿宋" w:cs="仿宋"/>
                <w:color w:val="auto"/>
                <w:sz w:val="24"/>
                <w:highlight w:val="none"/>
              </w:rPr>
            </w:pPr>
          </w:p>
        </w:tc>
        <w:tc>
          <w:tcPr>
            <w:tcW w:w="946" w:type="dxa"/>
            <w:vAlign w:val="center"/>
          </w:tcPr>
          <w:p>
            <w:pPr>
              <w:tabs>
                <w:tab w:val="left" w:pos="4320"/>
              </w:tabs>
              <w:rPr>
                <w:rFonts w:hint="eastAsia" w:ascii="仿宋" w:hAnsi="仿宋" w:eastAsia="仿宋" w:cs="仿宋"/>
                <w:color w:val="auto"/>
                <w:sz w:val="24"/>
                <w:highlight w:val="none"/>
              </w:rPr>
            </w:pPr>
          </w:p>
        </w:tc>
        <w:tc>
          <w:tcPr>
            <w:tcW w:w="1263" w:type="dxa"/>
            <w:vAlign w:val="center"/>
          </w:tcPr>
          <w:p>
            <w:pPr>
              <w:tabs>
                <w:tab w:val="left" w:pos="4320"/>
              </w:tabs>
              <w:rPr>
                <w:rFonts w:hint="eastAsia" w:ascii="仿宋" w:hAnsi="仿宋" w:eastAsia="仿宋" w:cs="仿宋"/>
                <w:color w:val="auto"/>
                <w:sz w:val="24"/>
                <w:highlight w:val="none"/>
              </w:rPr>
            </w:pPr>
          </w:p>
        </w:tc>
        <w:tc>
          <w:tcPr>
            <w:tcW w:w="1273" w:type="dxa"/>
            <w:gridSpan w:val="2"/>
            <w:vAlign w:val="center"/>
          </w:tcPr>
          <w:p>
            <w:pPr>
              <w:tabs>
                <w:tab w:val="left" w:pos="4320"/>
              </w:tabs>
              <w:rPr>
                <w:rFonts w:hint="eastAsia" w:ascii="仿宋" w:hAnsi="仿宋" w:eastAsia="仿宋" w:cs="仿宋"/>
                <w:color w:val="auto"/>
                <w:sz w:val="24"/>
                <w:highlight w:val="none"/>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c>
          <w:tcPr>
            <w:tcW w:w="4206" w:type="dxa"/>
            <w:gridSpan w:val="6"/>
            <w:vAlign w:val="center"/>
          </w:tcPr>
          <w:p>
            <w:pPr>
              <w:tabs>
                <w:tab w:val="left" w:pos="4320"/>
              </w:tabs>
              <w:spacing w:before="60" w:after="60"/>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pPr>
              <w:tabs>
                <w:tab w:val="left" w:pos="4320"/>
              </w:tabs>
              <w:spacing w:before="60" w:after="60"/>
              <w:rPr>
                <w:rFonts w:hint="eastAsia" w:ascii="仿宋" w:hAnsi="仿宋" w:eastAsia="仿宋" w:cs="仿宋"/>
                <w:color w:val="auto"/>
                <w:sz w:val="24"/>
                <w:highlight w:val="none"/>
              </w:rPr>
            </w:pPr>
            <w:r>
              <w:rPr>
                <w:rFonts w:hint="eastAsia" w:ascii="仿宋" w:hAnsi="仿宋" w:eastAsia="仿宋" w:cs="仿宋"/>
                <w:color w:val="auto"/>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atLeast"/>
        </w:trPr>
        <w:tc>
          <w:tcPr>
            <w:tcW w:w="817" w:type="dxa"/>
            <w:vMerge w:val="continue"/>
            <w:tcBorders>
              <w:left w:val="double" w:color="auto" w:sz="4" w:space="0"/>
              <w:bottom w:val="double" w:color="auto" w:sz="4" w:space="0"/>
            </w:tcBorders>
            <w:vAlign w:val="center"/>
          </w:tcPr>
          <w:p>
            <w:pPr>
              <w:tabs>
                <w:tab w:val="left" w:pos="4320"/>
              </w:tabs>
              <w:rPr>
                <w:rFonts w:hint="eastAsia" w:ascii="仿宋" w:hAnsi="仿宋" w:eastAsia="仿宋" w:cs="仿宋"/>
                <w:color w:val="auto"/>
                <w:sz w:val="24"/>
                <w:highlight w:val="none"/>
              </w:rPr>
            </w:pPr>
          </w:p>
        </w:tc>
        <w:tc>
          <w:tcPr>
            <w:tcW w:w="4206" w:type="dxa"/>
            <w:gridSpan w:val="6"/>
            <w:tcBorders>
              <w:bottom w:val="double" w:color="auto" w:sz="4" w:space="0"/>
            </w:tcBorders>
            <w:vAlign w:val="center"/>
          </w:tcPr>
          <w:p>
            <w:pPr>
              <w:tabs>
                <w:tab w:val="left" w:pos="4320"/>
              </w:tabs>
              <w:rPr>
                <w:rFonts w:hint="eastAsia" w:ascii="仿宋" w:hAnsi="仿宋" w:eastAsia="仿宋" w:cs="仿宋"/>
                <w:color w:val="auto"/>
                <w:sz w:val="24"/>
                <w:highlight w:val="none"/>
              </w:rPr>
            </w:pPr>
          </w:p>
        </w:tc>
        <w:tc>
          <w:tcPr>
            <w:tcW w:w="4142" w:type="dxa"/>
            <w:gridSpan w:val="5"/>
            <w:tcBorders>
              <w:bottom w:val="double" w:color="auto" w:sz="4" w:space="0"/>
              <w:right w:val="double" w:color="auto" w:sz="4" w:space="0"/>
            </w:tcBorders>
            <w:vAlign w:val="center"/>
          </w:tcPr>
          <w:p>
            <w:pPr>
              <w:tabs>
                <w:tab w:val="left" w:pos="4320"/>
              </w:tabs>
              <w:rPr>
                <w:rFonts w:hint="eastAsia" w:ascii="仿宋" w:hAnsi="仿宋" w:eastAsia="仿宋" w:cs="仿宋"/>
                <w:color w:val="auto"/>
                <w:sz w:val="24"/>
                <w:highlight w:val="none"/>
              </w:rPr>
            </w:pPr>
          </w:p>
        </w:tc>
      </w:tr>
    </w:tbl>
    <w:p>
      <w:pPr>
        <w:snapToGrid w:val="0"/>
        <w:spacing w:line="300" w:lineRule="auto"/>
        <w:contextualSpacing/>
        <w:rPr>
          <w:rFonts w:hint="eastAsia" w:ascii="仿宋" w:hAnsi="仿宋" w:eastAsia="仿宋" w:cs="仿宋"/>
          <w:color w:val="auto"/>
          <w:sz w:val="28"/>
          <w:szCs w:val="28"/>
          <w:highlight w:val="none"/>
        </w:rPr>
      </w:pPr>
    </w:p>
    <w:p>
      <w:pPr>
        <w:pStyle w:val="7"/>
        <w:spacing w:line="300" w:lineRule="auto"/>
        <w:ind w:firstLine="0"/>
        <w:jc w:val="left"/>
        <w:rPr>
          <w:rFonts w:hint="eastAsia" w:ascii="仿宋" w:hAnsi="仿宋" w:eastAsia="仿宋" w:cs="仿宋"/>
          <w:b/>
          <w:bCs/>
          <w:color w:val="auto"/>
          <w:sz w:val="30"/>
          <w:szCs w:val="30"/>
          <w:highlight w:val="none"/>
        </w:rPr>
      </w:pPr>
    </w:p>
    <w:p>
      <w:pPr>
        <w:pStyle w:val="7"/>
        <w:spacing w:line="300" w:lineRule="auto"/>
        <w:ind w:firstLine="560" w:firstLineChars="200"/>
        <w:jc w:val="left"/>
        <w:rPr>
          <w:rFonts w:hint="eastAsia" w:ascii="仿宋" w:hAnsi="仿宋" w:eastAsia="仿宋" w:cs="仿宋"/>
          <w:color w:val="auto"/>
          <w:sz w:val="28"/>
          <w:szCs w:val="28"/>
          <w:highlight w:val="none"/>
        </w:rPr>
      </w:pPr>
    </w:p>
    <w:p>
      <w:pPr>
        <w:pStyle w:val="7"/>
        <w:spacing w:line="300" w:lineRule="auto"/>
        <w:ind w:firstLine="560" w:firstLineChars="200"/>
        <w:jc w:val="left"/>
        <w:rPr>
          <w:rFonts w:hint="eastAsia" w:ascii="仿宋" w:hAnsi="仿宋" w:eastAsia="仿宋" w:cs="仿宋"/>
          <w:color w:val="auto"/>
          <w:sz w:val="28"/>
          <w:szCs w:val="28"/>
          <w:highlight w:val="none"/>
        </w:rPr>
      </w:pPr>
    </w:p>
    <w:p>
      <w:pPr>
        <w:pStyle w:val="7"/>
        <w:spacing w:line="30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附件7</w:t>
      </w:r>
    </w:p>
    <w:p>
      <w:pPr>
        <w:pStyle w:val="7"/>
        <w:spacing w:line="360" w:lineRule="auto"/>
        <w:ind w:firstLine="0"/>
        <w:jc w:val="center"/>
        <w:rPr>
          <w:rFonts w:hint="eastAsia" w:ascii="仿宋" w:hAnsi="仿宋" w:eastAsia="仿宋" w:cs="仿宋"/>
          <w:b/>
          <w:bCs/>
          <w:color w:val="auto"/>
          <w:sz w:val="32"/>
          <w:szCs w:val="21"/>
          <w:highlight w:val="none"/>
        </w:rPr>
      </w:pPr>
      <w:r>
        <w:rPr>
          <w:rFonts w:hint="eastAsia" w:ascii="仿宋" w:hAnsi="仿宋" w:eastAsia="仿宋" w:cs="仿宋"/>
          <w:b/>
          <w:bCs/>
          <w:color w:val="auto"/>
          <w:sz w:val="32"/>
          <w:szCs w:val="21"/>
          <w:highlight w:val="none"/>
        </w:rPr>
        <w:t>投标函</w:t>
      </w:r>
    </w:p>
    <w:p>
      <w:pPr>
        <w:widowControl/>
        <w:spacing w:after="160" w:line="288"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（采购人名称）：</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（一）根据已收到的</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(工程名称)项目的采购文件，我方经仔细研究招标文件全部内容并对现场进行踏勘后，愿遵守《中华人民共和国政府采购法》等有关法律文件的规定，并愿以人民币</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（小写））元的总价，按招标文件的要求承包本次招标范围内的全部工程，修补工程中的任何缺陷。项目负责人（项目经理）为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（二）我方保证在收到贵单位发出的书面开工令后立即开工，并保证在工期</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天内竣工并移交整个工程及相关资料。 </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（三）我方保证本工程质量达到</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（四）如果我方中标，我方承诺在收到中标通知书后，在中标通知书规定的期限内与贵方签订合同，并将按照招标文件规定的时间、数额提交履约保证金。</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（五）贵单位的招标文件、中标通知书和本投标文件将构成约束我们双方的合同。  </w:t>
      </w:r>
    </w:p>
    <w:p>
      <w:pPr>
        <w:widowControl/>
        <w:spacing w:line="520" w:lineRule="atLeast"/>
        <w:ind w:firstLine="560" w:firstLineChars="200"/>
        <w:jc w:val="left"/>
        <w:rPr>
          <w:rFonts w:hint="eastAsia" w:ascii="仿宋" w:hAnsi="仿宋" w:eastAsia="仿宋" w:cs="仿宋"/>
          <w:color w:val="auto"/>
          <w:kern w:val="0"/>
          <w:sz w:val="28"/>
          <w:szCs w:val="28"/>
          <w:highlight w:val="none"/>
        </w:rPr>
      </w:pPr>
    </w:p>
    <w:p>
      <w:pPr>
        <w:widowControl/>
        <w:spacing w:line="520" w:lineRule="atLeast"/>
        <w:ind w:firstLine="560" w:firstLineChars="200"/>
        <w:jc w:val="left"/>
        <w:rPr>
          <w:rFonts w:hint="eastAsia" w:ascii="仿宋" w:hAnsi="仿宋" w:eastAsia="仿宋" w:cs="仿宋"/>
          <w:color w:val="auto"/>
          <w:kern w:val="0"/>
          <w:sz w:val="28"/>
          <w:szCs w:val="28"/>
          <w:highlight w:val="none"/>
        </w:rPr>
      </w:pPr>
    </w:p>
    <w:p>
      <w:pPr>
        <w:widowControl/>
        <w:spacing w:line="520" w:lineRule="atLeast"/>
        <w:ind w:firstLine="560" w:firstLineChars="200"/>
        <w:jc w:val="left"/>
        <w:rPr>
          <w:rFonts w:hint="eastAsia" w:ascii="仿宋" w:hAnsi="仿宋" w:eastAsia="仿宋" w:cs="仿宋"/>
          <w:color w:val="auto"/>
          <w:kern w:val="0"/>
          <w:sz w:val="28"/>
          <w:szCs w:val="28"/>
          <w:highlight w:val="none"/>
        </w:rPr>
      </w:pPr>
    </w:p>
    <w:p>
      <w:pPr>
        <w:widowControl/>
        <w:spacing w:line="520" w:lineRule="atLeas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投标人（盖法人章）：</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spacing w:line="520" w:lineRule="atLeas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法定代表人或授权委托人（签字或盖章）：</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spacing w:line="520" w:lineRule="atLeast"/>
        <w:ind w:firstLine="560" w:firstLineChars="200"/>
        <w:jc w:val="left"/>
        <w:rPr>
          <w:rFonts w:hint="eastAsia" w:ascii="仿宋" w:hAnsi="仿宋" w:eastAsia="仿宋" w:cs="仿宋"/>
          <w:b/>
          <w:bCs/>
          <w:color w:val="auto"/>
          <w:sz w:val="30"/>
          <w:szCs w:val="30"/>
          <w:highlight w:val="none"/>
        </w:rPr>
      </w:pPr>
      <w:r>
        <w:rPr>
          <w:rFonts w:hint="eastAsia" w:ascii="仿宋" w:hAnsi="仿宋" w:eastAsia="仿宋" w:cs="仿宋"/>
          <w:color w:val="auto"/>
          <w:kern w:val="0"/>
          <w:sz w:val="28"/>
          <w:szCs w:val="28"/>
          <w:highlight w:val="none"/>
        </w:rPr>
        <w:t>日 期：</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pStyle w:val="7"/>
        <w:spacing w:line="300" w:lineRule="auto"/>
        <w:ind w:firstLine="602" w:firstLineChars="200"/>
        <w:jc w:val="left"/>
        <w:rPr>
          <w:rFonts w:hint="eastAsia" w:ascii="仿宋" w:hAnsi="仿宋" w:eastAsia="仿宋" w:cs="仿宋"/>
          <w:b/>
          <w:bCs/>
          <w:color w:val="auto"/>
          <w:sz w:val="30"/>
          <w:szCs w:val="30"/>
          <w:highlight w:val="none"/>
        </w:rPr>
      </w:pPr>
      <w:bookmarkStart w:id="330" w:name="_Toc20744811"/>
      <w:bookmarkStart w:id="331" w:name="_Toc20744274"/>
    </w:p>
    <w:p>
      <w:pPr>
        <w:pStyle w:val="7"/>
        <w:spacing w:line="300" w:lineRule="auto"/>
        <w:ind w:firstLine="0"/>
        <w:jc w:val="left"/>
        <w:rPr>
          <w:rFonts w:hint="eastAsia" w:ascii="仿宋" w:hAnsi="仿宋" w:eastAsia="仿宋" w:cs="仿宋"/>
          <w:color w:val="auto"/>
          <w:sz w:val="28"/>
          <w:szCs w:val="28"/>
          <w:highlight w:val="none"/>
        </w:rPr>
      </w:pPr>
    </w:p>
    <w:p>
      <w:pPr>
        <w:pStyle w:val="7"/>
        <w:spacing w:line="300" w:lineRule="auto"/>
        <w:ind w:firstLine="560" w:firstLineChars="200"/>
        <w:jc w:val="left"/>
        <w:rPr>
          <w:rFonts w:hint="eastAsia" w:ascii="仿宋" w:hAnsi="仿宋" w:eastAsia="仿宋" w:cs="仿宋"/>
          <w:color w:val="auto"/>
          <w:sz w:val="28"/>
          <w:szCs w:val="28"/>
          <w:highlight w:val="none"/>
        </w:rPr>
      </w:pPr>
    </w:p>
    <w:p>
      <w:pPr>
        <w:pStyle w:val="7"/>
        <w:spacing w:line="300" w:lineRule="auto"/>
        <w:ind w:firstLine="560" w:firstLineChars="200"/>
        <w:jc w:val="left"/>
        <w:rPr>
          <w:rFonts w:hint="eastAsia" w:ascii="仿宋" w:hAnsi="仿宋" w:eastAsia="仿宋" w:cs="仿宋"/>
          <w:color w:val="auto"/>
          <w:sz w:val="28"/>
          <w:szCs w:val="28"/>
          <w:highlight w:val="none"/>
        </w:rPr>
      </w:pPr>
    </w:p>
    <w:p>
      <w:pPr>
        <w:pStyle w:val="7"/>
        <w:spacing w:line="300" w:lineRule="auto"/>
        <w:ind w:firstLine="560" w:firstLineChars="200"/>
        <w:jc w:val="left"/>
        <w:rPr>
          <w:rFonts w:hint="eastAsia" w:ascii="仿宋" w:hAnsi="仿宋" w:eastAsia="仿宋" w:cs="仿宋"/>
          <w:color w:val="auto"/>
          <w:sz w:val="28"/>
          <w:szCs w:val="28"/>
          <w:highlight w:val="none"/>
        </w:rPr>
      </w:pPr>
    </w:p>
    <w:p>
      <w:pPr>
        <w:pStyle w:val="7"/>
        <w:spacing w:line="300" w:lineRule="auto"/>
        <w:ind w:firstLine="560" w:firstLineChars="200"/>
        <w:jc w:val="left"/>
        <w:rPr>
          <w:rFonts w:hint="eastAsia" w:ascii="仿宋" w:hAnsi="仿宋" w:eastAsia="仿宋" w:cs="仿宋"/>
          <w:color w:val="auto"/>
          <w:sz w:val="28"/>
          <w:szCs w:val="28"/>
          <w:highlight w:val="none"/>
        </w:rPr>
        <w:sectPr>
          <w:headerReference r:id="rId4" w:type="default"/>
          <w:footerReference r:id="rId5" w:type="default"/>
          <w:pgSz w:w="11907" w:h="16839"/>
          <w:pgMar w:top="1440" w:right="1800" w:bottom="1440" w:left="1800" w:header="720" w:footer="720" w:gutter="0"/>
          <w:cols w:space="720" w:num="1"/>
          <w:docGrid w:linePitch="286" w:charSpace="0"/>
        </w:sectPr>
      </w:pPr>
    </w:p>
    <w:p>
      <w:pPr>
        <w:pStyle w:val="7"/>
        <w:spacing w:line="30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附件6</w:t>
      </w:r>
    </w:p>
    <w:p>
      <w:pPr>
        <w:pStyle w:val="7"/>
        <w:spacing w:line="300" w:lineRule="auto"/>
        <w:ind w:firstLine="602" w:firstLineChars="200"/>
        <w:jc w:val="center"/>
        <w:rPr>
          <w:rFonts w:hint="eastAsia" w:ascii="仿宋" w:hAnsi="仿宋" w:eastAsia="仿宋" w:cs="仿宋"/>
          <w:b/>
          <w:bCs/>
          <w:color w:val="auto"/>
          <w:sz w:val="30"/>
          <w:szCs w:val="30"/>
          <w:highlight w:val="none"/>
        </w:rPr>
      </w:pPr>
    </w:p>
    <w:p>
      <w:pPr>
        <w:snapToGrid w:val="0"/>
        <w:spacing w:line="400" w:lineRule="exact"/>
        <w:contextualSpacing/>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报价明细表</w:t>
      </w:r>
      <w:bookmarkEnd w:id="330"/>
      <w:bookmarkEnd w:id="331"/>
    </w:p>
    <w:tbl>
      <w:tblPr>
        <w:tblStyle w:val="27"/>
        <w:tblpPr w:leftFromText="180" w:rightFromText="180" w:vertAnchor="text" w:horzAnchor="page" w:tblpXSpec="center" w:tblpY="393"/>
        <w:tblOverlap w:val="never"/>
        <w:tblW w:w="11673" w:type="dxa"/>
        <w:jc w:val="center"/>
        <w:tblLayout w:type="fixed"/>
        <w:tblCellMar>
          <w:top w:w="0" w:type="dxa"/>
          <w:left w:w="108" w:type="dxa"/>
          <w:bottom w:w="0" w:type="dxa"/>
          <w:right w:w="108" w:type="dxa"/>
        </w:tblCellMar>
      </w:tblPr>
      <w:tblGrid>
        <w:gridCol w:w="792"/>
        <w:gridCol w:w="1850"/>
        <w:gridCol w:w="5809"/>
        <w:gridCol w:w="794"/>
        <w:gridCol w:w="787"/>
        <w:gridCol w:w="625"/>
        <w:gridCol w:w="1016"/>
      </w:tblGrid>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技术参数及功能响应</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数量</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单位</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单价</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金额</w:t>
            </w:r>
          </w:p>
        </w:tc>
      </w:tr>
      <w:tr>
        <w:tblPrEx>
          <w:tblCellMar>
            <w:top w:w="0" w:type="dxa"/>
            <w:left w:w="108" w:type="dxa"/>
            <w:bottom w:w="0" w:type="dxa"/>
            <w:right w:w="108" w:type="dxa"/>
          </w:tblCellMar>
        </w:tblPrEx>
        <w:trPr>
          <w:trHeight w:val="340" w:hRule="exac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一、基础装修</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8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旧物拆除</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拆隔墙，现有物品，水管、水池台，顶面吊顶，地面瓷砖等</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地面</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防水，防漏，环氧树脂静电喷涂、含地面找平</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平</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粉刷</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墙体，三面两底，符合国家相关环保标准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100</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平</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吊顶</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铝扣板吊顶，国标</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平</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隔墙</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配套材料</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平</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防盗门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甲级，双锁具，1500*2100</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扇</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防盗外窗</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国标，配防虫网</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窗帘</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阻燃，阻火，遮光，窗帘盒及遮光窗帘</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新风百叶窗</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国产定制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二、电气系统</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48"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照明灯</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防爆面板灯，600*600，LED 48瓦,符合EXDIIBT4GB标准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单控开关</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防爆型，单控,符合EXDIIBT4GB标准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插座</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防爆型，符合EXDIIBT4GB标准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二级配电箱</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符合EXDIIBT4GB标准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应急指示灯</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国产，防爆型，符合EXDIIBT4GB标准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报警声光指示灯</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国产，防爆型，符合EXDIIBT4GB标准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套管</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热镀锌钢管，防爆型，符合EXDIIBT4GB标准</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150</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米</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46"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电源线</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防爆型，符合EXDIIBT4GB标准，含电箱、空调、插座、风机等</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防静电处理</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扁铜延外墙接到地面，下挖2米预埋</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辅材</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接线盒，软管，胶布等</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55"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空调</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特种空调 3匹冷暖(三相电）防爆柜机，  防爆EXII BT4 GB，支持RS485控制，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55"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abs>
                <w:tab w:val="left" w:pos="364"/>
              </w:tabs>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触摸式静电消除器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工业防爆声光语音报警本安型释放柱 壁挂式防爆（语音报警）</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三、灭火系统</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自动灭火器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悬挂型，8公斤，超细粉，温控，自动喷洒</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干粉灭火器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手持式，4公斤</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石棉灭水毯</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1500*1500</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条</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灭火器箱</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国产定制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紧急喷淋系统</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国产，脚踏出水，带洗眼和紧急喷淋功能</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635"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防毒面具</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消防面具灭火器搭配用 防毒面具防烟面罩火灾逃生面具 过滤式自救呼吸器</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86"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急救药箱</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14英寸中号医药箱（配肩带）含常规急救药品</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组</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四、排风系统</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防爆离心风机</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功率：3KW</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环评检测装置</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根据国标要求</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风机雨帽</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定制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软接</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定制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槽钢基础</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国标</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减震装置</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10#槽钢</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活性炭过滤箱</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国标</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消音器</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房间排风百叶</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定制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镀锌防腐管道</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定制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70°常开防火阀</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电动风阀</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控制系统</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含控制线，控制箱等</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安装辅材</w:t>
            </w:r>
          </w:p>
        </w:tc>
        <w:tc>
          <w:tcPr>
            <w:tcW w:w="58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国标，（支架、吊杆、螺栓、角铁等）</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墙面开孔及修补</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配套</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nil"/>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设备吊装</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配套</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五、存储单元</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89"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智能安全柜</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★外部尺寸：≥1980mm*850mm*615mm</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门型：单开门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锁具：电子锁， 机械锁（选配）， 双锁配置</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开锁方式：单柜模式（双卡刷卡）</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主、 副柜模式（主机刷卡或密码授权＋副机刷卡开门）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电压：250V 功率：2.5KW 电流：10A</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过滤器数量：高效活性炭过滤器＋ HEPA过滤器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循环模式：默认内循环， 预留外排接口</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风机数量：1</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层板：≥5块pp层板</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★显示屏：≥13.3寸液晶触摸屏</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产品功能：为了补充危化品试剂管理环节的需要 ， 完善物联控制管理体系开发的标准型钢质智能安全柜。</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安全管理和存储一般性试剂</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内胆全部采用pp防腐材料，具有耐强酸、强碱与抗腐蚀的特性</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内置温湿度传感器、 VOC空气质量传感器实时监测柜内状况</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智能化触屏式安全控制器 ，生动直观地设定和显示设备状态参数</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双人双锁控制 ，试剂取用更方便快捷</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内循环过滤系统 ，内置高效活性炭过滤器过滤挥发性化学物质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严格按照防火、防爆等级要求生产加工</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自动调整照明灯光、 风机转速 ， 无需人员操作</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历史事件可查（存取、报警）包括人、时、品、量等（手机及PC端可查询）</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试剂柜控制终端</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外部尺寸：≥1980mm*500mm*615mm</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★主、 副柜模式（主机刷卡或密码授权＋副柜刷卡开门）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显示屏：≥13.3寸液晶触摸屏</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自带试剂推车，高精度电子天平秤、热敏打印机、扫码摄像头/网络摄像头</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★软件功能：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在程序界面可以查看副柜的运行状态和参数，并按照试剂的参数（名称，时间，厂家等）查询并显示试剂存放位置、剩余质量、入库时间、最后操作时间等信息。</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控制所有副柜开门、关门。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主柜安装摄像头，每次操作后，开启摄像头录像，进入待机状态后停止录像，至少保存一个月的录像可查询回看。</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连接二维码打印机，每次新购试剂入库时，打印对应的二维码贴条，同时贴条上注明该试剂存放的位置信息</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连接扫码器，每次领取、归还试剂时，通过扫码获取信息</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连接电子秤，在领用和归还试剂时，获取质量信息。</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试剂核销流程（所有试剂取用后要求在一定时间内放回；对用完的试剂，取出后不再放回必须进行核销），提供两种模式：</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模式a：1）凭试剂在主控机扫码；2）系统查验无误并登记必要信息后进行核销；</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模式b：1）查询所有柜外试剂清单，选择希望核销的试剂；2）系统查验无误并登记必要信息后进行核销；</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试剂查询（按各类组合条件对存放的试剂进行查询）:1）试剂名称2）采购日期范围3）到期日期范围4）存取日期范围4）存放试剂柜编号6）保管人</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试剂存入流程：1）扫码确定试剂并调用智能秤自动称重；2）登记存放的试剂柜编号、存放区域等信息；3）主控机通知相应智能柜打开电子门锁；4）实际存入试剂后关门，流程结束。</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试剂取出流程：1）通过主控机查询柜内试剂明细，选择试剂确定取出；2）系统自动开相应柜门并在相应副柜LED屏提示；3）从相应试剂柜取出试剂后关门，流程结束</w:t>
            </w:r>
          </w:p>
          <w:p>
            <w:pPr>
              <w:numPr>
                <w:ilvl w:val="0"/>
                <w:numId w:val="6"/>
              </w:num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具有库存盘点功能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12.具有PC管理平台和手机小程序软件</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管理员可绑定微信小程序显示管理范围内的所有设备，2．可查询柜内的温度、湿度、空气质量等监控指标3．可查询开/关柜门及领用人记录，可查询所有试剂详情4．可查询相应试剂在柜内的分布情况。5．可在PC端查看本校所有试剂柜的详细信息，包括位置信息、出入库记录，领用、归还记录，报警记录等所有相关的历史信息</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4633"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PP酸碱存储柜</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外部尺寸：≥1950*850*615mm</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开门方式：手动，层板：4板可调，门型：双门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锁具：双锁</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颜色：瓷白色</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产品功能：专用于收纳存放易制毒化学药品和试剂 配置于危险化学品室。 柜体：采用8mm瓷白色贴膜pp （聚丙烯）板制作 ， 具有卓越的耐腐蚀性；</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层板：采用瓷白色pp （聚丙烯）板制作 ， 整体设计为活动式， 可随意抽取放在合适的隔层， 四周立边可获得一定程度的防溢效果；把手：采用耐酸碱pp （聚丙烯）材质 ， 耐腐蚀性能好；饺链： pp （聚丙烯）材料制成；专用门眼： 采用pp （聚丙烯）材料制成</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配备聚丙烯防泄漏托盘 ， 可单独取出， 便于清洁。</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调节式挂钩 ， 可根据害户要求自行调整高度</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可以用于各种腐蚀性化学品的存储 如硫酸 硝酸、 乙酸 硫磺酸等 保护操作者及周围人群安全。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使用寿命十年以上</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易制爆化学品存储柜</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外部尺寸：≥1980mm*850mm*615mm 门型：单开门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锁具：机械锁，</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过滤器数量：高效活性炭过滤器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循环模式：默认内循环， 预留外排接口风机数量：1</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层板：5块 pp 层板</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产品功能：专用于收纳存放易制爆化学药品和试剂 配置于危险化学品室。全部采用双层防火构造 ， 两层钢板之间相隔有38mm的隔热防火层。</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厚度大于1.0mm的优质钢板经过点焊接 ， 使用寿命更长， 防爆性更好。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独特设计的三点联动式门锁 ， 轻松自如启闭； 柜门配有双钥匙。</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5厘米高的防漏液槽便意外流出的液体不外溢。</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防溢漏式层板可在每6厘米层挡上下之间自由调节。</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柜子内外部喷涂高环氧树脂烤漆 ， 防腐蚀能力强。</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严格按照OSHA规范，柜身设有静电接地传导端口，方便连接静电接地导线。</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可燃化学品存储柜</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外部尺寸：≥1980mm*850mm*615mm门型：单开门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锁具：机械锁，</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过滤器数量：高效活性炭过滤器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循环模式：默认内循环， 预留外排接口风机数量： 1</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层板：5块pp层板</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产品功能：用于存储一般可燃性化学品，配置于危险品化学品室</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全部采用双层防火构造 ， 两层钢板之间相隔有38mm的隔热防火层。</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厚度大于1.0mm的优质钢板经过点焊接 ， 使用寿命更长 ， 防爆性更好。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独特设计的三点联动式门锁 ， 轻松自如启闭；柜门配高双钥匙。</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5厘米高的防漏液槽便意外流出的液体不外溢。</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防溢漏式层板可在每6厘米层挡上下之间自由调节。</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柜子内外部喷涂高环氧树脂烤漆 ， 防腐蚀能力强。</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严格按照OSHA规范，柜身设有静电接地传导端口，方便连接静电接地导线。</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应急器材柜</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尺寸：1000*500*2000mm,采用改性PP材料增加强度，注塑模一次性成型，表面沙面和光面相结合处理。</w:t>
            </w:r>
          </w:p>
          <w:p>
            <w:pPr>
              <w:widowControl/>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柜门：915*458mm，柜门厚25mm，内嵌5mm厚钢化玻璃，伸缩式PP旋转门轴，四角圆弧倒角，内侧弧形圆边。</w:t>
            </w:r>
          </w:p>
          <w:p>
            <w:pPr>
              <w:widowControl/>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把手：采用不锈钢“］”型拉手，材料表面经过防腐氧化处理和纯环氧树脂塑粉高温固化处理，具有较强的耐蚀性。</w:t>
            </w:r>
          </w:p>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层板：945*440mm，采用改性PP改性材料增加强度，注塑模一次性成型，表面沙面和光面相结合处理，承重力强，可上下调换。</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500" w:hRule="atLeas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六、安防报警联网报警系统</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轻智能警戒摄像机防爆</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主码流支持2560x1440@25fps，子码流支持1280x720@25fps，第三码流支持1280x720。</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最低照度彩色0.005lx，黑白0.0005lx。</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内置GPU芯片，麦克风，扬声器。</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支持白光补光、红外补光，在开启白光灯进行补光时，可输出彩色视频图像。</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同一静止场景相同图像质量下，设备在H.264、H.265编码方式时，开启智能编码功能和不开启智能编码相比，码率节约80%。</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★支持智能报警防干扰功能，智能分析行为类型为区域入侵、越界侦测、进入区域、离开区域时，报警检测目标设置为人体和/或车辆时，光线明暗变化，篮球滚动，狗行走，树摇晃，不触发报警。</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★支持声音报警功能，报警声音类型不低于12种，并支持导入自定义语音，报警音量及重复次数可设置。</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★可对出现在监控画面中的两眼瞳距不小于26像素的人脸进行检测，并叠加目标提示框。</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★可同时对经过设定检测区域内的不低于10个行人进行人脸检测、跟踪、评分和抓拍，可筛选和抓拍最佳人脸图片存储及上报中心，抓拍图片数量、大小可设，支持上传全景照。</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★支持像素显示功能，可通过IE浏览器显示预览画面中鼠标所选区域水平及垂直方向的像素数。</w:t>
            </w:r>
          </w:p>
          <w:p>
            <w:pPr>
              <w:spacing w:line="240" w:lineRule="atLeas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★支持快捷配置功能，可在预览画面页开启/关闭“快捷配置”页面，支持配置常用显示图像参数、OSD配置、音视频参数、智能资源分配等，并支持恢复默认操作。</w:t>
            </w:r>
          </w:p>
          <w:p>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支持1路报警输入，1路报警输出，1路音频输入，1路音频输出，1个SD卡槽，1个DC12V电压输出接口，支持DC12V或POE供电。</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通用型NVR硬盘录像机</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1.5U机箱，尺寸445mm（宽）× 400mm（深）×71mm（高）</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2个HDMI，1个VGA,支持异源输出</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4盘位，可满配8T硬盘</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2个RJ45 10M/100M/1000M自适应以太网口</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2个USB2.0接口、1个USB3.0接口</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2个RS-485半双工串行接口</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1个RS-232串行接口</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报警IO：16进4路</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软件性能：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输入带宽：80Mbps</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输出带宽：160Mbps</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8路H.264、H.265混合接入</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最大支持12×1080P解码</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支持H.265、H.264解码</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存储硬盘</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3.5 HDD,6TB,7200RPM, 256MB, SATA 6Gb/s</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转速：7200RPM</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支持32路AI流、RAID应用(搭配NVR)</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支持硬盘健康管理功能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MTBF(平均故障间隔时间)：不小于200万小时</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年写入负载：不小于550TB</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支持5年有限质保服务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交换机</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24口POE非管网监控交换机，</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05"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机柜</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高1050宽600深600黑色标准网络机柜，含PDU，配线架，理线架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网线</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国标六类</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箱</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墙面开孔及修补</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国产配套</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0" w:hRule="exac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UPS电源</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不间断电源3000VA/1800W备用电源</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七、环境监测系统</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防爆温湿度传感器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监测实验室内温湿度数据情况。温度测量范围：-50-120℃，精度：±0.3℃；湿度测量范围：0-100%RH;精度：2%。</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★防爆级别：EXd IIC T6 GB；防护等级：IP66；提供有安全完整性SIL3级认证。</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分布式多合一防爆腐蚀性有毒有害气体探测器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监测多种腐蚀性气体，传感器可根据气体比重分布式部署，汇集于一个探测器，可同时监测实验室内氨气、氯气、硫化氢、二氧化硫等腐蚀和有毒有害气体泄露、挥发、超标。氨气量程：0-100ppm；分辨率0.1ppm；氯气量程：0-20ppm；分辨率0.1ppm；硫化氢量程：量程：0-100ppm；分辨率0.1ppm；二氧化硫量程：0-100ppm；分辨率0.1ppm；工作电压： 24V DC；工作温度：-40～+70℃；环境湿度：&lt;99%RH（不结露）；</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★防爆级别：EXd IIC T6 GB；防护等级：IP66；有安全完整性SIL3级认证。</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★提供一种四合一在线式有毒有害气体传感器专利证书</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★生产厂家通过知识产权管理体系认证、环境管理体系认证、职业健康安全管理体系认证、质量管理体系认证</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防爆TVOC探测器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★探测笨、甲苯等挥发性有机化合物浓度探测，阿尔法pid光离子探头。</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检测气体：VOC；量程：0-50ppm / 0-300 可选；精度：±5%；工作电压： 24V DC；工作温度：-40～+70℃；环境湿度：&lt;99%RH（不结露）；检测方式：扩散式；传感器寿命： 3～5 年（正常大气环境下）</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★防爆级别：EXd IIC T6 GB；防护等级：IP66；有安全完整性SIL3级认证。</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空调控制器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通过报警控制主机，根据，传感器测量值及主机设定值可联动空调手动/自动启动控制。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45"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漏水探测器</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检测空调漏水，4个不锈钢电极，防护等级：IP68，响应灵敏度可调。</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数据采集控制报警主机</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寸触摸屏，冷轧钢表面喷塑机柜，采集所有传感器数据数据，根据设定值控制排风风机启停。内置智能物联网网关，AI/DO模块，AC220V供电，含定制自控软件。ARM内核，含边缘计算控制算法。就地声光报警。根据不同气体参数超标可启动风机排风，空调控制等，手动/自动控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环境监测平台</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数据监控，存储，可随时随地远程查看实时数据，实时状态，历史数据，历史曲线，下载数据报表等。具备现场报警功能，短信报警功能，电话语音报警功能。含远程大屏端显示界面，远程PC端展示。</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★提供具有正版软件加密狗。软件著作权</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公有云部署，用我们的云平台；含3年平台运维费用，含4g流量费用，数据存储费用，远程电脑及移动端软件服务费用，云服务器及平台运维等费用。</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手机端小程序</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手机端小程序，远程查看环境参数</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控制主机</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i5，8G内存，256G固态，6个COM口，2个千兆网口，1个HDMI，1个VGA，尺寸20cm*20cm*6cm，</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8451" w:type="dxa"/>
            <w:gridSpan w:val="3"/>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八、宣传系统</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交互一体机</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1.★屏体：A规屏，显示尺寸≥65英寸（提供具有CNAS标识的检测报告并加盖投标人公章）</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2.物理分辨率：3840×2160可无损播放4K片源</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3.屏体亮度≥450cd/ M2，对比度≥4500：1，最大可视角度≥178度；</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4.交互平板屏体色彩覆盖率不低于120%，最高灰阶 256 灰阶</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5.红外触控技术，在双系统下均支持不少于20点触控及同时书写，；触摸高度≤2mm；最小识别直径≤2mm，书写延迟速度≤15ms；</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6.交互平板具备抗强光干扰，在≥150K LUX照度的光照下保证书写功能正常</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7.为便于用户操作交互平板，至少具备8个前置物理按键，为方便用户多样操作使用，每个前置按键均具备按键复用功能；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8.为充分满足用户实际使用需求，前置面板需具有以下输入接口：≥2路双通道USB3.0接口、≥1路USB Type-C接口，为避免用户误操作交互平板前置接口均须具有中文标识；</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9.★交互平板前置1路标准非转接HDMI接口，可用于音视频信号上传，且接入教学设备后可实现自动开机功能。（提供具有CNAS标识的检测报告并加盖投标人公章）</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10.交互平板与外接电脑设备连接时，支持以一根USB线直接读取插在交互平板上的U盘，并识别连接至交互平板的翻页笔、无线键鼠等USB设备；</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11.通电关机状态下交互平板与外接电脑、机顶盒等设备通过HDMI/VGA连接时，识别到外接设备的输入信号后自动开机；</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12.★交互平板整机须具备前置物理电脑还原按键，针孔式设计防止误操作，并具有中文丝印标识便于识别；（提供具有CNAS标识的检测报告并加盖投标人公章）</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13.交互平板具有物理开机防蓝光功能，不接受通过菜单或按键设置方式进行防蓝光模式与非防蓝光模式的切换，并可通过扫描交互平板前置二维码即可获取产品防蓝光检测证书；</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14.为满足课堂视听需求，交互平板采用全声道组合音响，前置双扬声器功率不低于30W，单独对高音、低音、平衡音进行调整</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15.交互平板可在通电关机状态下通过交互平板进行扩音，供教师设备连接使用；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16.交互平板具有便捷通屏笔槽结构，可便于用户存放粉笔、电子教鞭等教学工具；</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17.交互平板内置无线网络模块与蓝牙模块，采用前置信号接发设计且具有文字图标标识，信号接发源不局限在整机后方某一方向某一位置，无任何外接、转接天线及网卡可实现正常网络连接，保证信号不被遮挡。</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18.★交互平板板具有一体化高清摄像头，像素不低于800万，水平视角 120°；拾音单元有效保真拾音距离可达12米，全结构无外部连线与屏体齐平；高清摄像头模组支持远程巡课系统，使用摄像头单元可实现远程巡课，并可对接人脸识别软件进行使用（提供具有CNAS标识的检测报告并加盖投标人公章）</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19.智能交互平板具备多键合一功能:电源开关、电脑开关、辅助电脑系统还原、轻按按键实现节能息屏与唤醒，息屏模式下可达到95%的节能效果</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教学辅助系统：</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20.内置安卓教学辅助系统，采用四核CPU， ROM不小于8G, RAM不小于2G, 安卓系统版本不低于8.0； </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21.无需借助PC，整机可一键进行硬件自检，包括对系统内存、存储、屏温、触摸系统、光感系统、内置电脑等进行状态提示及故障提示；</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22.主页提供5个应用程序，并可随意替换</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23.通过五指抓取屏幕任意位置可调出多任务处理窗口，并对正在运行的应用进行浏览、快速切换或结束进程;</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24.悬浮菜单可进行自定义分组，可添加Windows和Android系统下的互动教学工具、书写白板、系统设置、AI互动软件、便签等不少于25个应用</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25.为满足教学过程中多场景应用需求，交互平板可通过多指长按屏幕部分达到息屏及屏幕唤醒功能，可根据实际教学应用开启或关闭此功能；</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26.智能交互平板双侧快捷键可根据用户的实际使用需求自定义设置为经典模式与极简模式，快捷键模式变化数量也随之变化，并支持自定义</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27.多种开机模式：智能交互平板具备定时自动开关机与远程开关机功能，定时开关机时间可自行设定;</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无线扩声系统</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教学扩声音箱：</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★1.系统采用数字红外音频传输及控制技术；提供官方网站带网页链接和截图加盖公章。</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2.★红外传输副载波符合IEC 61603-7数字红外国际标准证书，DQPSK数字调制/解调技术；</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3.主机需内置数字功放，输出功率≥120W；需集成四个扬声器，可直接对老师声音进行扩声；</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4.≥2个RJ45接口,支持模拟音频输入/输出及扩展数字红外接收器，支持2个无线麦克风；</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5.≥1路USB接口，通过USB线连接PC，配合数字红外无线麦克风使用，可实现PPT翻页功能；</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6.需支持高音/低音调节，线路输入音量调节；</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★7.四个扬声器可分为两组（A+B和C+D），支持独立调节每组扬声器音量；</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8.具有频点选择、广播插入模式、啸叫抑制等功能，可通过拨码开关设置；</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9.为了更清楚的表现出主体声音，需具有线路声音自动衰减功能开关，即麦克风有声音触发时，背景声音降低；</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10.高度集成化，安装简单；</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★需提供所投产品的国家强制性产品3C认证证书复印件加盖公章.</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★供应商或所投产品的生产厂家提供高新技术企业证书、ISO9001与ISO14001质量管理体系认证证书、中国教育技术协会认证，以证书复印件加盖厂家公章为准.</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★必须提供原厂五年售后服务承诺函.</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无线麦克风：</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1.红外麦克风在不同教室之间使用，无需对频，即开即用，简单方便；</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2.不受高频驱动光源干扰，可正常工作于阳光下的环境；</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3.扩展性能强，支持外部音频输入（Ø 3.5 mm AUDIO IN），与其它音频设备（如MP3、手机等）组合，传输更随意；</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4.需具有麦克风音量调节、话筒频点设定及话筒灵敏度设置；</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5.当发言者在设定时间内无发言时，自动关闭红外信号发射，达到智能管理电量；</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6.为了满足互动教学，需支持开启PTT功能，按住一键开启话筒，松开后话筒即关闭；</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 xml:space="preserve">7.可实现远程控制PPT翻页及内置激光笔功能； </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8.轻巧美观，多种使用方式灵活选择：可手持、颈挂或置于上衣口袋；</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9.发射角度：垂直0°～90°，水平120°；</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10.内置可充电锂电池，持续发言时间≥7小时；</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★11.具有良好的对灯光的抗干扰性；测量数字红外无线麦克风对节能灯灯光的抗干扰。提供国家认可的权威机构出具的检测报告扫描件加盖公章。</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12.需支持USB口充电（兼容手机充电器）或插入充电座充电;</w:t>
            </w:r>
          </w:p>
          <w:p>
            <w:pPr>
              <w:spacing w:before="156"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★13.无线麦克风自带电子锁锁口，可搭配电子锁底座进行话筒安全管理；提供蓝牙扫码开锁手机App（含Android和IOS）软件著作权证书复印件加盖公章。</w:t>
            </w:r>
          </w:p>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14.电源适配器：电源：AC 100 V - 240 V, 50 Hz/60 Hz ，输出：5 V DC, 2.0 A ，接口：根据出售地区的不同，可选择UL、CE或VDE型 ，线缆长度：1米 </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7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展板</w:t>
            </w:r>
          </w:p>
        </w:tc>
        <w:tc>
          <w:tcPr>
            <w:tcW w:w="5809"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亚克力，危化品安全宣传展板，定制</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块</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0" w:hRule="atLeast"/>
          <w:jc w:val="center"/>
        </w:trPr>
        <w:tc>
          <w:tcPr>
            <w:tcW w:w="10657" w:type="dxa"/>
            <w:gridSpan w:val="6"/>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合计</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highlight w:val="none"/>
              </w:rPr>
            </w:pPr>
          </w:p>
        </w:tc>
      </w:tr>
    </w:tbl>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pPr>
    </w:p>
    <w:p>
      <w:pPr>
        <w:snapToGrid w:val="0"/>
        <w:spacing w:line="400" w:lineRule="exact"/>
        <w:contextualSpacing/>
        <w:rPr>
          <w:rFonts w:hint="eastAsia" w:ascii="仿宋" w:hAnsi="仿宋" w:eastAsia="仿宋" w:cs="仿宋"/>
          <w:color w:val="auto"/>
          <w:kern w:val="0"/>
          <w:sz w:val="32"/>
          <w:szCs w:val="32"/>
          <w:highlight w:val="none"/>
        </w:rPr>
        <w:sectPr>
          <w:pgSz w:w="16839" w:h="11907" w:orient="landscape"/>
          <w:pgMar w:top="1800" w:right="1440" w:bottom="1800" w:left="1440" w:header="720" w:footer="720" w:gutter="0"/>
          <w:cols w:space="720" w:num="1"/>
          <w:docGrid w:linePitch="286" w:charSpace="0"/>
        </w:sectPr>
      </w:pPr>
    </w:p>
    <w:p>
      <w:pPr>
        <w:pStyle w:val="2"/>
        <w:rPr>
          <w:rFonts w:hint="eastAsia"/>
          <w:color w:val="auto"/>
          <w:highlight w:val="none"/>
        </w:rPr>
      </w:pPr>
    </w:p>
    <w:p>
      <w:pPr>
        <w:snapToGrid w:val="0"/>
        <w:spacing w:line="400" w:lineRule="exact"/>
        <w:contextualSpacing/>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附件11</w:t>
      </w:r>
    </w:p>
    <w:p>
      <w:pPr>
        <w:snapToGrid w:val="0"/>
        <w:spacing w:line="300" w:lineRule="auto"/>
        <w:jc w:val="center"/>
        <w:outlineLvl w:val="0"/>
        <w:rPr>
          <w:rFonts w:hint="eastAsia" w:ascii="仿宋" w:hAnsi="仿宋" w:eastAsia="仿宋" w:cs="仿宋"/>
          <w:b/>
          <w:bCs/>
          <w:color w:val="auto"/>
          <w:sz w:val="28"/>
          <w:szCs w:val="28"/>
          <w:highlight w:val="none"/>
          <w:lang w:bidi="zh-CN"/>
        </w:rPr>
      </w:pPr>
      <w:r>
        <w:rPr>
          <w:rFonts w:hint="eastAsia" w:ascii="仿宋" w:hAnsi="仿宋" w:eastAsia="仿宋" w:cs="仿宋"/>
          <w:b/>
          <w:bCs/>
          <w:color w:val="auto"/>
          <w:sz w:val="28"/>
          <w:szCs w:val="28"/>
          <w:highlight w:val="none"/>
          <w:lang w:bidi="zh-CN"/>
        </w:rPr>
        <w:t>中小企业声明函（工程、服务）</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本公司（联合体）郑重声明，根据《政府采购促进中小企业发展管理办法》（财库﹝2020﹞46 号）的规定，本公司（联合体）参加</w:t>
      </w:r>
      <w:r>
        <w:rPr>
          <w:rFonts w:hint="eastAsia" w:ascii="仿宋" w:hAnsi="仿宋" w:eastAsia="仿宋" w:cs="仿宋"/>
          <w:color w:val="auto"/>
          <w:sz w:val="28"/>
          <w:szCs w:val="28"/>
          <w:highlight w:val="none"/>
          <w:u w:val="single"/>
          <w:lang w:bidi="zh-CN"/>
        </w:rPr>
        <w:t>（单位名称）</w:t>
      </w:r>
      <w:r>
        <w:rPr>
          <w:rFonts w:hint="eastAsia" w:ascii="仿宋" w:hAnsi="仿宋" w:eastAsia="仿宋" w:cs="仿宋"/>
          <w:color w:val="auto"/>
          <w:sz w:val="28"/>
          <w:szCs w:val="28"/>
          <w:highlight w:val="none"/>
          <w:lang w:bidi="zh-CN"/>
        </w:rPr>
        <w:t>的</w:t>
      </w:r>
      <w:r>
        <w:rPr>
          <w:rFonts w:hint="eastAsia" w:ascii="仿宋" w:hAnsi="仿宋" w:eastAsia="仿宋" w:cs="仿宋"/>
          <w:color w:val="auto"/>
          <w:sz w:val="28"/>
          <w:szCs w:val="28"/>
          <w:highlight w:val="none"/>
          <w:u w:val="single"/>
          <w:lang w:bidi="zh-CN"/>
        </w:rPr>
        <w:t>（项目名称）</w:t>
      </w:r>
      <w:r>
        <w:rPr>
          <w:rFonts w:hint="eastAsia" w:ascii="仿宋" w:hAnsi="仿宋" w:eastAsia="仿宋" w:cs="仿宋"/>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line="360" w:lineRule="auto"/>
        <w:jc w:val="left"/>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1.</w:t>
      </w:r>
      <w:r>
        <w:rPr>
          <w:rFonts w:hint="eastAsia" w:ascii="仿宋" w:hAnsi="仿宋" w:eastAsia="仿宋" w:cs="仿宋"/>
          <w:color w:val="auto"/>
          <w:sz w:val="28"/>
          <w:szCs w:val="28"/>
          <w:highlight w:val="none"/>
          <w:u w:val="single"/>
          <w:lang w:bidi="zh-CN"/>
        </w:rPr>
        <w:t>（标的名称）</w:t>
      </w:r>
      <w:r>
        <w:rPr>
          <w:rFonts w:hint="eastAsia" w:ascii="仿宋" w:hAnsi="仿宋" w:eastAsia="仿宋" w:cs="仿宋"/>
          <w:color w:val="auto"/>
          <w:sz w:val="28"/>
          <w:szCs w:val="28"/>
          <w:highlight w:val="none"/>
          <w:lang w:bidi="zh-CN"/>
        </w:rPr>
        <w:t>，属于（</w:t>
      </w:r>
      <w:r>
        <w:rPr>
          <w:rFonts w:hint="eastAsia" w:ascii="仿宋" w:hAnsi="仿宋" w:eastAsia="仿宋" w:cs="仿宋"/>
          <w:color w:val="auto"/>
          <w:sz w:val="28"/>
          <w:szCs w:val="28"/>
          <w:highlight w:val="none"/>
          <w:u w:val="single"/>
          <w:lang w:bidi="zh-CN"/>
        </w:rPr>
        <w:t>采购文件中明确的所属行业）</w:t>
      </w:r>
      <w:r>
        <w:rPr>
          <w:rFonts w:hint="eastAsia" w:ascii="仿宋" w:hAnsi="仿宋" w:eastAsia="仿宋" w:cs="仿宋"/>
          <w:color w:val="auto"/>
          <w:sz w:val="28"/>
          <w:szCs w:val="28"/>
          <w:highlight w:val="none"/>
          <w:lang w:bidi="zh-CN"/>
        </w:rPr>
        <w:t>；承建（承接）企业为</w:t>
      </w:r>
      <w:r>
        <w:rPr>
          <w:rFonts w:hint="eastAsia" w:ascii="仿宋" w:hAnsi="仿宋" w:eastAsia="仿宋" w:cs="仿宋"/>
          <w:color w:val="auto"/>
          <w:sz w:val="28"/>
          <w:szCs w:val="28"/>
          <w:highlight w:val="none"/>
          <w:u w:val="single"/>
          <w:lang w:bidi="zh-CN"/>
        </w:rPr>
        <w:t>（企业名称）</w:t>
      </w:r>
      <w:r>
        <w:rPr>
          <w:rFonts w:hint="eastAsia" w:ascii="仿宋" w:hAnsi="仿宋" w:eastAsia="仿宋" w:cs="仿宋"/>
          <w:color w:val="auto"/>
          <w:sz w:val="28"/>
          <w:szCs w:val="28"/>
          <w:highlight w:val="none"/>
          <w:lang w:bidi="zh-CN"/>
        </w:rPr>
        <w:t>，从业人员</w:t>
      </w:r>
      <w:r>
        <w:rPr>
          <w:rFonts w:hint="eastAsia" w:ascii="仿宋" w:hAnsi="仿宋" w:eastAsia="仿宋" w:cs="仿宋"/>
          <w:color w:val="auto"/>
          <w:sz w:val="28"/>
          <w:szCs w:val="28"/>
          <w:highlight w:val="none"/>
          <w:u w:val="single"/>
          <w:lang w:bidi="zh-CN"/>
        </w:rPr>
        <w:t xml:space="preserve"> </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人，营业收入为</w:t>
      </w:r>
      <w:r>
        <w:rPr>
          <w:rFonts w:hint="eastAsia" w:ascii="仿宋" w:hAnsi="仿宋" w:eastAsia="仿宋" w:cs="仿宋"/>
          <w:color w:val="auto"/>
          <w:sz w:val="28"/>
          <w:szCs w:val="28"/>
          <w:highlight w:val="none"/>
          <w:u w:val="single"/>
          <w:lang w:bidi="zh-CN"/>
        </w:rPr>
        <w:t xml:space="preserve"> </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万元，资产总额为</w:t>
      </w:r>
      <w:r>
        <w:rPr>
          <w:rFonts w:hint="eastAsia" w:ascii="仿宋" w:hAnsi="仿宋" w:eastAsia="仿宋" w:cs="仿宋"/>
          <w:color w:val="auto"/>
          <w:sz w:val="28"/>
          <w:szCs w:val="28"/>
          <w:highlight w:val="none"/>
          <w:u w:val="single"/>
          <w:lang w:bidi="zh-CN"/>
        </w:rPr>
        <w:t xml:space="preserve"> </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万元，属于</w:t>
      </w:r>
      <w:r>
        <w:rPr>
          <w:rFonts w:hint="eastAsia" w:ascii="仿宋" w:hAnsi="仿宋" w:eastAsia="仿宋" w:cs="仿宋"/>
          <w:color w:val="auto"/>
          <w:sz w:val="28"/>
          <w:szCs w:val="28"/>
          <w:highlight w:val="none"/>
          <w:u w:val="single"/>
          <w:lang w:bidi="zh-CN"/>
        </w:rPr>
        <w:t>（中型企业、小型企业、微型企业）</w:t>
      </w:r>
      <w:r>
        <w:rPr>
          <w:rFonts w:hint="eastAsia" w:ascii="仿宋" w:hAnsi="仿宋" w:eastAsia="仿宋" w:cs="仿宋"/>
          <w:color w:val="auto"/>
          <w:sz w:val="28"/>
          <w:szCs w:val="28"/>
          <w:highlight w:val="none"/>
          <w:lang w:bidi="zh-CN"/>
        </w:rPr>
        <w:t>；</w:t>
      </w:r>
    </w:p>
    <w:p>
      <w:pPr>
        <w:snapToGrid w:val="0"/>
        <w:spacing w:line="360" w:lineRule="auto"/>
        <w:jc w:val="left"/>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2.</w:t>
      </w:r>
      <w:r>
        <w:rPr>
          <w:rFonts w:hint="eastAsia" w:ascii="仿宋" w:hAnsi="仿宋" w:eastAsia="仿宋" w:cs="仿宋"/>
          <w:color w:val="auto"/>
          <w:sz w:val="28"/>
          <w:szCs w:val="28"/>
          <w:highlight w:val="none"/>
          <w:u w:val="single"/>
          <w:lang w:bidi="zh-CN"/>
        </w:rPr>
        <w:t>（标的名称）</w:t>
      </w:r>
      <w:r>
        <w:rPr>
          <w:rFonts w:hint="eastAsia" w:ascii="仿宋" w:hAnsi="仿宋" w:eastAsia="仿宋" w:cs="仿宋"/>
          <w:color w:val="auto"/>
          <w:sz w:val="28"/>
          <w:szCs w:val="28"/>
          <w:highlight w:val="none"/>
          <w:lang w:bidi="zh-CN"/>
        </w:rPr>
        <w:t>，属于（</w:t>
      </w:r>
      <w:r>
        <w:rPr>
          <w:rFonts w:hint="eastAsia" w:ascii="仿宋" w:hAnsi="仿宋" w:eastAsia="仿宋" w:cs="仿宋"/>
          <w:color w:val="auto"/>
          <w:sz w:val="28"/>
          <w:szCs w:val="28"/>
          <w:highlight w:val="none"/>
          <w:u w:val="single"/>
          <w:lang w:bidi="zh-CN"/>
        </w:rPr>
        <w:t>采购文件中明确的所属行业）</w:t>
      </w:r>
      <w:r>
        <w:rPr>
          <w:rFonts w:hint="eastAsia" w:ascii="仿宋" w:hAnsi="仿宋" w:eastAsia="仿宋" w:cs="仿宋"/>
          <w:color w:val="auto"/>
          <w:sz w:val="28"/>
          <w:szCs w:val="28"/>
          <w:highlight w:val="none"/>
          <w:lang w:bidi="zh-CN"/>
        </w:rPr>
        <w:t>；承建（承接）企业为</w:t>
      </w:r>
      <w:r>
        <w:rPr>
          <w:rFonts w:hint="eastAsia" w:ascii="仿宋" w:hAnsi="仿宋" w:eastAsia="仿宋" w:cs="仿宋"/>
          <w:color w:val="auto"/>
          <w:sz w:val="28"/>
          <w:szCs w:val="28"/>
          <w:highlight w:val="none"/>
          <w:u w:val="single"/>
          <w:lang w:bidi="zh-CN"/>
        </w:rPr>
        <w:t>（企业名称）</w:t>
      </w:r>
      <w:r>
        <w:rPr>
          <w:rFonts w:hint="eastAsia" w:ascii="仿宋" w:hAnsi="仿宋" w:eastAsia="仿宋" w:cs="仿宋"/>
          <w:color w:val="auto"/>
          <w:sz w:val="28"/>
          <w:szCs w:val="28"/>
          <w:highlight w:val="none"/>
          <w:lang w:bidi="zh-CN"/>
        </w:rPr>
        <w:t>，从业人员</w:t>
      </w:r>
      <w:r>
        <w:rPr>
          <w:rFonts w:hint="eastAsia" w:ascii="仿宋" w:hAnsi="仿宋" w:eastAsia="仿宋" w:cs="仿宋"/>
          <w:color w:val="auto"/>
          <w:sz w:val="28"/>
          <w:szCs w:val="28"/>
          <w:highlight w:val="none"/>
          <w:u w:val="single"/>
          <w:lang w:bidi="zh-CN"/>
        </w:rPr>
        <w:t xml:space="preserve"> </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人，营业收入为</w:t>
      </w:r>
      <w:r>
        <w:rPr>
          <w:rFonts w:hint="eastAsia" w:ascii="仿宋" w:hAnsi="仿宋" w:eastAsia="仿宋" w:cs="仿宋"/>
          <w:color w:val="auto"/>
          <w:sz w:val="28"/>
          <w:szCs w:val="28"/>
          <w:highlight w:val="none"/>
          <w:u w:val="single"/>
          <w:lang w:bidi="zh-CN"/>
        </w:rPr>
        <w:t xml:space="preserve"> </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万元，资产总额为</w:t>
      </w:r>
      <w:r>
        <w:rPr>
          <w:rFonts w:hint="eastAsia" w:ascii="仿宋" w:hAnsi="仿宋" w:eastAsia="仿宋" w:cs="仿宋"/>
          <w:color w:val="auto"/>
          <w:sz w:val="28"/>
          <w:szCs w:val="28"/>
          <w:highlight w:val="none"/>
          <w:u w:val="single"/>
          <w:lang w:bidi="zh-CN"/>
        </w:rPr>
        <w:t xml:space="preserve"> </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万元，属于</w:t>
      </w:r>
      <w:r>
        <w:rPr>
          <w:rFonts w:hint="eastAsia" w:ascii="仿宋" w:hAnsi="仿宋" w:eastAsia="仿宋" w:cs="仿宋"/>
          <w:color w:val="auto"/>
          <w:sz w:val="28"/>
          <w:szCs w:val="28"/>
          <w:highlight w:val="none"/>
          <w:u w:val="single"/>
          <w:lang w:bidi="zh-CN"/>
        </w:rPr>
        <w:t>（中型企业、小型企业、微型企业）</w:t>
      </w:r>
      <w:r>
        <w:rPr>
          <w:rFonts w:hint="eastAsia" w:ascii="仿宋" w:hAnsi="仿宋" w:eastAsia="仿宋" w:cs="仿宋"/>
          <w:color w:val="auto"/>
          <w:sz w:val="28"/>
          <w:szCs w:val="28"/>
          <w:highlight w:val="none"/>
          <w:lang w:bidi="zh-CN"/>
        </w:rPr>
        <w:t>；</w:t>
      </w:r>
    </w:p>
    <w:p>
      <w:pPr>
        <w:snapToGrid w:val="0"/>
        <w:spacing w:line="360" w:lineRule="auto"/>
        <w:jc w:val="left"/>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本企业对上述声明内容的真实性负责。如有虚假，将依法承担相应责任。</w:t>
      </w: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ind w:firstLine="4900" w:firstLineChars="175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企业名称（盖章）：</w:t>
      </w:r>
    </w:p>
    <w:p>
      <w:pPr>
        <w:snapToGrid w:val="0"/>
        <w:spacing w:line="300" w:lineRule="auto"/>
        <w:ind w:firstLine="4900" w:firstLineChars="175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日期：</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附件12</w:t>
      </w:r>
    </w:p>
    <w:p>
      <w:pPr>
        <w:spacing w:line="4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残疾人福利性单位声明函</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tabs>
          <w:tab w:val="left" w:pos="4860"/>
        </w:tabs>
        <w:spacing w:line="588" w:lineRule="exact"/>
        <w:ind w:right="1560" w:firstLine="584"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rPr>
        <w:t xml:space="preserve">           供应商全称（盖章）：</w:t>
      </w:r>
    </w:p>
    <w:p>
      <w:pPr>
        <w:tabs>
          <w:tab w:val="left" w:pos="4860"/>
        </w:tabs>
        <w:spacing w:line="588" w:lineRule="exact"/>
        <w:ind w:right="156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p>
    <w:p>
      <w:pPr>
        <w:ind w:firstLine="42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附件13</w:t>
      </w:r>
    </w:p>
    <w:p>
      <w:pPr>
        <w:snapToGrid w:val="0"/>
        <w:spacing w:line="420" w:lineRule="exact"/>
        <w:jc w:val="center"/>
        <w:outlineLvl w:val="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监狱和戒毒企业证明材料</w:t>
      </w:r>
    </w:p>
    <w:p>
      <w:pPr>
        <w:snapToGrid w:val="0"/>
        <w:spacing w:line="420" w:lineRule="exact"/>
        <w:ind w:firstLine="495" w:firstLineChars="177"/>
        <w:rPr>
          <w:rFonts w:hint="eastAsia" w:ascii="仿宋" w:hAnsi="仿宋" w:eastAsia="仿宋" w:cs="仿宋"/>
          <w:color w:val="auto"/>
          <w:sz w:val="28"/>
          <w:szCs w:val="28"/>
          <w:highlight w:val="none"/>
        </w:rPr>
      </w:pPr>
    </w:p>
    <w:p>
      <w:pPr>
        <w:snapToGrid w:val="0"/>
        <w:spacing w:line="420" w:lineRule="exact"/>
        <w:ind w:firstLine="498" w:firstLineChars="17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（格式自拟）</w:t>
      </w:r>
    </w:p>
    <w:p>
      <w:pPr>
        <w:snapToGrid w:val="0"/>
        <w:spacing w:line="420" w:lineRule="exact"/>
        <w:ind w:firstLine="495" w:firstLineChars="177"/>
        <w:rPr>
          <w:rFonts w:hint="eastAsia" w:ascii="仿宋" w:hAnsi="仿宋" w:eastAsia="仿宋" w:cs="仿宋"/>
          <w:color w:val="auto"/>
          <w:sz w:val="28"/>
          <w:szCs w:val="28"/>
          <w:highlight w:val="none"/>
        </w:rPr>
      </w:pPr>
    </w:p>
    <w:p>
      <w:pPr>
        <w:snapToGrid w:val="0"/>
        <w:spacing w:line="420" w:lineRule="exact"/>
        <w:ind w:firstLine="660" w:firstLineChars="23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rPr>
          <w:rFonts w:hint="eastAsia" w:ascii="仿宋" w:hAnsi="仿宋" w:eastAsia="仿宋" w:cs="仿宋"/>
          <w:color w:val="auto"/>
          <w:sz w:val="28"/>
          <w:szCs w:val="28"/>
          <w:highlight w:val="none"/>
        </w:rPr>
      </w:pPr>
      <w:r>
        <w:rPr>
          <w:rFonts w:hint="eastAsia" w:ascii="仿宋" w:hAnsi="仿宋" w:eastAsia="仿宋" w:cs="仿宋"/>
          <w:color w:val="auto"/>
          <w:kern w:val="0"/>
          <w:sz w:val="32"/>
          <w:szCs w:val="32"/>
          <w:highlight w:val="none"/>
        </w:rPr>
        <w:br w:type="page"/>
      </w:r>
      <w:r>
        <w:rPr>
          <w:rFonts w:hint="eastAsia" w:ascii="仿宋" w:hAnsi="仿宋" w:eastAsia="仿宋" w:cs="仿宋"/>
          <w:color w:val="auto"/>
          <w:kern w:val="0"/>
          <w:sz w:val="32"/>
          <w:szCs w:val="32"/>
          <w:highlight w:val="none"/>
        </w:rPr>
        <w:t>附件14</w:t>
      </w:r>
    </w:p>
    <w:p>
      <w:pPr>
        <w:spacing w:before="240"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供应商信用承诺书</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为营造公开、公平、公正的公共资源交易环境，树立诚信守法的投标供应商形象，本人代表本单位作出以下承诺：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三、严格遵守即时信息公示规定，及时更新公共资源交易中心主体信息库中信息；</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六、自觉接受政府部门、行业组织、社会公众、新闻舆论等监督；</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七、上述承诺已向本单位员工作了宣传教育；</w:t>
      </w:r>
    </w:p>
    <w:p>
      <w:pPr>
        <w:tabs>
          <w:tab w:val="left" w:pos="4860"/>
        </w:tabs>
        <w:spacing w:line="588" w:lineRule="exact"/>
        <w:ind w:right="156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如有违反上述承诺的不良行为，本单位同意将其予以上网公示。</w:t>
      </w:r>
    </w:p>
    <w:p>
      <w:pPr>
        <w:spacing w:line="360" w:lineRule="auto"/>
        <w:ind w:firstLine="3080" w:firstLineChars="1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60" w:lineRule="auto"/>
        <w:ind w:firstLine="3080" w:firstLineChars="1100"/>
        <w:rPr>
          <w:rFonts w:hint="eastAsia" w:ascii="仿宋" w:hAnsi="仿宋" w:eastAsia="仿宋" w:cs="仿宋"/>
          <w:color w:val="auto"/>
          <w:kern w:val="0"/>
          <w:sz w:val="28"/>
          <w:szCs w:val="28"/>
          <w:highlight w:val="none"/>
          <w:u w:val="single"/>
          <w:lang w:val="zh-CN"/>
        </w:rPr>
      </w:pPr>
      <w:r>
        <w:rPr>
          <w:rFonts w:hint="eastAsia" w:ascii="仿宋" w:hAnsi="仿宋" w:eastAsia="仿宋" w:cs="仿宋"/>
          <w:color w:val="auto"/>
          <w:kern w:val="0"/>
          <w:sz w:val="28"/>
          <w:szCs w:val="28"/>
          <w:highlight w:val="none"/>
          <w:lang w:val="zh-CN"/>
        </w:rPr>
        <w:t>投标供应商全称(盖公章)：</w:t>
      </w:r>
    </w:p>
    <w:p>
      <w:pPr>
        <w:spacing w:line="360" w:lineRule="auto"/>
        <w:ind w:firstLine="3080" w:firstLineChars="1100"/>
        <w:rPr>
          <w:rFonts w:hint="eastAsia" w:ascii="仿宋" w:hAnsi="仿宋" w:eastAsia="仿宋" w:cs="仿宋"/>
          <w:color w:val="auto"/>
          <w:sz w:val="28"/>
          <w:szCs w:val="28"/>
          <w:highlight w:val="none"/>
          <w:u w:val="single"/>
          <w:lang w:val="zh-CN"/>
        </w:rPr>
      </w:pPr>
      <w:r>
        <w:rPr>
          <w:rFonts w:hint="eastAsia" w:ascii="仿宋" w:hAnsi="仿宋" w:eastAsia="仿宋" w:cs="仿宋"/>
          <w:color w:val="auto"/>
          <w:kern w:val="0"/>
          <w:sz w:val="28"/>
          <w:szCs w:val="28"/>
          <w:highlight w:val="none"/>
          <w:lang w:val="zh-CN"/>
        </w:rPr>
        <w:t>法定代表人（签字或盖章）：</w:t>
      </w:r>
    </w:p>
    <w:p>
      <w:pPr>
        <w:spacing w:line="360" w:lineRule="auto"/>
        <w:ind w:firstLine="3080" w:firstLineChars="1100"/>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28"/>
          <w:szCs w:val="28"/>
          <w:highlight w:val="none"/>
          <w:lang w:val="zh-CN"/>
        </w:rPr>
        <w:t>时间：  年  月   日</w:t>
      </w:r>
    </w:p>
    <w:p>
      <w:pP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br w:type="page"/>
      </w:r>
      <w:r>
        <w:rPr>
          <w:rFonts w:hint="eastAsia" w:ascii="仿宋" w:hAnsi="仿宋" w:eastAsia="仿宋" w:cs="仿宋"/>
          <w:color w:val="auto"/>
          <w:kern w:val="0"/>
          <w:sz w:val="32"/>
          <w:szCs w:val="32"/>
          <w:highlight w:val="none"/>
        </w:rPr>
        <w:t>附件15</w:t>
      </w:r>
    </w:p>
    <w:p>
      <w:pPr>
        <w:spacing w:line="46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质疑函范本</w:t>
      </w:r>
    </w:p>
    <w:p>
      <w:pPr>
        <w:adjustRightInd w:val="0"/>
        <w:snapToGrid w:val="0"/>
        <w:spacing w:beforeLines="100" w:line="46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46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adjustRightInd w:val="0"/>
        <w:snapToGrid w:val="0"/>
        <w:spacing w:line="46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adjustRightInd w:val="0"/>
        <w:snapToGrid w:val="0"/>
        <w:spacing w:line="460" w:lineRule="exact"/>
        <w:rPr>
          <w:rFonts w:hint="eastAsia" w:ascii="仿宋" w:hAnsi="仿宋" w:eastAsia="仿宋" w:cs="仿宋"/>
          <w:color w:val="auto"/>
          <w:sz w:val="28"/>
          <w:szCs w:val="28"/>
          <w:highlight w:val="none"/>
        </w:rPr>
      </w:pP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adjustRightInd w:val="0"/>
        <w:snapToGrid w:val="0"/>
        <w:spacing w:line="460" w:lineRule="exact"/>
        <w:rPr>
          <w:rFonts w:hint="eastAsia" w:ascii="仿宋" w:hAnsi="仿宋" w:eastAsia="仿宋" w:cs="仿宋"/>
          <w:color w:val="auto"/>
          <w:sz w:val="28"/>
          <w:szCs w:val="28"/>
          <w:highlight w:val="none"/>
          <w:u w:val="dotted"/>
        </w:rPr>
      </w:pP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46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adjustRightInd w:val="0"/>
        <w:snapToGrid w:val="0"/>
        <w:spacing w:line="460" w:lineRule="exact"/>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adjustRightInd w:val="0"/>
        <w:snapToGrid w:val="0"/>
        <w:spacing w:line="460" w:lineRule="exact"/>
        <w:rPr>
          <w:rFonts w:hint="eastAsia" w:ascii="仿宋" w:hAnsi="仿宋" w:eastAsia="仿宋" w:cs="仿宋"/>
          <w:color w:val="auto"/>
          <w:sz w:val="28"/>
          <w:szCs w:val="28"/>
          <w:highlight w:val="none"/>
        </w:rPr>
      </w:pPr>
    </w:p>
    <w:p>
      <w:pPr>
        <w:spacing w:line="460" w:lineRule="exact"/>
        <w:rPr>
          <w:rFonts w:hint="eastAsia" w:ascii="仿宋" w:hAnsi="仿宋" w:eastAsia="仿宋" w:cs="仿宋"/>
          <w:b/>
          <w:color w:val="auto"/>
          <w:sz w:val="28"/>
          <w:szCs w:val="28"/>
          <w:highlight w:val="none"/>
        </w:rPr>
      </w:pPr>
    </w:p>
    <w:p>
      <w:pPr>
        <w:spacing w:line="460" w:lineRule="exact"/>
        <w:rPr>
          <w:rFonts w:hint="eastAsia" w:ascii="仿宋" w:hAnsi="仿宋" w:eastAsia="仿宋" w:cs="仿宋"/>
          <w:b/>
          <w:color w:val="auto"/>
          <w:sz w:val="28"/>
          <w:szCs w:val="28"/>
          <w:highlight w:val="none"/>
        </w:rPr>
      </w:pPr>
    </w:p>
    <w:p>
      <w:pPr>
        <w:spacing w:line="4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500" w:lineRule="exact"/>
        <w:rPr>
          <w:rFonts w:hint="eastAsia" w:ascii="仿宋" w:hAnsi="仿宋" w:eastAsia="仿宋" w:cs="仿宋"/>
          <w:b/>
          <w:color w:val="auto"/>
          <w:sz w:val="28"/>
          <w:szCs w:val="28"/>
          <w:highlight w:val="none"/>
        </w:rPr>
      </w:pPr>
    </w:p>
    <w:p>
      <w:pPr>
        <w:autoSpaceDE w:val="0"/>
        <w:autoSpaceDN w:val="0"/>
        <w:adjustRightInd w:val="0"/>
        <w:snapToGrid w:val="0"/>
        <w:spacing w:line="500" w:lineRule="exact"/>
        <w:contextualSpacing/>
        <w:rPr>
          <w:rFonts w:hint="eastAsia" w:ascii="仿宋" w:hAnsi="仿宋" w:eastAsia="仿宋" w:cs="仿宋"/>
          <w:b/>
          <w:bCs/>
          <w:color w:val="auto"/>
          <w:sz w:val="28"/>
          <w:szCs w:val="28"/>
          <w:highlight w:val="none"/>
        </w:rPr>
      </w:pPr>
    </w:p>
    <w:p>
      <w:pPr>
        <w:snapToGrid w:val="0"/>
        <w:spacing w:line="500" w:lineRule="exact"/>
        <w:ind w:firstLine="562" w:firstLineChars="200"/>
        <w:contextualSpacing/>
        <w:outlineLvl w:val="0"/>
        <w:rPr>
          <w:rFonts w:hint="eastAsia" w:ascii="仿宋" w:hAnsi="仿宋" w:eastAsia="仿宋" w:cs="仿宋"/>
          <w:b/>
          <w:color w:val="auto"/>
          <w:sz w:val="28"/>
          <w:szCs w:val="28"/>
          <w:highlight w:val="none"/>
        </w:rPr>
      </w:pPr>
    </w:p>
    <w:p>
      <w:pPr>
        <w:snapToGrid w:val="0"/>
        <w:spacing w:line="500" w:lineRule="exact"/>
        <w:ind w:firstLine="562" w:firstLineChars="200"/>
        <w:contextualSpacing/>
        <w:outlineLvl w:val="0"/>
        <w:rPr>
          <w:rFonts w:hint="eastAsia" w:ascii="仿宋" w:hAnsi="仿宋" w:eastAsia="仿宋" w:cs="仿宋"/>
          <w:b/>
          <w:color w:val="auto"/>
          <w:sz w:val="28"/>
          <w:szCs w:val="28"/>
          <w:highlight w:val="none"/>
        </w:rPr>
      </w:pPr>
    </w:p>
    <w:p>
      <w:pPr>
        <w:snapToGrid w:val="0"/>
        <w:spacing w:line="500" w:lineRule="exact"/>
        <w:ind w:firstLine="562" w:firstLineChars="200"/>
        <w:contextualSpacing/>
        <w:outlineLvl w:val="0"/>
        <w:rPr>
          <w:rFonts w:hint="eastAsia" w:ascii="仿宋" w:hAnsi="仿宋" w:eastAsia="仿宋" w:cs="仿宋"/>
          <w:b/>
          <w:color w:val="auto"/>
          <w:sz w:val="28"/>
          <w:szCs w:val="28"/>
          <w:highlight w:val="none"/>
        </w:rPr>
      </w:pPr>
    </w:p>
    <w:p>
      <w:pPr>
        <w:pStyle w:val="12"/>
        <w:rPr>
          <w:rFonts w:hint="eastAsia" w:ascii="仿宋" w:hAnsi="仿宋" w:eastAsia="仿宋" w:cs="仿宋"/>
          <w:b/>
          <w:color w:val="auto"/>
          <w:szCs w:val="28"/>
          <w:highlight w:val="none"/>
        </w:rPr>
      </w:pPr>
    </w:p>
    <w:p>
      <w:pPr>
        <w:rPr>
          <w:rFonts w:hint="eastAsia" w:ascii="仿宋" w:hAnsi="仿宋" w:eastAsia="仿宋" w:cs="仿宋"/>
          <w:b/>
          <w:color w:val="auto"/>
          <w:sz w:val="28"/>
          <w:szCs w:val="28"/>
          <w:highlight w:val="none"/>
        </w:rPr>
      </w:pPr>
    </w:p>
    <w:p>
      <w:pPr>
        <w:pStyle w:val="12"/>
        <w:rPr>
          <w:rFonts w:hint="eastAsia" w:ascii="仿宋" w:hAnsi="仿宋" w:eastAsia="仿宋" w:cs="仿宋"/>
          <w:color w:val="auto"/>
          <w:highlight w:val="none"/>
        </w:rPr>
      </w:pPr>
    </w:p>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lotter">
    <w:altName w:val="Times New Roman"/>
    <w:panose1 w:val="00000000000000000000"/>
    <w:charset w:val="00"/>
    <w:family w:val="roman"/>
    <w:pitch w:val="default"/>
    <w:sig w:usb0="00000000" w:usb1="00000000" w:usb2="00000000" w:usb3="00000000" w:csb0="00000003" w:csb1="0012CEFC"/>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B234A"/>
    <w:multiLevelType w:val="singleLevel"/>
    <w:tmpl w:val="981B234A"/>
    <w:lvl w:ilvl="0" w:tentative="0">
      <w:start w:val="1"/>
      <w:numFmt w:val="decimal"/>
      <w:lvlText w:val="%1)"/>
      <w:lvlJc w:val="left"/>
      <w:pPr>
        <w:tabs>
          <w:tab w:val="left" w:pos="312"/>
        </w:tabs>
      </w:pPr>
    </w:lvl>
  </w:abstractNum>
  <w:abstractNum w:abstractNumId="1">
    <w:nsid w:val="BFA39DBB"/>
    <w:multiLevelType w:val="singleLevel"/>
    <w:tmpl w:val="BFA39DBB"/>
    <w:lvl w:ilvl="0" w:tentative="0">
      <w:start w:val="2"/>
      <w:numFmt w:val="decimal"/>
      <w:suff w:val="nothing"/>
      <w:lvlText w:val="%1、"/>
      <w:lvlJc w:val="left"/>
    </w:lvl>
  </w:abstractNum>
  <w:abstractNum w:abstractNumId="2">
    <w:nsid w:val="C347CC26"/>
    <w:multiLevelType w:val="singleLevel"/>
    <w:tmpl w:val="C347CC26"/>
    <w:lvl w:ilvl="0" w:tentative="0">
      <w:start w:val="11"/>
      <w:numFmt w:val="decimal"/>
      <w:lvlText w:val="%1."/>
      <w:lvlJc w:val="left"/>
      <w:pPr>
        <w:tabs>
          <w:tab w:val="left" w:pos="312"/>
        </w:tabs>
      </w:pPr>
    </w:lvl>
  </w:abstractNum>
  <w:abstractNum w:abstractNumId="3">
    <w:nsid w:val="CFFB3584"/>
    <w:multiLevelType w:val="singleLevel"/>
    <w:tmpl w:val="CFFB3584"/>
    <w:lvl w:ilvl="0" w:tentative="0">
      <w:start w:val="1"/>
      <w:numFmt w:val="decimal"/>
      <w:lvlText w:val="%1."/>
      <w:lvlJc w:val="left"/>
      <w:pPr>
        <w:tabs>
          <w:tab w:val="left" w:pos="312"/>
        </w:tabs>
      </w:pPr>
    </w:lvl>
  </w:abstractNum>
  <w:abstractNum w:abstractNumId="4">
    <w:nsid w:val="E79DDDBB"/>
    <w:multiLevelType w:val="singleLevel"/>
    <w:tmpl w:val="E79DDDBB"/>
    <w:lvl w:ilvl="0" w:tentative="0">
      <w:start w:val="4"/>
      <w:numFmt w:val="chineseCounting"/>
      <w:suff w:val="nothing"/>
      <w:lvlText w:val="%1、"/>
      <w:lvlJc w:val="left"/>
      <w:rPr>
        <w:rFonts w:hint="eastAsia"/>
      </w:rPr>
    </w:lvl>
  </w:abstractNum>
  <w:abstractNum w:abstractNumId="5">
    <w:nsid w:val="06B343DB"/>
    <w:multiLevelType w:val="singleLevel"/>
    <w:tmpl w:val="06B343DB"/>
    <w:lvl w:ilvl="0" w:tentative="0">
      <w:start w:val="2"/>
      <w:numFmt w:val="decimal"/>
      <w:lvlText w:val="%1."/>
      <w:lvlJc w:val="left"/>
      <w:pPr>
        <w:tabs>
          <w:tab w:val="left" w:pos="312"/>
        </w:tabs>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4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F29"/>
    <w:rsid w:val="000363E7"/>
    <w:rsid w:val="00040BC7"/>
    <w:rsid w:val="00043CCD"/>
    <w:rsid w:val="0004687B"/>
    <w:rsid w:val="00046AE8"/>
    <w:rsid w:val="00051BE5"/>
    <w:rsid w:val="00051C4B"/>
    <w:rsid w:val="000531E3"/>
    <w:rsid w:val="00055731"/>
    <w:rsid w:val="00057634"/>
    <w:rsid w:val="00057C9F"/>
    <w:rsid w:val="0006312A"/>
    <w:rsid w:val="00064E5C"/>
    <w:rsid w:val="0006533C"/>
    <w:rsid w:val="000674BE"/>
    <w:rsid w:val="00067D3A"/>
    <w:rsid w:val="000707B4"/>
    <w:rsid w:val="000733BC"/>
    <w:rsid w:val="000733D5"/>
    <w:rsid w:val="000743C3"/>
    <w:rsid w:val="00077641"/>
    <w:rsid w:val="000811BB"/>
    <w:rsid w:val="00081A99"/>
    <w:rsid w:val="0008288C"/>
    <w:rsid w:val="000860E4"/>
    <w:rsid w:val="000930EC"/>
    <w:rsid w:val="000931E9"/>
    <w:rsid w:val="0009351A"/>
    <w:rsid w:val="00093B09"/>
    <w:rsid w:val="00093F93"/>
    <w:rsid w:val="000949F1"/>
    <w:rsid w:val="00096D7E"/>
    <w:rsid w:val="000A3BFD"/>
    <w:rsid w:val="000A5B2F"/>
    <w:rsid w:val="000B0744"/>
    <w:rsid w:val="000B09B6"/>
    <w:rsid w:val="000B78D1"/>
    <w:rsid w:val="000B7DF5"/>
    <w:rsid w:val="000C09DC"/>
    <w:rsid w:val="000C433D"/>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514D"/>
    <w:rsid w:val="001104D2"/>
    <w:rsid w:val="00115E82"/>
    <w:rsid w:val="00116E44"/>
    <w:rsid w:val="001244CE"/>
    <w:rsid w:val="0012592D"/>
    <w:rsid w:val="0012699C"/>
    <w:rsid w:val="00127475"/>
    <w:rsid w:val="00132D06"/>
    <w:rsid w:val="001359DC"/>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7113F"/>
    <w:rsid w:val="001731C5"/>
    <w:rsid w:val="00173C44"/>
    <w:rsid w:val="0017626E"/>
    <w:rsid w:val="00181ED3"/>
    <w:rsid w:val="00182CCA"/>
    <w:rsid w:val="001869A8"/>
    <w:rsid w:val="00187BE1"/>
    <w:rsid w:val="001903D4"/>
    <w:rsid w:val="0019251D"/>
    <w:rsid w:val="00192DB5"/>
    <w:rsid w:val="001A0364"/>
    <w:rsid w:val="001A0C8B"/>
    <w:rsid w:val="001A1AC6"/>
    <w:rsid w:val="001A3EDD"/>
    <w:rsid w:val="001A47E3"/>
    <w:rsid w:val="001A67C9"/>
    <w:rsid w:val="001B2572"/>
    <w:rsid w:val="001B344D"/>
    <w:rsid w:val="001B663D"/>
    <w:rsid w:val="001B6EC8"/>
    <w:rsid w:val="001C1D5F"/>
    <w:rsid w:val="001C45F5"/>
    <w:rsid w:val="001C4662"/>
    <w:rsid w:val="001C6AFF"/>
    <w:rsid w:val="001D279A"/>
    <w:rsid w:val="001D3500"/>
    <w:rsid w:val="001D4EC2"/>
    <w:rsid w:val="001D66F0"/>
    <w:rsid w:val="001D6723"/>
    <w:rsid w:val="001D6A81"/>
    <w:rsid w:val="001E1433"/>
    <w:rsid w:val="001E53BC"/>
    <w:rsid w:val="001F120D"/>
    <w:rsid w:val="001F3AEC"/>
    <w:rsid w:val="001F4F3E"/>
    <w:rsid w:val="001F7EC5"/>
    <w:rsid w:val="002007BF"/>
    <w:rsid w:val="00201576"/>
    <w:rsid w:val="00204B7C"/>
    <w:rsid w:val="002106EA"/>
    <w:rsid w:val="002131C8"/>
    <w:rsid w:val="00214649"/>
    <w:rsid w:val="00214B6D"/>
    <w:rsid w:val="00215DD8"/>
    <w:rsid w:val="0021679D"/>
    <w:rsid w:val="00223407"/>
    <w:rsid w:val="002244DA"/>
    <w:rsid w:val="00227E29"/>
    <w:rsid w:val="00230636"/>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242C"/>
    <w:rsid w:val="002647BE"/>
    <w:rsid w:val="00270410"/>
    <w:rsid w:val="00274032"/>
    <w:rsid w:val="002748BD"/>
    <w:rsid w:val="0027499D"/>
    <w:rsid w:val="00275C65"/>
    <w:rsid w:val="002840DC"/>
    <w:rsid w:val="002871A5"/>
    <w:rsid w:val="00290923"/>
    <w:rsid w:val="00291471"/>
    <w:rsid w:val="00292164"/>
    <w:rsid w:val="00294605"/>
    <w:rsid w:val="002975D9"/>
    <w:rsid w:val="002A1054"/>
    <w:rsid w:val="002A287A"/>
    <w:rsid w:val="002A3E8C"/>
    <w:rsid w:val="002A4991"/>
    <w:rsid w:val="002A7755"/>
    <w:rsid w:val="002A79A7"/>
    <w:rsid w:val="002A7F5E"/>
    <w:rsid w:val="002B1C13"/>
    <w:rsid w:val="002B1C92"/>
    <w:rsid w:val="002B6371"/>
    <w:rsid w:val="002B64B0"/>
    <w:rsid w:val="002C02A7"/>
    <w:rsid w:val="002C04E9"/>
    <w:rsid w:val="002C221F"/>
    <w:rsid w:val="002C29D9"/>
    <w:rsid w:val="002C41EE"/>
    <w:rsid w:val="002C4C6D"/>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EC6"/>
    <w:rsid w:val="002F70DF"/>
    <w:rsid w:val="003009D5"/>
    <w:rsid w:val="00300A5F"/>
    <w:rsid w:val="003012EE"/>
    <w:rsid w:val="00302E16"/>
    <w:rsid w:val="00310100"/>
    <w:rsid w:val="00310EFD"/>
    <w:rsid w:val="003121B1"/>
    <w:rsid w:val="00314C38"/>
    <w:rsid w:val="003164A3"/>
    <w:rsid w:val="00320476"/>
    <w:rsid w:val="00320B07"/>
    <w:rsid w:val="00320C34"/>
    <w:rsid w:val="00321CBF"/>
    <w:rsid w:val="00322B57"/>
    <w:rsid w:val="00330686"/>
    <w:rsid w:val="0033200D"/>
    <w:rsid w:val="00332C5B"/>
    <w:rsid w:val="00334C59"/>
    <w:rsid w:val="003406AD"/>
    <w:rsid w:val="003436D0"/>
    <w:rsid w:val="00343D2E"/>
    <w:rsid w:val="0035199B"/>
    <w:rsid w:val="00355DE5"/>
    <w:rsid w:val="003602C3"/>
    <w:rsid w:val="003604DF"/>
    <w:rsid w:val="00361079"/>
    <w:rsid w:val="00364309"/>
    <w:rsid w:val="00367A68"/>
    <w:rsid w:val="0037007E"/>
    <w:rsid w:val="0037119F"/>
    <w:rsid w:val="0037319F"/>
    <w:rsid w:val="00375458"/>
    <w:rsid w:val="00381D8F"/>
    <w:rsid w:val="00383292"/>
    <w:rsid w:val="00385B36"/>
    <w:rsid w:val="0039137F"/>
    <w:rsid w:val="00395FAE"/>
    <w:rsid w:val="003A3808"/>
    <w:rsid w:val="003A42A7"/>
    <w:rsid w:val="003A4DE4"/>
    <w:rsid w:val="003B1C66"/>
    <w:rsid w:val="003B38ED"/>
    <w:rsid w:val="003B5148"/>
    <w:rsid w:val="003C6991"/>
    <w:rsid w:val="003C71ED"/>
    <w:rsid w:val="003D041B"/>
    <w:rsid w:val="003D06E5"/>
    <w:rsid w:val="003D199E"/>
    <w:rsid w:val="003D4401"/>
    <w:rsid w:val="003D64B6"/>
    <w:rsid w:val="003E2B34"/>
    <w:rsid w:val="003E3257"/>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37345"/>
    <w:rsid w:val="00443695"/>
    <w:rsid w:val="00443C88"/>
    <w:rsid w:val="0044543D"/>
    <w:rsid w:val="00446291"/>
    <w:rsid w:val="004464E9"/>
    <w:rsid w:val="00452A22"/>
    <w:rsid w:val="00454E4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844"/>
    <w:rsid w:val="004A3046"/>
    <w:rsid w:val="004A4B9D"/>
    <w:rsid w:val="004A704F"/>
    <w:rsid w:val="004A72A4"/>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F63"/>
    <w:rsid w:val="004E3BF5"/>
    <w:rsid w:val="004F03FF"/>
    <w:rsid w:val="004F099F"/>
    <w:rsid w:val="004F3CB4"/>
    <w:rsid w:val="00503474"/>
    <w:rsid w:val="00503BA7"/>
    <w:rsid w:val="0050700C"/>
    <w:rsid w:val="00513B39"/>
    <w:rsid w:val="00514E8A"/>
    <w:rsid w:val="00515B97"/>
    <w:rsid w:val="00515D24"/>
    <w:rsid w:val="00516020"/>
    <w:rsid w:val="0052071E"/>
    <w:rsid w:val="00521230"/>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4692"/>
    <w:rsid w:val="00554B19"/>
    <w:rsid w:val="00556006"/>
    <w:rsid w:val="005569D2"/>
    <w:rsid w:val="00561A91"/>
    <w:rsid w:val="005627F2"/>
    <w:rsid w:val="00562FB5"/>
    <w:rsid w:val="005632D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9752B"/>
    <w:rsid w:val="005A1415"/>
    <w:rsid w:val="005A506D"/>
    <w:rsid w:val="005A7731"/>
    <w:rsid w:val="005B02F9"/>
    <w:rsid w:val="005B0E49"/>
    <w:rsid w:val="005B1F16"/>
    <w:rsid w:val="005B1F8C"/>
    <w:rsid w:val="005B21BD"/>
    <w:rsid w:val="005B3D53"/>
    <w:rsid w:val="005B5D7D"/>
    <w:rsid w:val="005B688B"/>
    <w:rsid w:val="005B71B9"/>
    <w:rsid w:val="005C06AF"/>
    <w:rsid w:val="005C0BF8"/>
    <w:rsid w:val="005C20F7"/>
    <w:rsid w:val="005C2ABD"/>
    <w:rsid w:val="005C38A7"/>
    <w:rsid w:val="005C7A1F"/>
    <w:rsid w:val="005D015B"/>
    <w:rsid w:val="005D0AD7"/>
    <w:rsid w:val="005D0C2B"/>
    <w:rsid w:val="005D2DCB"/>
    <w:rsid w:val="005D7364"/>
    <w:rsid w:val="005D7993"/>
    <w:rsid w:val="005E1A14"/>
    <w:rsid w:val="005E44C9"/>
    <w:rsid w:val="005E4685"/>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376F"/>
    <w:rsid w:val="00613DFA"/>
    <w:rsid w:val="00614C21"/>
    <w:rsid w:val="00615482"/>
    <w:rsid w:val="00615983"/>
    <w:rsid w:val="00615F7F"/>
    <w:rsid w:val="00616192"/>
    <w:rsid w:val="00621D6D"/>
    <w:rsid w:val="00624F5F"/>
    <w:rsid w:val="0062611B"/>
    <w:rsid w:val="006277EC"/>
    <w:rsid w:val="00632BD0"/>
    <w:rsid w:val="00634A4B"/>
    <w:rsid w:val="00635ECA"/>
    <w:rsid w:val="00637DDA"/>
    <w:rsid w:val="00642E22"/>
    <w:rsid w:val="00654149"/>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7A51"/>
    <w:rsid w:val="00690502"/>
    <w:rsid w:val="00691715"/>
    <w:rsid w:val="0069299B"/>
    <w:rsid w:val="006A4C2F"/>
    <w:rsid w:val="006A5C54"/>
    <w:rsid w:val="006A5D76"/>
    <w:rsid w:val="006B2BD2"/>
    <w:rsid w:val="006B5071"/>
    <w:rsid w:val="006B6DA9"/>
    <w:rsid w:val="006B71E7"/>
    <w:rsid w:val="006C5470"/>
    <w:rsid w:val="006C5AA4"/>
    <w:rsid w:val="006C6D70"/>
    <w:rsid w:val="006C7523"/>
    <w:rsid w:val="006D12EF"/>
    <w:rsid w:val="006D6598"/>
    <w:rsid w:val="006D6A87"/>
    <w:rsid w:val="006D6D47"/>
    <w:rsid w:val="006E3200"/>
    <w:rsid w:val="006E3E45"/>
    <w:rsid w:val="006E4A3F"/>
    <w:rsid w:val="006E5AD6"/>
    <w:rsid w:val="006F0802"/>
    <w:rsid w:val="006F2FDC"/>
    <w:rsid w:val="0070050A"/>
    <w:rsid w:val="00701FC9"/>
    <w:rsid w:val="00702715"/>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B0654"/>
    <w:rsid w:val="007B10D0"/>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F098A"/>
    <w:rsid w:val="007F1A35"/>
    <w:rsid w:val="007F1DB3"/>
    <w:rsid w:val="007F6A4A"/>
    <w:rsid w:val="007F7F83"/>
    <w:rsid w:val="00800DC9"/>
    <w:rsid w:val="00802238"/>
    <w:rsid w:val="0080270D"/>
    <w:rsid w:val="00803663"/>
    <w:rsid w:val="0080455C"/>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41969"/>
    <w:rsid w:val="0084230F"/>
    <w:rsid w:val="00843E6D"/>
    <w:rsid w:val="0084449A"/>
    <w:rsid w:val="0084496E"/>
    <w:rsid w:val="00846157"/>
    <w:rsid w:val="00851F7D"/>
    <w:rsid w:val="008535D2"/>
    <w:rsid w:val="00854624"/>
    <w:rsid w:val="00855F86"/>
    <w:rsid w:val="008619A1"/>
    <w:rsid w:val="00861D87"/>
    <w:rsid w:val="00861F35"/>
    <w:rsid w:val="0086246D"/>
    <w:rsid w:val="00862904"/>
    <w:rsid w:val="008646B1"/>
    <w:rsid w:val="008660CD"/>
    <w:rsid w:val="00870789"/>
    <w:rsid w:val="0087299F"/>
    <w:rsid w:val="0087426A"/>
    <w:rsid w:val="0087707F"/>
    <w:rsid w:val="00880AE4"/>
    <w:rsid w:val="00881756"/>
    <w:rsid w:val="0088337A"/>
    <w:rsid w:val="008858B1"/>
    <w:rsid w:val="00886511"/>
    <w:rsid w:val="00887480"/>
    <w:rsid w:val="00887FD2"/>
    <w:rsid w:val="00895657"/>
    <w:rsid w:val="008966C9"/>
    <w:rsid w:val="00897A59"/>
    <w:rsid w:val="008A2A50"/>
    <w:rsid w:val="008A4BAB"/>
    <w:rsid w:val="008A662B"/>
    <w:rsid w:val="008A778E"/>
    <w:rsid w:val="008A7EED"/>
    <w:rsid w:val="008B54A4"/>
    <w:rsid w:val="008B5D02"/>
    <w:rsid w:val="008B6038"/>
    <w:rsid w:val="008B7D19"/>
    <w:rsid w:val="008C617D"/>
    <w:rsid w:val="008C67B4"/>
    <w:rsid w:val="008C6E04"/>
    <w:rsid w:val="008D0955"/>
    <w:rsid w:val="008D099A"/>
    <w:rsid w:val="008D13F8"/>
    <w:rsid w:val="008D19E0"/>
    <w:rsid w:val="008D5D69"/>
    <w:rsid w:val="008E05A2"/>
    <w:rsid w:val="008E0F02"/>
    <w:rsid w:val="008E4EE4"/>
    <w:rsid w:val="008E61F1"/>
    <w:rsid w:val="008E6ABA"/>
    <w:rsid w:val="008E6C8B"/>
    <w:rsid w:val="008E7641"/>
    <w:rsid w:val="008F141B"/>
    <w:rsid w:val="008F5E85"/>
    <w:rsid w:val="008F70FC"/>
    <w:rsid w:val="00900FB2"/>
    <w:rsid w:val="009015EF"/>
    <w:rsid w:val="00901DB7"/>
    <w:rsid w:val="00904499"/>
    <w:rsid w:val="00904AA6"/>
    <w:rsid w:val="00906B25"/>
    <w:rsid w:val="00906EE0"/>
    <w:rsid w:val="00912E3B"/>
    <w:rsid w:val="00916E16"/>
    <w:rsid w:val="009209D2"/>
    <w:rsid w:val="009235DA"/>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66EA"/>
    <w:rsid w:val="00970A22"/>
    <w:rsid w:val="00971AA2"/>
    <w:rsid w:val="00973D4B"/>
    <w:rsid w:val="00981AB2"/>
    <w:rsid w:val="00981C49"/>
    <w:rsid w:val="009835B6"/>
    <w:rsid w:val="0098598E"/>
    <w:rsid w:val="0099104D"/>
    <w:rsid w:val="009960BD"/>
    <w:rsid w:val="009A2102"/>
    <w:rsid w:val="009A2379"/>
    <w:rsid w:val="009A270A"/>
    <w:rsid w:val="009A376E"/>
    <w:rsid w:val="009A6905"/>
    <w:rsid w:val="009B0D30"/>
    <w:rsid w:val="009B2C76"/>
    <w:rsid w:val="009B47BE"/>
    <w:rsid w:val="009B4AAA"/>
    <w:rsid w:val="009C00B4"/>
    <w:rsid w:val="009C1E60"/>
    <w:rsid w:val="009C260F"/>
    <w:rsid w:val="009C2B05"/>
    <w:rsid w:val="009C44F2"/>
    <w:rsid w:val="009C5FA5"/>
    <w:rsid w:val="009C62C2"/>
    <w:rsid w:val="009C6DB3"/>
    <w:rsid w:val="009D085C"/>
    <w:rsid w:val="009D3960"/>
    <w:rsid w:val="009D5073"/>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6E4A"/>
    <w:rsid w:val="00A20293"/>
    <w:rsid w:val="00A21B17"/>
    <w:rsid w:val="00A22E72"/>
    <w:rsid w:val="00A26193"/>
    <w:rsid w:val="00A3120C"/>
    <w:rsid w:val="00A31C8C"/>
    <w:rsid w:val="00A337AF"/>
    <w:rsid w:val="00A41C16"/>
    <w:rsid w:val="00A4252F"/>
    <w:rsid w:val="00A43E5B"/>
    <w:rsid w:val="00A4492E"/>
    <w:rsid w:val="00A4524C"/>
    <w:rsid w:val="00A45CD1"/>
    <w:rsid w:val="00A51B03"/>
    <w:rsid w:val="00A51BDE"/>
    <w:rsid w:val="00A5669E"/>
    <w:rsid w:val="00A57106"/>
    <w:rsid w:val="00A60435"/>
    <w:rsid w:val="00A61617"/>
    <w:rsid w:val="00A63925"/>
    <w:rsid w:val="00A63EC2"/>
    <w:rsid w:val="00A70DDB"/>
    <w:rsid w:val="00A7144E"/>
    <w:rsid w:val="00A73C9D"/>
    <w:rsid w:val="00A767FF"/>
    <w:rsid w:val="00A769D3"/>
    <w:rsid w:val="00A82845"/>
    <w:rsid w:val="00A839D1"/>
    <w:rsid w:val="00A85F9C"/>
    <w:rsid w:val="00A86330"/>
    <w:rsid w:val="00A86999"/>
    <w:rsid w:val="00A9167C"/>
    <w:rsid w:val="00A94584"/>
    <w:rsid w:val="00AA246F"/>
    <w:rsid w:val="00AA2866"/>
    <w:rsid w:val="00AA2A90"/>
    <w:rsid w:val="00AA4BD2"/>
    <w:rsid w:val="00AA664D"/>
    <w:rsid w:val="00AB0BBE"/>
    <w:rsid w:val="00AB1E43"/>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5688"/>
    <w:rsid w:val="00AD5E0C"/>
    <w:rsid w:val="00AE040F"/>
    <w:rsid w:val="00AE0617"/>
    <w:rsid w:val="00AE6E0C"/>
    <w:rsid w:val="00AE7343"/>
    <w:rsid w:val="00AE7E5F"/>
    <w:rsid w:val="00AF0BB1"/>
    <w:rsid w:val="00AF201C"/>
    <w:rsid w:val="00AF3DFF"/>
    <w:rsid w:val="00AF400D"/>
    <w:rsid w:val="00B012B5"/>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64054"/>
    <w:rsid w:val="00B65A74"/>
    <w:rsid w:val="00B65DBF"/>
    <w:rsid w:val="00B70F8B"/>
    <w:rsid w:val="00B71578"/>
    <w:rsid w:val="00B720DF"/>
    <w:rsid w:val="00B7386A"/>
    <w:rsid w:val="00B74502"/>
    <w:rsid w:val="00B76EB7"/>
    <w:rsid w:val="00B771F9"/>
    <w:rsid w:val="00B80736"/>
    <w:rsid w:val="00B81902"/>
    <w:rsid w:val="00B92EB2"/>
    <w:rsid w:val="00B97308"/>
    <w:rsid w:val="00BA3508"/>
    <w:rsid w:val="00BA4274"/>
    <w:rsid w:val="00BA4B7B"/>
    <w:rsid w:val="00BA56C2"/>
    <w:rsid w:val="00BB1214"/>
    <w:rsid w:val="00BB1CA6"/>
    <w:rsid w:val="00BB7FAA"/>
    <w:rsid w:val="00BC3874"/>
    <w:rsid w:val="00BC6CD4"/>
    <w:rsid w:val="00BC7BC3"/>
    <w:rsid w:val="00BD0960"/>
    <w:rsid w:val="00BD3F6A"/>
    <w:rsid w:val="00BD4BED"/>
    <w:rsid w:val="00BD5610"/>
    <w:rsid w:val="00BD56DB"/>
    <w:rsid w:val="00BE2E38"/>
    <w:rsid w:val="00BE40B8"/>
    <w:rsid w:val="00BF130A"/>
    <w:rsid w:val="00BF185F"/>
    <w:rsid w:val="00BF2C83"/>
    <w:rsid w:val="00BF40F9"/>
    <w:rsid w:val="00BF5FB2"/>
    <w:rsid w:val="00BF7E9A"/>
    <w:rsid w:val="00C00D7C"/>
    <w:rsid w:val="00C0231B"/>
    <w:rsid w:val="00C04E5F"/>
    <w:rsid w:val="00C103D4"/>
    <w:rsid w:val="00C10771"/>
    <w:rsid w:val="00C1162E"/>
    <w:rsid w:val="00C13466"/>
    <w:rsid w:val="00C134F4"/>
    <w:rsid w:val="00C14370"/>
    <w:rsid w:val="00C148C0"/>
    <w:rsid w:val="00C14E6E"/>
    <w:rsid w:val="00C23B0F"/>
    <w:rsid w:val="00C261EA"/>
    <w:rsid w:val="00C3671A"/>
    <w:rsid w:val="00C36875"/>
    <w:rsid w:val="00C425B0"/>
    <w:rsid w:val="00C42F30"/>
    <w:rsid w:val="00C46925"/>
    <w:rsid w:val="00C46CD6"/>
    <w:rsid w:val="00C54773"/>
    <w:rsid w:val="00C558CC"/>
    <w:rsid w:val="00C55FAC"/>
    <w:rsid w:val="00C56AA5"/>
    <w:rsid w:val="00C56C38"/>
    <w:rsid w:val="00C6161E"/>
    <w:rsid w:val="00C63986"/>
    <w:rsid w:val="00C675E4"/>
    <w:rsid w:val="00C67D60"/>
    <w:rsid w:val="00C70515"/>
    <w:rsid w:val="00C804F7"/>
    <w:rsid w:val="00C82B0E"/>
    <w:rsid w:val="00C84D6D"/>
    <w:rsid w:val="00C85B97"/>
    <w:rsid w:val="00C85E5E"/>
    <w:rsid w:val="00C86F1B"/>
    <w:rsid w:val="00C9096D"/>
    <w:rsid w:val="00C91BC1"/>
    <w:rsid w:val="00C93767"/>
    <w:rsid w:val="00C95930"/>
    <w:rsid w:val="00C96E7C"/>
    <w:rsid w:val="00C97D17"/>
    <w:rsid w:val="00CA069C"/>
    <w:rsid w:val="00CA1A4C"/>
    <w:rsid w:val="00CA2A8C"/>
    <w:rsid w:val="00CA3A76"/>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236E"/>
    <w:rsid w:val="00D532E1"/>
    <w:rsid w:val="00D55A52"/>
    <w:rsid w:val="00D5633E"/>
    <w:rsid w:val="00D617EB"/>
    <w:rsid w:val="00D64133"/>
    <w:rsid w:val="00D65F8D"/>
    <w:rsid w:val="00D71A37"/>
    <w:rsid w:val="00D7394A"/>
    <w:rsid w:val="00D7641E"/>
    <w:rsid w:val="00D816AA"/>
    <w:rsid w:val="00D83BDC"/>
    <w:rsid w:val="00D851A1"/>
    <w:rsid w:val="00D8597C"/>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739C"/>
    <w:rsid w:val="00E22848"/>
    <w:rsid w:val="00E24F24"/>
    <w:rsid w:val="00E32272"/>
    <w:rsid w:val="00E32B08"/>
    <w:rsid w:val="00E3344C"/>
    <w:rsid w:val="00E35707"/>
    <w:rsid w:val="00E35DD8"/>
    <w:rsid w:val="00E37623"/>
    <w:rsid w:val="00E422F7"/>
    <w:rsid w:val="00E433EB"/>
    <w:rsid w:val="00E477EF"/>
    <w:rsid w:val="00E5194C"/>
    <w:rsid w:val="00E55B5E"/>
    <w:rsid w:val="00E56B57"/>
    <w:rsid w:val="00E57385"/>
    <w:rsid w:val="00E60777"/>
    <w:rsid w:val="00E62DA0"/>
    <w:rsid w:val="00E64C57"/>
    <w:rsid w:val="00E66F14"/>
    <w:rsid w:val="00E7103C"/>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841"/>
    <w:rsid w:val="00E9798C"/>
    <w:rsid w:val="00EA0B57"/>
    <w:rsid w:val="00EA1035"/>
    <w:rsid w:val="00EA1F98"/>
    <w:rsid w:val="00EA3C4B"/>
    <w:rsid w:val="00EA5D83"/>
    <w:rsid w:val="00EB1DC5"/>
    <w:rsid w:val="00EB1F25"/>
    <w:rsid w:val="00EB340B"/>
    <w:rsid w:val="00EB41D1"/>
    <w:rsid w:val="00EB54DF"/>
    <w:rsid w:val="00EB5C12"/>
    <w:rsid w:val="00EC014B"/>
    <w:rsid w:val="00EC20A8"/>
    <w:rsid w:val="00EC4DA7"/>
    <w:rsid w:val="00EC5B1A"/>
    <w:rsid w:val="00EC6112"/>
    <w:rsid w:val="00EC7446"/>
    <w:rsid w:val="00ED1774"/>
    <w:rsid w:val="00ED238F"/>
    <w:rsid w:val="00ED2EED"/>
    <w:rsid w:val="00ED361D"/>
    <w:rsid w:val="00ED51F7"/>
    <w:rsid w:val="00ED6978"/>
    <w:rsid w:val="00ED7A88"/>
    <w:rsid w:val="00EE0752"/>
    <w:rsid w:val="00EE0BE9"/>
    <w:rsid w:val="00EE2198"/>
    <w:rsid w:val="00EE3A0B"/>
    <w:rsid w:val="00EE5ADB"/>
    <w:rsid w:val="00EE627E"/>
    <w:rsid w:val="00EF0F24"/>
    <w:rsid w:val="00EF17C7"/>
    <w:rsid w:val="00EF2803"/>
    <w:rsid w:val="00EF32E8"/>
    <w:rsid w:val="00EF6658"/>
    <w:rsid w:val="00F01B5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73B3"/>
    <w:rsid w:val="00F50AB2"/>
    <w:rsid w:val="00F51276"/>
    <w:rsid w:val="00F51457"/>
    <w:rsid w:val="00F52884"/>
    <w:rsid w:val="00F549CF"/>
    <w:rsid w:val="00F56D41"/>
    <w:rsid w:val="00F57D8B"/>
    <w:rsid w:val="00F602FC"/>
    <w:rsid w:val="00F60EAE"/>
    <w:rsid w:val="00F63670"/>
    <w:rsid w:val="00F65276"/>
    <w:rsid w:val="00F721D0"/>
    <w:rsid w:val="00F73F1B"/>
    <w:rsid w:val="00F742B5"/>
    <w:rsid w:val="00F776EA"/>
    <w:rsid w:val="00F80CE5"/>
    <w:rsid w:val="00F8253D"/>
    <w:rsid w:val="00F82C93"/>
    <w:rsid w:val="00F868BB"/>
    <w:rsid w:val="00F9388E"/>
    <w:rsid w:val="00F94A0B"/>
    <w:rsid w:val="00F95688"/>
    <w:rsid w:val="00F978EA"/>
    <w:rsid w:val="00FA2083"/>
    <w:rsid w:val="00FA22E2"/>
    <w:rsid w:val="00FA335C"/>
    <w:rsid w:val="00FA5344"/>
    <w:rsid w:val="00FB157B"/>
    <w:rsid w:val="00FB5B08"/>
    <w:rsid w:val="00FC3FDF"/>
    <w:rsid w:val="00FC4C5B"/>
    <w:rsid w:val="00FC5E5A"/>
    <w:rsid w:val="00FC64B2"/>
    <w:rsid w:val="00FC688A"/>
    <w:rsid w:val="00FC793B"/>
    <w:rsid w:val="00FC79ED"/>
    <w:rsid w:val="00FD0A4D"/>
    <w:rsid w:val="00FD2FA0"/>
    <w:rsid w:val="00FD551E"/>
    <w:rsid w:val="00FE1227"/>
    <w:rsid w:val="00FE21A8"/>
    <w:rsid w:val="00FE4859"/>
    <w:rsid w:val="00FE4936"/>
    <w:rsid w:val="00FE5300"/>
    <w:rsid w:val="00FE6E46"/>
    <w:rsid w:val="00FE7FAD"/>
    <w:rsid w:val="00FF2F4D"/>
    <w:rsid w:val="00FF35AC"/>
    <w:rsid w:val="00FF3F0A"/>
    <w:rsid w:val="00FF7076"/>
    <w:rsid w:val="012873D3"/>
    <w:rsid w:val="01F6105A"/>
    <w:rsid w:val="02F30FA1"/>
    <w:rsid w:val="03CB37C1"/>
    <w:rsid w:val="05263216"/>
    <w:rsid w:val="05CC22E7"/>
    <w:rsid w:val="061D3A4E"/>
    <w:rsid w:val="06326EE2"/>
    <w:rsid w:val="064E187C"/>
    <w:rsid w:val="06F91383"/>
    <w:rsid w:val="07040578"/>
    <w:rsid w:val="0768220B"/>
    <w:rsid w:val="07F27FE4"/>
    <w:rsid w:val="08430582"/>
    <w:rsid w:val="08BB2DA2"/>
    <w:rsid w:val="08C2594B"/>
    <w:rsid w:val="095A5E0A"/>
    <w:rsid w:val="09694699"/>
    <w:rsid w:val="09E8138B"/>
    <w:rsid w:val="0A1B3E8E"/>
    <w:rsid w:val="0A685073"/>
    <w:rsid w:val="0AD33E3F"/>
    <w:rsid w:val="0BB03B0E"/>
    <w:rsid w:val="0C2B45A8"/>
    <w:rsid w:val="0CE867E9"/>
    <w:rsid w:val="0D146FC6"/>
    <w:rsid w:val="0D3318E0"/>
    <w:rsid w:val="0D4C316A"/>
    <w:rsid w:val="0D57008A"/>
    <w:rsid w:val="0DA56F93"/>
    <w:rsid w:val="0E7E1C83"/>
    <w:rsid w:val="101271B8"/>
    <w:rsid w:val="10F9554F"/>
    <w:rsid w:val="12EF12E8"/>
    <w:rsid w:val="12EF3B08"/>
    <w:rsid w:val="12FA67BA"/>
    <w:rsid w:val="13531FC1"/>
    <w:rsid w:val="142011A6"/>
    <w:rsid w:val="15667BD0"/>
    <w:rsid w:val="15965C16"/>
    <w:rsid w:val="15A444A6"/>
    <w:rsid w:val="15F96FED"/>
    <w:rsid w:val="16277A0B"/>
    <w:rsid w:val="16852D6C"/>
    <w:rsid w:val="172A70ED"/>
    <w:rsid w:val="179B7A92"/>
    <w:rsid w:val="17B24919"/>
    <w:rsid w:val="17B4163D"/>
    <w:rsid w:val="18466934"/>
    <w:rsid w:val="18AF29F3"/>
    <w:rsid w:val="19660863"/>
    <w:rsid w:val="199910FA"/>
    <w:rsid w:val="1A0E69EF"/>
    <w:rsid w:val="1A6B5775"/>
    <w:rsid w:val="1B0521FF"/>
    <w:rsid w:val="1B19120D"/>
    <w:rsid w:val="1B304996"/>
    <w:rsid w:val="1BA50EE0"/>
    <w:rsid w:val="1D1964B6"/>
    <w:rsid w:val="1D9D42B0"/>
    <w:rsid w:val="1E097B16"/>
    <w:rsid w:val="1E2A5CCB"/>
    <w:rsid w:val="1F3C1A67"/>
    <w:rsid w:val="200612C1"/>
    <w:rsid w:val="208714FC"/>
    <w:rsid w:val="20D70D26"/>
    <w:rsid w:val="20EE6FC1"/>
    <w:rsid w:val="21022930"/>
    <w:rsid w:val="215F13A5"/>
    <w:rsid w:val="21606878"/>
    <w:rsid w:val="22027AEB"/>
    <w:rsid w:val="22996BF6"/>
    <w:rsid w:val="23A42D0F"/>
    <w:rsid w:val="23C116DE"/>
    <w:rsid w:val="23E07C98"/>
    <w:rsid w:val="24062928"/>
    <w:rsid w:val="24446463"/>
    <w:rsid w:val="24462A2D"/>
    <w:rsid w:val="252B2DE5"/>
    <w:rsid w:val="25761FE8"/>
    <w:rsid w:val="25977850"/>
    <w:rsid w:val="26623ED5"/>
    <w:rsid w:val="26B36D0C"/>
    <w:rsid w:val="26C70FC3"/>
    <w:rsid w:val="26DA238E"/>
    <w:rsid w:val="272F3A51"/>
    <w:rsid w:val="27E40C85"/>
    <w:rsid w:val="27F751B9"/>
    <w:rsid w:val="28672513"/>
    <w:rsid w:val="28791623"/>
    <w:rsid w:val="28B446D2"/>
    <w:rsid w:val="2910664F"/>
    <w:rsid w:val="29362D86"/>
    <w:rsid w:val="293B5F97"/>
    <w:rsid w:val="2A4E3D69"/>
    <w:rsid w:val="2B5F21E3"/>
    <w:rsid w:val="2BAE36BF"/>
    <w:rsid w:val="2BBA53AA"/>
    <w:rsid w:val="2BCB3F2A"/>
    <w:rsid w:val="2BF8505C"/>
    <w:rsid w:val="2C102611"/>
    <w:rsid w:val="2C29369E"/>
    <w:rsid w:val="2DC14C40"/>
    <w:rsid w:val="2E216BDB"/>
    <w:rsid w:val="2E4A46A0"/>
    <w:rsid w:val="2E7D549A"/>
    <w:rsid w:val="2EF46E0F"/>
    <w:rsid w:val="2EF72DA2"/>
    <w:rsid w:val="2F2C1714"/>
    <w:rsid w:val="2F3515C3"/>
    <w:rsid w:val="2FA2293F"/>
    <w:rsid w:val="30807908"/>
    <w:rsid w:val="30CA3CB5"/>
    <w:rsid w:val="30E314FF"/>
    <w:rsid w:val="314451DD"/>
    <w:rsid w:val="317407C0"/>
    <w:rsid w:val="32B3311C"/>
    <w:rsid w:val="33755454"/>
    <w:rsid w:val="348E6FE3"/>
    <w:rsid w:val="35564B3A"/>
    <w:rsid w:val="35596882"/>
    <w:rsid w:val="36D57F68"/>
    <w:rsid w:val="37454A37"/>
    <w:rsid w:val="398B7F95"/>
    <w:rsid w:val="39CE38A0"/>
    <w:rsid w:val="3A97759B"/>
    <w:rsid w:val="3A990BD3"/>
    <w:rsid w:val="3ACE05B5"/>
    <w:rsid w:val="3B3724E2"/>
    <w:rsid w:val="3BB367AF"/>
    <w:rsid w:val="3C024B7D"/>
    <w:rsid w:val="3C7F4EBC"/>
    <w:rsid w:val="3D505375"/>
    <w:rsid w:val="3E7A4E13"/>
    <w:rsid w:val="3E8430BD"/>
    <w:rsid w:val="3EB926F5"/>
    <w:rsid w:val="3F676452"/>
    <w:rsid w:val="40170D92"/>
    <w:rsid w:val="40E26775"/>
    <w:rsid w:val="40FF1D3F"/>
    <w:rsid w:val="41655958"/>
    <w:rsid w:val="42A71862"/>
    <w:rsid w:val="435528D9"/>
    <w:rsid w:val="441962C2"/>
    <w:rsid w:val="45C86CE6"/>
    <w:rsid w:val="469905C3"/>
    <w:rsid w:val="471137E6"/>
    <w:rsid w:val="47135F53"/>
    <w:rsid w:val="474F5AFF"/>
    <w:rsid w:val="48374FFD"/>
    <w:rsid w:val="487E1EBD"/>
    <w:rsid w:val="48F3101A"/>
    <w:rsid w:val="49483068"/>
    <w:rsid w:val="49602681"/>
    <w:rsid w:val="49AD7D48"/>
    <w:rsid w:val="4ABC1D3E"/>
    <w:rsid w:val="4AFA3073"/>
    <w:rsid w:val="4BE66A88"/>
    <w:rsid w:val="4BFF6999"/>
    <w:rsid w:val="4C46012D"/>
    <w:rsid w:val="4CC01258"/>
    <w:rsid w:val="4CF34379"/>
    <w:rsid w:val="4DD93A15"/>
    <w:rsid w:val="4E025A39"/>
    <w:rsid w:val="4EE942B4"/>
    <w:rsid w:val="4EF101B9"/>
    <w:rsid w:val="4F72266F"/>
    <w:rsid w:val="5043693E"/>
    <w:rsid w:val="508E1C44"/>
    <w:rsid w:val="50A93E12"/>
    <w:rsid w:val="53FA0C63"/>
    <w:rsid w:val="549251EA"/>
    <w:rsid w:val="55F00D79"/>
    <w:rsid w:val="561D753C"/>
    <w:rsid w:val="573D3418"/>
    <w:rsid w:val="57525C9C"/>
    <w:rsid w:val="5781415B"/>
    <w:rsid w:val="57FD3B20"/>
    <w:rsid w:val="580C3AB9"/>
    <w:rsid w:val="597C1F53"/>
    <w:rsid w:val="59C85F28"/>
    <w:rsid w:val="59FD1A53"/>
    <w:rsid w:val="5A170196"/>
    <w:rsid w:val="5A3559FC"/>
    <w:rsid w:val="5A7C0A26"/>
    <w:rsid w:val="5AC91401"/>
    <w:rsid w:val="5B612002"/>
    <w:rsid w:val="5B9C2B2B"/>
    <w:rsid w:val="5BEF76E9"/>
    <w:rsid w:val="5CC70097"/>
    <w:rsid w:val="5CE337FB"/>
    <w:rsid w:val="5D83070E"/>
    <w:rsid w:val="5D8501A1"/>
    <w:rsid w:val="5E734892"/>
    <w:rsid w:val="5F1662FE"/>
    <w:rsid w:val="5FAC164E"/>
    <w:rsid w:val="60464B44"/>
    <w:rsid w:val="60F94000"/>
    <w:rsid w:val="61352218"/>
    <w:rsid w:val="634C5B54"/>
    <w:rsid w:val="639F57E1"/>
    <w:rsid w:val="64644A40"/>
    <w:rsid w:val="66AB22D9"/>
    <w:rsid w:val="66D41533"/>
    <w:rsid w:val="66D502D3"/>
    <w:rsid w:val="672D641F"/>
    <w:rsid w:val="68226616"/>
    <w:rsid w:val="69005E96"/>
    <w:rsid w:val="694B15D2"/>
    <w:rsid w:val="69E7653A"/>
    <w:rsid w:val="6A48145B"/>
    <w:rsid w:val="6AA06A0F"/>
    <w:rsid w:val="6ACB04D9"/>
    <w:rsid w:val="6AED777A"/>
    <w:rsid w:val="6AF1726A"/>
    <w:rsid w:val="6C047C51"/>
    <w:rsid w:val="6C411B2C"/>
    <w:rsid w:val="6CDA7624"/>
    <w:rsid w:val="6CE81713"/>
    <w:rsid w:val="6CF56CD9"/>
    <w:rsid w:val="6D070BEB"/>
    <w:rsid w:val="6D0B6015"/>
    <w:rsid w:val="6D7B76B4"/>
    <w:rsid w:val="6D9A7AAA"/>
    <w:rsid w:val="6DB932C1"/>
    <w:rsid w:val="6E1437DA"/>
    <w:rsid w:val="6E1F0847"/>
    <w:rsid w:val="6E3A43BC"/>
    <w:rsid w:val="6F737553"/>
    <w:rsid w:val="6FC678CC"/>
    <w:rsid w:val="6FDF050F"/>
    <w:rsid w:val="702A7C88"/>
    <w:rsid w:val="70C1332C"/>
    <w:rsid w:val="70DA3444"/>
    <w:rsid w:val="70F04D70"/>
    <w:rsid w:val="7168470E"/>
    <w:rsid w:val="722C52AF"/>
    <w:rsid w:val="72954F16"/>
    <w:rsid w:val="729C2E62"/>
    <w:rsid w:val="72ED37C1"/>
    <w:rsid w:val="730554EC"/>
    <w:rsid w:val="732D564A"/>
    <w:rsid w:val="73A07A74"/>
    <w:rsid w:val="74DD1DA7"/>
    <w:rsid w:val="755C0DB9"/>
    <w:rsid w:val="76433C13"/>
    <w:rsid w:val="770B1FE4"/>
    <w:rsid w:val="770E6D41"/>
    <w:rsid w:val="788D4480"/>
    <w:rsid w:val="78A32008"/>
    <w:rsid w:val="7A8E62CB"/>
    <w:rsid w:val="7A9005BE"/>
    <w:rsid w:val="7B4A6DD9"/>
    <w:rsid w:val="7B584BF9"/>
    <w:rsid w:val="7BBF030C"/>
    <w:rsid w:val="7C7860B2"/>
    <w:rsid w:val="7CC61BD9"/>
    <w:rsid w:val="7D3A560F"/>
    <w:rsid w:val="7E1F194A"/>
    <w:rsid w:val="7EB63B3F"/>
    <w:rsid w:val="7EFB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paragraph" w:styleId="6">
    <w:name w:val="heading 4"/>
    <w:basedOn w:val="1"/>
    <w:next w:val="1"/>
    <w:link w:val="47"/>
    <w:qFormat/>
    <w:uiPriority w:val="0"/>
    <w:pPr>
      <w:keepNext/>
      <w:jc w:val="center"/>
      <w:outlineLvl w:val="3"/>
    </w:pPr>
    <w:rPr>
      <w:rFonts w:eastAsia="新宋体"/>
      <w:sz w:val="30"/>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left="1140"/>
    </w:pPr>
    <w:rPr>
      <w:rFonts w:ascii="宋体"/>
      <w:sz w:val="24"/>
      <w:szCs w:val="20"/>
    </w:rPr>
  </w:style>
  <w:style w:type="paragraph" w:styleId="7">
    <w:name w:val="Normal Indent"/>
    <w:basedOn w:val="1"/>
    <w:next w:val="8"/>
    <w:link w:val="48"/>
    <w:qFormat/>
    <w:uiPriority w:val="0"/>
    <w:pPr>
      <w:ind w:firstLine="420"/>
    </w:pPr>
    <w:rPr>
      <w:szCs w:val="20"/>
    </w:rPr>
  </w:style>
  <w:style w:type="paragraph" w:styleId="8">
    <w:name w:val="Plain Text"/>
    <w:basedOn w:val="1"/>
    <w:qFormat/>
    <w:uiPriority w:val="0"/>
    <w:rPr>
      <w:rFonts w:ascii="宋体" w:hAnsi="Courier New"/>
      <w:szCs w:val="22"/>
    </w:rPr>
  </w:style>
  <w:style w:type="paragraph" w:styleId="9">
    <w:name w:val="Document Map"/>
    <w:basedOn w:val="1"/>
    <w:link w:val="49"/>
    <w:semiHidden/>
    <w:qFormat/>
    <w:uiPriority w:val="0"/>
    <w:pPr>
      <w:shd w:val="clear" w:color="auto" w:fill="000080"/>
    </w:p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unhideWhenUsed/>
    <w:qFormat/>
    <w:uiPriority w:val="99"/>
    <w:pPr>
      <w:jc w:val="left"/>
    </w:pPr>
  </w:style>
  <w:style w:type="paragraph" w:styleId="12">
    <w:name w:val="Body Text"/>
    <w:basedOn w:val="1"/>
    <w:next w:val="13"/>
    <w:qFormat/>
    <w:uiPriority w:val="0"/>
    <w:pPr>
      <w:spacing w:line="400" w:lineRule="exact"/>
    </w:pPr>
    <w:rPr>
      <w:rFonts w:ascii="楷体_GB2312"/>
      <w:sz w:val="28"/>
    </w:rPr>
  </w:style>
  <w:style w:type="paragraph" w:customStyle="1" w:styleId="13">
    <w:name w:val="style4"/>
    <w:basedOn w:val="1"/>
    <w:next w:val="14"/>
    <w:qFormat/>
    <w:uiPriority w:val="0"/>
    <w:pPr>
      <w:spacing w:before="280" w:after="280"/>
    </w:pPr>
    <w:rPr>
      <w:rFonts w:ascii="宋体"/>
      <w:sz w:val="18"/>
    </w:rPr>
  </w:style>
  <w:style w:type="paragraph" w:customStyle="1" w:styleId="1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50"/>
    <w:qFormat/>
    <w:uiPriority w:val="0"/>
    <w:pPr>
      <w:spacing w:after="120"/>
      <w:ind w:left="420" w:leftChars="200"/>
    </w:pPr>
  </w:style>
  <w:style w:type="paragraph" w:styleId="16">
    <w:name w:val="envelope return"/>
    <w:basedOn w:val="1"/>
    <w:unhideWhenUsed/>
    <w:qFormat/>
    <w:uiPriority w:val="99"/>
    <w:pPr>
      <w:snapToGrid w:val="0"/>
    </w:pPr>
    <w:rPr>
      <w:rFonts w:ascii="Arial" w:hAnsi="Arial"/>
    </w:rPr>
  </w:style>
  <w:style w:type="paragraph" w:styleId="17">
    <w:name w:val="Block Text"/>
    <w:basedOn w:val="1"/>
    <w:next w:val="1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8">
    <w:name w:val="Date"/>
    <w:basedOn w:val="1"/>
    <w:next w:val="1"/>
    <w:link w:val="51"/>
    <w:qFormat/>
    <w:uiPriority w:val="0"/>
    <w:pPr>
      <w:ind w:left="100" w:leftChars="2500"/>
    </w:pPr>
  </w:style>
  <w:style w:type="paragraph" w:styleId="19">
    <w:name w:val="Balloon Text"/>
    <w:basedOn w:val="1"/>
    <w:link w:val="52"/>
    <w:semiHidden/>
    <w:qFormat/>
    <w:uiPriority w:val="0"/>
    <w:rPr>
      <w:sz w:val="18"/>
      <w:szCs w:val="18"/>
    </w:rPr>
  </w:style>
  <w:style w:type="paragraph" w:styleId="20">
    <w:name w:val="footer"/>
    <w:basedOn w:val="1"/>
    <w:link w:val="53"/>
    <w:qFormat/>
    <w:uiPriority w:val="99"/>
    <w:pPr>
      <w:tabs>
        <w:tab w:val="center" w:pos="4153"/>
        <w:tab w:val="right" w:pos="8306"/>
      </w:tabs>
      <w:snapToGrid w:val="0"/>
      <w:jc w:val="left"/>
    </w:pPr>
    <w:rPr>
      <w:sz w:val="18"/>
      <w:szCs w:val="18"/>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before="60" w:line="400" w:lineRule="exact"/>
    </w:pPr>
    <w:rPr>
      <w:rFonts w:eastAsia="黑体"/>
    </w:rPr>
  </w:style>
  <w:style w:type="paragraph" w:styleId="23">
    <w:name w:val="Body Text Indent 3"/>
    <w:basedOn w:val="1"/>
    <w:next w:val="10"/>
    <w:link w:val="55"/>
    <w:qFormat/>
    <w:uiPriority w:val="0"/>
    <w:pPr>
      <w:spacing w:line="520" w:lineRule="exact"/>
      <w:ind w:firstLine="539" w:firstLineChars="184"/>
    </w:pPr>
    <w:rPr>
      <w:rFonts w:ascii="宋体"/>
      <w:b/>
      <w:spacing w:val="6"/>
      <w:sz w:val="28"/>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Body Text First Indent 2"/>
    <w:basedOn w:val="15"/>
    <w:next w:val="23"/>
    <w:unhideWhenUsed/>
    <w:qFormat/>
    <w:uiPriority w:val="99"/>
    <w:pPr>
      <w:ind w:firstLine="20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style>
  <w:style w:type="character" w:styleId="32">
    <w:name w:val="FollowedHyperlink"/>
    <w:unhideWhenUsed/>
    <w:qFormat/>
    <w:uiPriority w:val="99"/>
    <w:rPr>
      <w:color w:val="800080"/>
      <w:u w:val="none"/>
    </w:rPr>
  </w:style>
  <w:style w:type="character" w:styleId="33">
    <w:name w:val="Emphasis"/>
    <w:qFormat/>
    <w:uiPriority w:val="0"/>
    <w:rPr>
      <w:b/>
      <w:bCs/>
    </w:rPr>
  </w:style>
  <w:style w:type="character" w:styleId="34">
    <w:name w:val="HTML Definition"/>
    <w:unhideWhenUsed/>
    <w:qFormat/>
    <w:uiPriority w:val="99"/>
  </w:style>
  <w:style w:type="character" w:styleId="35">
    <w:name w:val="HTML Typewriter"/>
    <w:unhideWhenUsed/>
    <w:qFormat/>
    <w:uiPriority w:val="99"/>
    <w:rPr>
      <w:rFonts w:hint="default" w:ascii="monospace" w:hAnsi="monospace" w:eastAsia="monospace" w:cs="monospace"/>
      <w:sz w:val="20"/>
    </w:rPr>
  </w:style>
  <w:style w:type="character" w:styleId="36">
    <w:name w:val="HTML Acronym"/>
    <w:basedOn w:val="29"/>
    <w:unhideWhenUsed/>
    <w:qFormat/>
    <w:uiPriority w:val="99"/>
  </w:style>
  <w:style w:type="character" w:styleId="37">
    <w:name w:val="HTML Variable"/>
    <w:unhideWhenUsed/>
    <w:qFormat/>
    <w:uiPriority w:val="99"/>
  </w:style>
  <w:style w:type="character" w:styleId="38">
    <w:name w:val="Hyperlink"/>
    <w:unhideWhenUsed/>
    <w:qFormat/>
    <w:uiPriority w:val="99"/>
    <w:rPr>
      <w:color w:val="0000FF"/>
      <w:u w:val="none"/>
    </w:rPr>
  </w:style>
  <w:style w:type="character" w:styleId="39">
    <w:name w:val="HTML Code"/>
    <w:unhideWhenUsed/>
    <w:qFormat/>
    <w:uiPriority w:val="99"/>
    <w:rPr>
      <w:rFonts w:hint="default" w:ascii="monospace" w:hAnsi="monospace" w:eastAsia="monospace" w:cs="monospace"/>
      <w:sz w:val="20"/>
    </w:rPr>
  </w:style>
  <w:style w:type="character" w:styleId="40">
    <w:name w:val="annotation reference"/>
    <w:qFormat/>
    <w:uiPriority w:val="0"/>
    <w:rPr>
      <w:rFonts w:cs="Times New Roman"/>
      <w:sz w:val="21"/>
      <w:szCs w:val="21"/>
    </w:rPr>
  </w:style>
  <w:style w:type="character" w:styleId="41">
    <w:name w:val="HTML Cite"/>
    <w:unhideWhenUsed/>
    <w:qFormat/>
    <w:uiPriority w:val="99"/>
  </w:style>
  <w:style w:type="character" w:styleId="42">
    <w:name w:val="HTML Keyboard"/>
    <w:unhideWhenUsed/>
    <w:qFormat/>
    <w:uiPriority w:val="99"/>
    <w:rPr>
      <w:rFonts w:ascii="monospace" w:hAnsi="monospace" w:eastAsia="monospace" w:cs="monospace"/>
      <w:sz w:val="20"/>
    </w:rPr>
  </w:style>
  <w:style w:type="character" w:styleId="43">
    <w:name w:val="HTML Sample"/>
    <w:unhideWhenUsed/>
    <w:qFormat/>
    <w:uiPriority w:val="99"/>
    <w:rPr>
      <w:rFonts w:hint="default" w:ascii="monospace" w:hAnsi="monospace" w:eastAsia="monospace" w:cs="monospace"/>
    </w:rPr>
  </w:style>
  <w:style w:type="character" w:customStyle="1" w:styleId="44">
    <w:name w:val="标题 1 Char"/>
    <w:link w:val="3"/>
    <w:qFormat/>
    <w:uiPriority w:val="0"/>
    <w:rPr>
      <w:b/>
      <w:bCs/>
      <w:kern w:val="44"/>
      <w:sz w:val="44"/>
      <w:szCs w:val="44"/>
    </w:rPr>
  </w:style>
  <w:style w:type="character" w:customStyle="1" w:styleId="45">
    <w:name w:val="标题 2 Char"/>
    <w:link w:val="4"/>
    <w:qFormat/>
    <w:uiPriority w:val="0"/>
    <w:rPr>
      <w:rFonts w:ascii="Arial" w:hAnsi="Arial" w:eastAsia="黑体"/>
      <w:b/>
      <w:bCs/>
      <w:kern w:val="2"/>
      <w:sz w:val="32"/>
      <w:szCs w:val="32"/>
    </w:rPr>
  </w:style>
  <w:style w:type="character" w:customStyle="1" w:styleId="46">
    <w:name w:val="标题 3 Char"/>
    <w:link w:val="5"/>
    <w:qFormat/>
    <w:uiPriority w:val="0"/>
    <w:rPr>
      <w:b/>
      <w:bCs/>
      <w:kern w:val="2"/>
      <w:sz w:val="32"/>
      <w:szCs w:val="32"/>
    </w:rPr>
  </w:style>
  <w:style w:type="character" w:customStyle="1" w:styleId="47">
    <w:name w:val="标题 4 Char"/>
    <w:link w:val="6"/>
    <w:qFormat/>
    <w:uiPriority w:val="0"/>
    <w:rPr>
      <w:rFonts w:eastAsia="新宋体"/>
      <w:kern w:val="2"/>
      <w:sz w:val="30"/>
      <w:szCs w:val="21"/>
    </w:rPr>
  </w:style>
  <w:style w:type="character" w:customStyle="1" w:styleId="48">
    <w:name w:val="正文缩进 Char"/>
    <w:link w:val="7"/>
    <w:qFormat/>
    <w:uiPriority w:val="0"/>
    <w:rPr>
      <w:kern w:val="2"/>
      <w:sz w:val="21"/>
    </w:rPr>
  </w:style>
  <w:style w:type="character" w:customStyle="1" w:styleId="49">
    <w:name w:val="文档结构图 Char"/>
    <w:link w:val="9"/>
    <w:semiHidden/>
    <w:qFormat/>
    <w:uiPriority w:val="0"/>
    <w:rPr>
      <w:kern w:val="2"/>
      <w:sz w:val="21"/>
      <w:szCs w:val="24"/>
      <w:shd w:val="clear" w:color="auto" w:fill="000080"/>
    </w:rPr>
  </w:style>
  <w:style w:type="character" w:customStyle="1" w:styleId="50">
    <w:name w:val="正文文本缩进 Char"/>
    <w:link w:val="15"/>
    <w:qFormat/>
    <w:uiPriority w:val="0"/>
    <w:rPr>
      <w:kern w:val="2"/>
      <w:sz w:val="21"/>
      <w:szCs w:val="24"/>
    </w:rPr>
  </w:style>
  <w:style w:type="character" w:customStyle="1" w:styleId="51">
    <w:name w:val="日期 Char"/>
    <w:link w:val="18"/>
    <w:qFormat/>
    <w:uiPriority w:val="0"/>
    <w:rPr>
      <w:kern w:val="2"/>
      <w:sz w:val="21"/>
      <w:szCs w:val="24"/>
    </w:rPr>
  </w:style>
  <w:style w:type="character" w:customStyle="1" w:styleId="52">
    <w:name w:val="批注框文本 Char"/>
    <w:link w:val="19"/>
    <w:semiHidden/>
    <w:qFormat/>
    <w:uiPriority w:val="0"/>
    <w:rPr>
      <w:kern w:val="2"/>
      <w:sz w:val="18"/>
      <w:szCs w:val="18"/>
    </w:rPr>
  </w:style>
  <w:style w:type="character" w:customStyle="1" w:styleId="53">
    <w:name w:val="页脚 Char"/>
    <w:link w:val="20"/>
    <w:qFormat/>
    <w:uiPriority w:val="99"/>
    <w:rPr>
      <w:kern w:val="2"/>
      <w:sz w:val="18"/>
      <w:szCs w:val="18"/>
    </w:rPr>
  </w:style>
  <w:style w:type="character" w:customStyle="1" w:styleId="54">
    <w:name w:val="页眉 Char"/>
    <w:link w:val="21"/>
    <w:qFormat/>
    <w:uiPriority w:val="0"/>
    <w:rPr>
      <w:kern w:val="2"/>
      <w:sz w:val="18"/>
      <w:szCs w:val="18"/>
    </w:rPr>
  </w:style>
  <w:style w:type="character" w:customStyle="1" w:styleId="55">
    <w:name w:val="正文文本缩进 3 Char"/>
    <w:link w:val="23"/>
    <w:qFormat/>
    <w:uiPriority w:val="0"/>
    <w:rPr>
      <w:rFonts w:ascii="宋体"/>
      <w:b/>
      <w:spacing w:val="6"/>
      <w:kern w:val="2"/>
      <w:sz w:val="28"/>
      <w:szCs w:val="24"/>
    </w:rPr>
  </w:style>
  <w:style w:type="paragraph" w:customStyle="1" w:styleId="56">
    <w:name w:val="Default"/>
    <w:basedOn w:val="1"/>
    <w:qFormat/>
    <w:uiPriority w:val="0"/>
    <w:pPr>
      <w:autoSpaceDE w:val="0"/>
      <w:autoSpaceDN w:val="0"/>
      <w:adjustRightInd w:val="0"/>
      <w:jc w:val="left"/>
    </w:pPr>
    <w:rPr>
      <w:rFonts w:ascii="Arial" w:hAnsi="Arial" w:eastAsia="PMingLiU"/>
      <w:kern w:val="0"/>
      <w:sz w:val="20"/>
      <w:szCs w:val="20"/>
    </w:rPr>
  </w:style>
  <w:style w:type="paragraph" w:customStyle="1" w:styleId="57">
    <w:name w:val="正文缩进1"/>
    <w:basedOn w:val="1"/>
    <w:next w:val="58"/>
    <w:qFormat/>
    <w:uiPriority w:val="0"/>
    <w:pPr>
      <w:spacing w:line="312" w:lineRule="atLeast"/>
      <w:ind w:firstLine="420"/>
    </w:pPr>
    <w:rPr>
      <w:rFonts w:hint="eastAsia" w:ascii="Plotter" w:hAnsi="Plotter"/>
      <w:szCs w:val="20"/>
    </w:rPr>
  </w:style>
  <w:style w:type="paragraph" w:customStyle="1" w:styleId="58">
    <w:name w:val="List Paragraph1"/>
    <w:basedOn w:val="1"/>
    <w:next w:val="59"/>
    <w:qFormat/>
    <w:uiPriority w:val="34"/>
    <w:pPr>
      <w:spacing w:line="276" w:lineRule="auto"/>
      <w:ind w:firstLine="420" w:firstLineChars="200"/>
    </w:pPr>
    <w:rPr>
      <w:rFonts w:ascii="Calibri" w:hAnsi="Calibri" w:eastAsia="楷体_GB2312"/>
      <w:sz w:val="28"/>
      <w:szCs w:val="20"/>
    </w:rPr>
  </w:style>
  <w:style w:type="paragraph" w:customStyle="1" w:styleId="59">
    <w:name w:val="Char Char Char Char"/>
    <w:basedOn w:val="1"/>
    <w:qFormat/>
    <w:uiPriority w:val="0"/>
  </w:style>
  <w:style w:type="character" w:customStyle="1" w:styleId="60">
    <w:name w:val="正文缩进2格 Char"/>
    <w:link w:val="61"/>
    <w:qFormat/>
    <w:locked/>
    <w:uiPriority w:val="0"/>
    <w:rPr>
      <w:rFonts w:ascii="仿宋_GB2312" w:hAnsi="宋体" w:eastAsia="仿宋_GB2312"/>
      <w:kern w:val="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标题 3.1 Char"/>
    <w:link w:val="63"/>
    <w:qFormat/>
    <w:locked/>
    <w:uiPriority w:val="0"/>
    <w:rPr>
      <w:rFonts w:ascii="宋体" w:hAnsi="宋体"/>
      <w:b/>
      <w:bCs/>
      <w:color w:val="000000"/>
      <w:kern w:val="2"/>
      <w:sz w:val="32"/>
      <w:szCs w:val="32"/>
    </w:rPr>
  </w:style>
  <w:style w:type="paragraph" w:customStyle="1" w:styleId="63">
    <w:name w:val="标题 3.1"/>
    <w:basedOn w:val="5"/>
    <w:link w:val="62"/>
    <w:qFormat/>
    <w:uiPriority w:val="0"/>
    <w:pPr>
      <w:tabs>
        <w:tab w:val="left" w:pos="1440"/>
        <w:tab w:val="left" w:pos="1620"/>
      </w:tabs>
      <w:spacing w:line="600" w:lineRule="exact"/>
    </w:pPr>
    <w:rPr>
      <w:rFonts w:ascii="宋体" w:hAnsi="宋体"/>
      <w:color w:val="000000"/>
    </w:rPr>
  </w:style>
  <w:style w:type="paragraph" w:customStyle="1" w:styleId="64">
    <w:name w:val=" Char"/>
    <w:basedOn w:val="1"/>
    <w:qFormat/>
    <w:uiPriority w:val="0"/>
    <w:rPr>
      <w:rFonts w:ascii="Tahoma" w:hAnsi="Tahoma"/>
      <w:sz w:val="24"/>
      <w:szCs w:val="20"/>
    </w:rPr>
  </w:style>
  <w:style w:type="paragraph" w:customStyle="1" w:styleId="65">
    <w:name w:val="正文缩进4格"/>
    <w:basedOn w:val="61"/>
    <w:qFormat/>
    <w:uiPriority w:val="0"/>
    <w:pPr>
      <w:ind w:left="2" w:firstLine="538" w:firstLineChars="192"/>
    </w:pPr>
    <w:rPr>
      <w:color w:val="000000"/>
      <w:sz w:val="28"/>
    </w:rPr>
  </w:style>
  <w:style w:type="paragraph" w:customStyle="1" w:styleId="66">
    <w:name w:val=" Char Char Char Char"/>
    <w:basedOn w:val="1"/>
    <w:qFormat/>
    <w:uiPriority w:val="0"/>
    <w:rPr>
      <w:rFonts w:ascii="Tahoma" w:hAnsi="Tahoma"/>
      <w:sz w:val="24"/>
      <w:szCs w:val="20"/>
    </w:rPr>
  </w:style>
  <w:style w:type="paragraph" w:customStyle="1" w:styleId="67">
    <w:name w:val="Char1"/>
    <w:basedOn w:val="1"/>
    <w:qFormat/>
    <w:uiPriority w:val="0"/>
    <w:pPr>
      <w:tabs>
        <w:tab w:val="left" w:pos="840"/>
      </w:tabs>
      <w:ind w:left="840" w:hanging="420"/>
    </w:pPr>
    <w:rPr>
      <w:sz w:val="24"/>
    </w:rPr>
  </w:style>
  <w:style w:type="paragraph" w:customStyle="1" w:styleId="68">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 Char Char 字元 字元 字元 Char Char Char Char"/>
    <w:basedOn w:val="1"/>
    <w:qFormat/>
    <w:uiPriority w:val="0"/>
    <w:pPr>
      <w:adjustRightInd w:val="0"/>
      <w:spacing w:line="360" w:lineRule="auto"/>
    </w:pPr>
    <w:rPr>
      <w:kern w:val="0"/>
      <w:sz w:val="24"/>
      <w:szCs w:val="20"/>
    </w:rPr>
  </w:style>
  <w:style w:type="paragraph" w:customStyle="1" w:styleId="71">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2">
    <w:name w:val="Char"/>
    <w:basedOn w:val="1"/>
    <w:qFormat/>
    <w:uiPriority w:val="0"/>
    <w:rPr>
      <w:rFonts w:ascii="Tahoma" w:hAnsi="Tahoma"/>
      <w:sz w:val="24"/>
      <w:szCs w:val="20"/>
    </w:rPr>
  </w:style>
  <w:style w:type="paragraph" w:customStyle="1" w:styleId="73">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4">
    <w:name w:val="普通正文 Char"/>
    <w:link w:val="75"/>
    <w:qFormat/>
    <w:uiPriority w:val="0"/>
    <w:rPr>
      <w:rFonts w:ascii="Arial" w:hAnsi="Arial"/>
      <w:sz w:val="24"/>
      <w:szCs w:val="24"/>
    </w:rPr>
  </w:style>
  <w:style w:type="paragraph" w:customStyle="1" w:styleId="75">
    <w:name w:val="普通正文"/>
    <w:basedOn w:val="1"/>
    <w:link w:val="74"/>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6">
    <w:name w:val="mini-outputtext1"/>
    <w:qFormat/>
    <w:uiPriority w:val="0"/>
  </w:style>
  <w:style w:type="character" w:customStyle="1" w:styleId="77">
    <w:name w:val="font31"/>
    <w:qFormat/>
    <w:uiPriority w:val="0"/>
    <w:rPr>
      <w:rFonts w:hint="eastAsia" w:ascii="宋体" w:hAnsi="宋体" w:eastAsia="宋体" w:cs="宋体"/>
      <w:color w:val="000000"/>
      <w:sz w:val="21"/>
      <w:szCs w:val="21"/>
      <w:u w:val="none"/>
    </w:rPr>
  </w:style>
  <w:style w:type="character" w:customStyle="1" w:styleId="78">
    <w:name w:val="font61"/>
    <w:qFormat/>
    <w:uiPriority w:val="0"/>
    <w:rPr>
      <w:rFonts w:hint="default" w:ascii="Times New Roman" w:hAnsi="Times New Roman" w:cs="Times New Roman"/>
      <w:color w:val="000000"/>
      <w:sz w:val="21"/>
      <w:szCs w:val="21"/>
      <w:u w:val="none"/>
    </w:rPr>
  </w:style>
  <w:style w:type="character" w:customStyle="1" w:styleId="79">
    <w:name w:val="font01"/>
    <w:basedOn w:val="29"/>
    <w:qFormat/>
    <w:uiPriority w:val="0"/>
    <w:rPr>
      <w:rFonts w:hint="default" w:ascii="等线" w:hAnsi="等线" w:eastAsia="等线" w:cs="等线"/>
      <w:color w:val="000000"/>
      <w:sz w:val="22"/>
      <w:szCs w:val="22"/>
      <w:u w:val="none"/>
    </w:rPr>
  </w:style>
  <w:style w:type="character" w:customStyle="1" w:styleId="80">
    <w:name w:val="font51"/>
    <w:qFormat/>
    <w:uiPriority w:val="0"/>
    <w:rPr>
      <w:rFonts w:hint="default" w:ascii="等线" w:hAnsi="等线" w:eastAsia="等线" w:cs="等线"/>
      <w:b/>
      <w:bCs/>
      <w:color w:val="000000"/>
      <w:sz w:val="22"/>
      <w:szCs w:val="22"/>
      <w:u w:val="none"/>
    </w:rPr>
  </w:style>
  <w:style w:type="paragraph" w:customStyle="1" w:styleId="81">
    <w:name w:val="普通(网站) Char"/>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2">
    <w:name w:val="NormalCharacter"/>
    <w:semiHidden/>
    <w:qFormat/>
    <w:uiPriority w:val="0"/>
    <w:rPr>
      <w:b/>
      <w:bCs/>
      <w:color w:val="FF0000"/>
    </w:rPr>
  </w:style>
  <w:style w:type="paragraph" w:styleId="8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p0"/>
    <w:basedOn w:val="1"/>
    <w:qFormat/>
    <w:uiPriority w:val="0"/>
    <w:pPr>
      <w:widowControl/>
    </w:pPr>
    <w:rPr>
      <w:kern w:val="0"/>
      <w:szCs w:val="21"/>
    </w:rPr>
  </w:style>
  <w:style w:type="paragraph" w:customStyle="1" w:styleId="85">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86">
    <w:name w:val="layui-this"/>
    <w:basedOn w:val="29"/>
    <w:qFormat/>
    <w:uiPriority w:val="0"/>
    <w:rPr>
      <w:bdr w:val="single" w:color="EEEEEE" w:sz="6" w:space="0"/>
      <w:shd w:val="clear" w:color="auto" w:fill="FFFFFF"/>
    </w:rPr>
  </w:style>
  <w:style w:type="character" w:customStyle="1" w:styleId="87">
    <w:name w:val="first-child"/>
    <w:basedOn w:val="29"/>
    <w:qFormat/>
    <w:uiPriority w:val="0"/>
  </w:style>
  <w:style w:type="character" w:customStyle="1" w:styleId="88">
    <w:name w:val="hover2"/>
    <w:basedOn w:val="29"/>
    <w:qFormat/>
    <w:uiPriority w:val="0"/>
    <w:rPr>
      <w:color w:val="5FB878"/>
    </w:rPr>
  </w:style>
  <w:style w:type="character" w:customStyle="1" w:styleId="89">
    <w:name w:val="hover3"/>
    <w:basedOn w:val="29"/>
    <w:qFormat/>
    <w:uiPriority w:val="0"/>
    <w:rPr>
      <w:color w:val="5FB878"/>
    </w:rPr>
  </w:style>
  <w:style w:type="character" w:customStyle="1" w:styleId="90">
    <w:name w:val="hover4"/>
    <w:basedOn w:val="29"/>
    <w:qFormat/>
    <w:uiPriority w:val="0"/>
    <w:rPr>
      <w:color w:val="FFFFFF"/>
    </w:rPr>
  </w:style>
  <w:style w:type="paragraph" w:customStyle="1" w:styleId="91">
    <w:name w:val="Table Paragraph"/>
    <w:basedOn w:val="1"/>
    <w:qFormat/>
    <w:uiPriority w:val="0"/>
    <w:pPr>
      <w:jc w:val="left"/>
    </w:pPr>
    <w:rPr>
      <w:rFonts w:ascii="Calibri" w:hAnsi="Calibri" w:cs="Calibri"/>
      <w:kern w:val="0"/>
      <w:sz w:val="22"/>
      <w:szCs w:val="22"/>
      <w:lang w:eastAsia="en-US"/>
    </w:rPr>
  </w:style>
  <w:style w:type="character" w:customStyle="1" w:styleId="92">
    <w:name w:val="font21"/>
    <w:basedOn w:val="29"/>
    <w:qFormat/>
    <w:uiPriority w:val="0"/>
    <w:rPr>
      <w:rFonts w:hint="eastAsia" w:ascii="仿宋" w:hAnsi="仿宋" w:eastAsia="仿宋" w:cs="仿宋"/>
      <w:b/>
      <w:bCs/>
      <w:color w:val="000000"/>
      <w:sz w:val="24"/>
      <w:szCs w:val="24"/>
      <w:u w:val="none"/>
    </w:rPr>
  </w:style>
  <w:style w:type="character" w:customStyle="1" w:styleId="93">
    <w:name w:val="font41"/>
    <w:basedOn w:val="2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54915</Words>
  <Characters>58724</Characters>
  <Lines>452</Lines>
  <Paragraphs>127</Paragraphs>
  <TotalTime>9</TotalTime>
  <ScaleCrop>false</ScaleCrop>
  <LinksUpToDate>false</LinksUpToDate>
  <CharactersWithSpaces>60578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2022-10-10T03:01:00Z</dcterms:created>
  <dc:creator>User</dc:creator>
  <cp:lastModifiedBy>admin</cp:lastModifiedBy>
  <cp:lastPrinted>2020-04-14T03:11:00Z</cp:lastPrinted>
  <dcterms:modified xsi:type="dcterms:W3CDTF">2022-10-14T04:16:18Z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5526AEBC2FE740B4B69D16A37B8DE48D</vt:lpwstr>
  </property>
</Properties>
</file>